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Product Requirements Document</w:t>
      </w:r>
    </w:p>
    <w:p>
      <w:pPr>
        <w:spacing w:after="180"/>
      </w:pPr>
      <w:r>
        <w:rPr>
          <w:b/>
          <w:bCs/>
          <w:color w:val="1F6F63"/>
          <w:sz w:val="24"/>
          <w:szCs w:val="24"/>
        </w:rPr>
        <w:t xml:space="preserve">Clara</w:t>
      </w:r>
    </w:p>
    <w:p>
      <w:pPr>
        <w:spacing w:after="120" w:line="276"/>
      </w:pPr>
      <w:r>
        <w:rPr>
          <w:sz w:val="21"/>
          <w:szCs w:val="21"/>
        </w:rPr>
        <w:t xml:space="preserve">Document 2 of 13: Product Requirements Document</w:t>
      </w:r>
    </w:p>
    <w:p>
      <w:pPr>
        <w:spacing w:after="120" w:line="276"/>
      </w:pPr>
      <w:r>
        <w:rPr>
          <w:sz w:val="21"/>
          <w:szCs w:val="21"/>
        </w:rPr>
        <w:t xml:space="preserve">Version 0.2 - Draft for Review</w:t>
      </w:r>
    </w:p>
    <w:p>
      <w:pPr>
        <w:spacing w:after="120" w:line="276"/>
      </w:pPr>
      <w:r>
        <w:rPr>
          <w:sz w:val="21"/>
          <w:szCs w:val="21"/>
        </w:rPr>
        <w:t xml:space="preserve">Author: Rafif Muhammad Ransi Anargya</w:t>
      </w:r>
    </w:p>
    <w:p>
      <w:pPr>
        <w:spacing w:after="260" w:line="276"/>
      </w:pPr>
      <w:r>
        <w:rPr>
          <w:sz w:val="21"/>
          <w:szCs w:val="21"/>
        </w:rPr>
        <w:t xml:space="preserve">Date: 21 September 2026</w:t>
      </w:r>
    </w:p>
    <w:p>
      <w:pPr>
        <w:pStyle w:val="Heading1"/>
        <w:spacing w:after="140" w:before="280"/>
      </w:pPr>
      <w:r>
        <w:rPr>
          <w:b/>
          <w:bCs/>
          <w:sz w:val="26"/>
          <w:szCs w:val="26"/>
        </w:rPr>
        <w:t xml:space="preserve">1. Product Overview</w:t>
      </w:r>
    </w:p>
    <w:p>
      <w:pPr>
        <w:spacing w:after="120" w:line="276"/>
      </w:pPr>
      <w:r>
        <w:rPr>
          <w:sz w:val="22"/>
          <w:szCs w:val="22"/>
        </w:rPr>
        <w:t xml:space="preserve">Clara is a payment facilitator and service-discovery layer for x402 payments on Stellar. It does two things that are currently separate or absent: it verifies and settles per-request payments on both Stellar networks under a permissive licence, and it maintains a searchable catalogue, the Bazaar, that lets an autonomous agent find a paid service, understand its price, and pay for it without a human having wired that integration first. The rationale is documented in the Business Case.</w:t>
      </w:r>
    </w:p>
    <w:p>
      <w:pPr>
        <w:pStyle w:val="Heading1"/>
        <w:spacing w:after="140" w:before="280"/>
      </w:pPr>
      <w:r>
        <w:rPr>
          <w:b/>
          <w:bCs/>
          <w:sz w:val="26"/>
          <w:szCs w:val="26"/>
        </w:rPr>
        <w:t xml:space="preserve">2. Objectives</w:t>
      </w:r>
    </w:p>
    <w:p>
      <w:pPr>
        <w:pStyle w:val="ListParagraph"/>
        <w:numPr>
          <w:ilvl w:val="0"/>
          <w:numId w:val="1"/>
        </w:numPr>
        <w:spacing w:after="90" w:line="276"/>
      </w:pPr>
      <w:r>
        <w:rPr>
          <w:sz w:val="22"/>
          <w:szCs w:val="22"/>
        </w:rPr>
        <w:t xml:space="preserve">Settle x402 payments correctly and non-custodially on both stellar:testnet and stellar:pubnet, under a permissive OSI licence with no AGPL anywhere in the dependency path.</w:t>
      </w:r>
    </w:p>
    <w:p>
      <w:pPr>
        <w:pStyle w:val="ListParagraph"/>
        <w:numPr>
          <w:ilvl w:val="0"/>
          <w:numId w:val="1"/>
        </w:numPr>
        <w:spacing w:after="90" w:line="276"/>
      </w:pPr>
      <w:r>
        <w:rPr>
          <w:sz w:val="22"/>
          <w:szCs w:val="22"/>
        </w:rPr>
        <w:t xml:space="preserve">Make Stellar-denominated paid services discoverable to agents through a catalogue that populates automatically rather than by manual registration.</w:t>
      </w:r>
    </w:p>
    <w:p>
      <w:pPr>
        <w:pStyle w:val="ListParagraph"/>
        <w:numPr>
          <w:ilvl w:val="0"/>
          <w:numId w:val="1"/>
        </w:numPr>
        <w:spacing w:after="90" w:line="276"/>
      </w:pPr>
      <w:r>
        <w:rPr>
          <w:sz w:val="22"/>
          <w:szCs w:val="22"/>
        </w:rPr>
        <w:t xml:space="preserve">Answer natural-language service queries with genuine semantic ranking, not keyword matching, and treat ranking quality as a measured, reportable metric.</w:t>
      </w:r>
    </w:p>
    <w:p>
      <w:pPr>
        <w:pStyle w:val="ListParagraph"/>
        <w:numPr>
          <w:ilvl w:val="0"/>
          <w:numId w:val="1"/>
        </w:numPr>
        <w:spacing w:after="90" w:line="276"/>
      </w:pPr>
      <w:r>
        <w:rPr>
          <w:sz w:val="22"/>
          <w:szCs w:val="22"/>
        </w:rPr>
        <w:t xml:space="preserve">Expose discovery and payment as Model Context Protocol tools so an agent can find and pay for a service without leaving its runtime.</w:t>
      </w:r>
    </w:p>
    <w:p>
      <w:pPr>
        <w:pStyle w:val="ListParagraph"/>
        <w:numPr>
          <w:ilvl w:val="0"/>
          <w:numId w:val="1"/>
        </w:numPr>
        <w:spacing w:after="90" w:line="276"/>
      </w:pPr>
      <w:r>
        <w:rPr>
          <w:sz w:val="22"/>
          <w:szCs w:val="22"/>
        </w:rPr>
        <w:t xml:space="preserve">Contribute the upto scheme specification for Stellar back to the x402 standard rather than keeping it proprietary.</w:t>
      </w:r>
    </w:p>
    <w:p>
      <w:pPr>
        <w:pStyle w:val="Heading1"/>
        <w:spacing w:after="140" w:before="280"/>
      </w:pPr>
      <w:r>
        <w:rPr>
          <w:b/>
          <w:bCs/>
          <w:sz w:val="26"/>
          <w:szCs w:val="26"/>
        </w:rPr>
        <w:t xml:space="preserve">3. Target Users</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2500"/>
        <w:gridCol w:w="4600"/>
        <w:gridCol w:w="2260"/>
      </w:tblGrid>
      <w:tr>
        <w:trPr>
          <w:tblHeader/>
        </w:trPr>
        <w:tc>
          <w:tcPr>
            <w:tcW w:type="dxa" w:w="2500"/>
            <w:shd w:fill="E7ECE6" w:val="clear"/>
            <w:tcMar>
              <w:top w:type="dxa" w:w="80"/>
              <w:left w:type="dxa" w:w="110"/>
              <w:bottom w:type="dxa" w:w="80"/>
              <w:right w:type="dxa" w:w="110"/>
            </w:tcMar>
          </w:tcPr>
          <w:p>
            <w:pPr>
              <w:spacing w:after="0" w:line="260"/>
            </w:pPr>
            <w:r>
              <w:rPr>
                <w:b/>
                <w:bCs/>
                <w:sz w:val="19"/>
                <w:szCs w:val="19"/>
              </w:rPr>
              <w:t xml:space="preserve">Segment</w:t>
            </w:r>
          </w:p>
        </w:tc>
        <w:tc>
          <w:tcPr>
            <w:tcW w:type="dxa" w:w="4600"/>
            <w:shd w:fill="E7ECE6" w:val="clear"/>
            <w:tcMar>
              <w:top w:type="dxa" w:w="80"/>
              <w:left w:type="dxa" w:w="110"/>
              <w:bottom w:type="dxa" w:w="80"/>
              <w:right w:type="dxa" w:w="110"/>
            </w:tcMar>
          </w:tcPr>
          <w:p>
            <w:pPr>
              <w:spacing w:after="0" w:line="260"/>
            </w:pPr>
            <w:r>
              <w:rPr>
                <w:b/>
                <w:bCs/>
                <w:sz w:val="19"/>
                <w:szCs w:val="19"/>
              </w:rPr>
              <w:t xml:space="preserve">Primary need</w:t>
            </w:r>
          </w:p>
        </w:tc>
        <w:tc>
          <w:tcPr>
            <w:tcW w:type="dxa" w:w="2260"/>
            <w:shd w:fill="E7ECE6" w:val="clear"/>
            <w:tcMar>
              <w:top w:type="dxa" w:w="80"/>
              <w:left w:type="dxa" w:w="110"/>
              <w:bottom w:type="dxa" w:w="80"/>
              <w:right w:type="dxa" w:w="110"/>
            </w:tcMar>
          </w:tcPr>
          <w:p>
            <w:pPr>
              <w:spacing w:after="0" w:line="260"/>
            </w:pPr>
            <w:r>
              <w:rPr>
                <w:b/>
                <w:bCs/>
                <w:sz w:val="19"/>
                <w:szCs w:val="19"/>
              </w:rPr>
              <w:t xml:space="preserve">Priority</w:t>
            </w:r>
          </w:p>
        </w:tc>
      </w:tr>
      <w:tr>
        <w:tc>
          <w:tcPr>
            <w:tcW w:type="dxa" w:w="2500"/>
            <w:tcMar>
              <w:top w:type="dxa" w:w="80"/>
              <w:left w:type="dxa" w:w="110"/>
              <w:bottom w:type="dxa" w:w="80"/>
              <w:right w:type="dxa" w:w="110"/>
            </w:tcMar>
          </w:tcPr>
          <w:p>
            <w:pPr>
              <w:spacing w:after="0" w:line="260"/>
            </w:pPr>
            <w:r>
              <w:rPr>
                <w:b w:val="false"/>
                <w:bCs w:val="false"/>
                <w:sz w:val="19"/>
                <w:szCs w:val="19"/>
              </w:rPr>
              <w:t xml:space="preserve">Agent developers and agent runtimes</w:t>
            </w:r>
          </w:p>
        </w:tc>
        <w:tc>
          <w:tcPr>
            <w:tcW w:type="dxa" w:w="4600"/>
            <w:tcMar>
              <w:top w:type="dxa" w:w="80"/>
              <w:left w:type="dxa" w:w="110"/>
              <w:bottom w:type="dxa" w:w="80"/>
              <w:right w:type="dxa" w:w="110"/>
            </w:tcMar>
          </w:tcPr>
          <w:p>
            <w:pPr>
              <w:spacing w:after="0" w:line="260"/>
            </w:pPr>
            <w:r>
              <w:rPr>
                <w:b w:val="false"/>
                <w:bCs w:val="false"/>
                <w:sz w:val="19"/>
                <w:szCs w:val="19"/>
              </w:rPr>
              <w:t xml:space="preserve">To let an agent find and pay for a capability at runtime without a pre-built integration for each provider</w:t>
            </w:r>
          </w:p>
        </w:tc>
        <w:tc>
          <w:tcPr>
            <w:tcW w:type="dxa" w:w="2260"/>
            <w:tcMar>
              <w:top w:type="dxa" w:w="80"/>
              <w:left w:type="dxa" w:w="110"/>
              <w:bottom w:type="dxa" w:w="80"/>
              <w:right w:type="dxa" w:w="110"/>
            </w:tcMar>
          </w:tcPr>
          <w:p>
            <w:pPr>
              <w:spacing w:after="0" w:line="260"/>
            </w:pPr>
            <w:r>
              <w:rPr>
                <w:b w:val="false"/>
                <w:bCs w:val="false"/>
                <w:sz w:val="19"/>
                <w:szCs w:val="19"/>
              </w:rPr>
              <w:t xml:space="preserve">Highest - primary target</w:t>
            </w:r>
          </w:p>
        </w:tc>
      </w:tr>
      <w:tr>
        <w:tc>
          <w:tcPr>
            <w:tcW w:type="dxa" w:w="2500"/>
            <w:tcMar>
              <w:top w:type="dxa" w:w="80"/>
              <w:left w:type="dxa" w:w="110"/>
              <w:bottom w:type="dxa" w:w="80"/>
              <w:right w:type="dxa" w:w="110"/>
            </w:tcMar>
          </w:tcPr>
          <w:p>
            <w:pPr>
              <w:spacing w:after="0" w:line="260"/>
            </w:pPr>
            <w:r>
              <w:rPr>
                <w:b w:val="false"/>
                <w:bCs w:val="false"/>
                <w:sz w:val="19"/>
                <w:szCs w:val="19"/>
              </w:rPr>
              <w:t xml:space="preserve">Sellers of paid APIs and MCP tools</w:t>
            </w:r>
          </w:p>
        </w:tc>
        <w:tc>
          <w:tcPr>
            <w:tcW w:type="dxa" w:w="4600"/>
            <w:tcMar>
              <w:top w:type="dxa" w:w="80"/>
              <w:left w:type="dxa" w:w="110"/>
              <w:bottom w:type="dxa" w:w="80"/>
              <w:right w:type="dxa" w:w="110"/>
            </w:tcMar>
          </w:tcPr>
          <w:p>
            <w:pPr>
              <w:spacing w:after="0" w:line="260"/>
            </w:pPr>
            <w:r>
              <w:rPr>
                <w:b w:val="false"/>
                <w:bCs w:val="false"/>
                <w:sz w:val="19"/>
                <w:szCs w:val="19"/>
              </w:rPr>
              <w:t xml:space="preserve">Distribution: to be found and paid by agents without building their own billing, accounts, or discovery</w:t>
            </w:r>
          </w:p>
        </w:tc>
        <w:tc>
          <w:tcPr>
            <w:tcW w:type="dxa" w:w="2260"/>
            <w:tcMar>
              <w:top w:type="dxa" w:w="80"/>
              <w:left w:type="dxa" w:w="110"/>
              <w:bottom w:type="dxa" w:w="80"/>
              <w:right w:type="dxa" w:w="110"/>
            </w:tcMar>
          </w:tcPr>
          <w:p>
            <w:pPr>
              <w:spacing w:after="0" w:line="260"/>
            </w:pPr>
            <w:r>
              <w:rPr>
                <w:b w:val="false"/>
                <w:bCs w:val="false"/>
                <w:sz w:val="19"/>
                <w:szCs w:val="19"/>
              </w:rPr>
              <w:t xml:space="preserve">High - supply side of the same marketplace</w:t>
            </w:r>
          </w:p>
        </w:tc>
      </w:tr>
      <w:tr>
        <w:tc>
          <w:tcPr>
            <w:tcW w:type="dxa" w:w="2500"/>
            <w:tcMar>
              <w:top w:type="dxa" w:w="80"/>
              <w:left w:type="dxa" w:w="110"/>
              <w:bottom w:type="dxa" w:w="80"/>
              <w:right w:type="dxa" w:w="110"/>
            </w:tcMar>
          </w:tcPr>
          <w:p>
            <w:pPr>
              <w:spacing w:after="0" w:line="260"/>
            </w:pPr>
            <w:r>
              <w:rPr>
                <w:b w:val="false"/>
                <w:bCs w:val="false"/>
                <w:sz w:val="19"/>
                <w:szCs w:val="19"/>
              </w:rPr>
              <w:t xml:space="preserve">Wallet and agent-platform teams</w:t>
            </w:r>
          </w:p>
        </w:tc>
        <w:tc>
          <w:tcPr>
            <w:tcW w:type="dxa" w:w="4600"/>
            <w:tcMar>
              <w:top w:type="dxa" w:w="80"/>
              <w:left w:type="dxa" w:w="110"/>
              <w:bottom w:type="dxa" w:w="80"/>
              <w:right w:type="dxa" w:w="110"/>
            </w:tcMar>
          </w:tcPr>
          <w:p>
            <w:pPr>
              <w:spacing w:after="0" w:line="260"/>
            </w:pPr>
            <w:r>
              <w:rPr>
                <w:b w:val="false"/>
                <w:bCs w:val="false"/>
                <w:sz w:val="19"/>
                <w:szCs w:val="19"/>
              </w:rPr>
              <w:t xml:space="preserve">A non-custodial settlement path they can embed without operating facilitator infrastructure themselves</w:t>
            </w:r>
          </w:p>
        </w:tc>
        <w:tc>
          <w:tcPr>
            <w:tcW w:type="dxa" w:w="2260"/>
            <w:tcMar>
              <w:top w:type="dxa" w:w="80"/>
              <w:left w:type="dxa" w:w="110"/>
              <w:bottom w:type="dxa" w:w="80"/>
              <w:right w:type="dxa" w:w="110"/>
            </w:tcMar>
          </w:tcPr>
          <w:p>
            <w:pPr>
              <w:spacing w:after="0" w:line="260"/>
            </w:pPr>
            <w:r>
              <w:rPr>
                <w:b w:val="false"/>
                <w:bCs w:val="false"/>
                <w:sz w:val="19"/>
                <w:szCs w:val="19"/>
              </w:rPr>
              <w:t xml:space="preserve">Medium - longer integration cycle</w:t>
            </w:r>
          </w:p>
        </w:tc>
      </w:tr>
      <w:tr>
        <w:tc>
          <w:tcPr>
            <w:tcW w:type="dxa" w:w="2500"/>
            <w:tcMar>
              <w:top w:type="dxa" w:w="80"/>
              <w:left w:type="dxa" w:w="110"/>
              <w:bottom w:type="dxa" w:w="80"/>
              <w:right w:type="dxa" w:w="110"/>
            </w:tcMar>
          </w:tcPr>
          <w:p>
            <w:pPr>
              <w:spacing w:after="0" w:line="260"/>
            </w:pPr>
            <w:r>
              <w:rPr>
                <w:b w:val="false"/>
                <w:bCs w:val="false"/>
                <w:sz w:val="19"/>
                <w:szCs w:val="19"/>
              </w:rPr>
              <w:t xml:space="preserve">Indexers and ecosystem analytics</w:t>
            </w:r>
          </w:p>
        </w:tc>
        <w:tc>
          <w:tcPr>
            <w:tcW w:type="dxa" w:w="4600"/>
            <w:tcMar>
              <w:top w:type="dxa" w:w="80"/>
              <w:left w:type="dxa" w:w="110"/>
              <w:bottom w:type="dxa" w:w="80"/>
              <w:right w:type="dxa" w:w="110"/>
            </w:tcMar>
          </w:tcPr>
          <w:p>
            <w:pPr>
              <w:spacing w:after="0" w:line="260"/>
            </w:pPr>
            <w:r>
              <w:rPr>
                <w:b w:val="false"/>
                <w:bCs w:val="false"/>
                <w:sz w:val="19"/>
                <w:szCs w:val="19"/>
              </w:rPr>
              <w:t xml:space="preserve">Visibility into agent-payment activity on Stellar</w:t>
            </w:r>
          </w:p>
        </w:tc>
        <w:tc>
          <w:tcPr>
            <w:tcW w:type="dxa" w:w="2260"/>
            <w:tcMar>
              <w:top w:type="dxa" w:w="80"/>
              <w:left w:type="dxa" w:w="110"/>
              <w:bottom w:type="dxa" w:w="80"/>
              <w:right w:type="dxa" w:w="110"/>
            </w:tcMar>
          </w:tcPr>
          <w:p>
            <w:pPr>
              <w:spacing w:after="0" w:line="260"/>
            </w:pPr>
            <w:r>
              <w:rPr>
                <w:b w:val="false"/>
                <w:bCs w:val="false"/>
                <w:sz w:val="19"/>
                <w:szCs w:val="19"/>
              </w:rPr>
              <w:t xml:space="preserve">Lower priority; consumers of published data rather than paying customers</w:t>
            </w:r>
          </w:p>
        </w:tc>
      </w:tr>
    </w:tbl>
    <w:p>
      <w:pPr>
        <w:pStyle w:val="Heading1"/>
        <w:spacing w:after="140" w:before="280"/>
      </w:pPr>
      <w:r>
        <w:rPr>
          <w:b/>
          <w:bCs/>
          <w:sz w:val="26"/>
          <w:szCs w:val="26"/>
        </w:rPr>
        <w:t xml:space="preserve">4. Success Metrics</w:t>
      </w:r>
    </w:p>
    <w:p>
      <w:pPr>
        <w:spacing w:after="140" w:line="276"/>
      </w:pPr>
      <w:r>
        <w:rPr>
          <w:sz w:val="22"/>
          <w:szCs w:val="22"/>
        </w:rPr>
        <w:t xml:space="preserve">These metrics are drawn directly from the acceptance criteria in the funded request for proposals, so that internal targets and grant acceptance are measured by the same numbers.</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2400"/>
        <w:gridCol w:w="3280"/>
        <w:gridCol w:w="3680"/>
      </w:tblGrid>
      <w:tr>
        <w:trPr>
          <w:tblHeader/>
        </w:trPr>
        <w:tc>
          <w:tcPr>
            <w:tcW w:type="dxa" w:w="2400"/>
            <w:shd w:fill="E7ECE6" w:val="clear"/>
            <w:tcMar>
              <w:top w:type="dxa" w:w="80"/>
              <w:left w:type="dxa" w:w="110"/>
              <w:bottom w:type="dxa" w:w="80"/>
              <w:right w:type="dxa" w:w="110"/>
            </w:tcMar>
          </w:tcPr>
          <w:p>
            <w:pPr>
              <w:spacing w:after="0" w:line="260"/>
            </w:pPr>
            <w:r>
              <w:rPr>
                <w:b/>
                <w:bCs/>
                <w:sz w:val="19"/>
                <w:szCs w:val="19"/>
              </w:rPr>
              <w:t xml:space="preserve">Metric</w:t>
            </w:r>
          </w:p>
        </w:tc>
        <w:tc>
          <w:tcPr>
            <w:tcW w:type="dxa" w:w="3280"/>
            <w:shd w:fill="E7ECE6" w:val="clear"/>
            <w:tcMar>
              <w:top w:type="dxa" w:w="80"/>
              <w:left w:type="dxa" w:w="110"/>
              <w:bottom w:type="dxa" w:w="80"/>
              <w:right w:type="dxa" w:w="110"/>
            </w:tcMar>
          </w:tcPr>
          <w:p>
            <w:pPr>
              <w:spacing w:after="0" w:line="260"/>
            </w:pPr>
            <w:r>
              <w:rPr>
                <w:b/>
                <w:bCs/>
                <w:sz w:val="19"/>
                <w:szCs w:val="19"/>
              </w:rPr>
              <w:t xml:space="preserve">Target at Phase 0</w:t>
            </w:r>
          </w:p>
        </w:tc>
        <w:tc>
          <w:tcPr>
            <w:tcW w:type="dxa" w:w="3680"/>
            <w:shd w:fill="E7ECE6" w:val="clear"/>
            <w:tcMar>
              <w:top w:type="dxa" w:w="80"/>
              <w:left w:type="dxa" w:w="110"/>
              <w:bottom w:type="dxa" w:w="80"/>
              <w:right w:type="dxa" w:w="110"/>
            </w:tcMar>
          </w:tcPr>
          <w:p>
            <w:pPr>
              <w:spacing w:after="0" w:line="260"/>
            </w:pPr>
            <w:r>
              <w:rPr>
                <w:b/>
                <w:bCs/>
                <w:sz w:val="19"/>
                <w:szCs w:val="19"/>
              </w:rPr>
              <w:t xml:space="preserve">Target at Phase 1</w:t>
            </w:r>
          </w:p>
        </w:tc>
      </w:tr>
      <w:tr>
        <w:tc>
          <w:tcPr>
            <w:tcW w:type="dxa" w:w="2400"/>
            <w:tcMar>
              <w:top w:type="dxa" w:w="80"/>
              <w:left w:type="dxa" w:w="110"/>
              <w:bottom w:type="dxa" w:w="80"/>
              <w:right w:type="dxa" w:w="110"/>
            </w:tcMar>
          </w:tcPr>
          <w:p>
            <w:pPr>
              <w:spacing w:after="0" w:line="260"/>
            </w:pPr>
            <w:r>
              <w:rPr>
                <w:b w:val="false"/>
                <w:bCs w:val="false"/>
                <w:sz w:val="19"/>
                <w:szCs w:val="19"/>
              </w:rPr>
              <w:t xml:space="preserve">Wire-level conformance</w:t>
            </w:r>
          </w:p>
        </w:tc>
        <w:tc>
          <w:tcPr>
            <w:tcW w:type="dxa" w:w="3280"/>
            <w:tcMar>
              <w:top w:type="dxa" w:w="80"/>
              <w:left w:type="dxa" w:w="110"/>
              <w:bottom w:type="dxa" w:w="80"/>
              <w:right w:type="dxa" w:w="110"/>
            </w:tcMar>
          </w:tcPr>
          <w:p>
            <w:pPr>
              <w:spacing w:after="0" w:line="260"/>
            </w:pPr>
            <w:r>
              <w:rPr>
                <w:b w:val="false"/>
                <w:bCs w:val="false"/>
                <w:sz w:val="19"/>
                <w:szCs w:val="19"/>
              </w:rPr>
              <w:t xml:space="preserve">Unmodified canonical x402 client completes payment end to end on testnet</w:t>
            </w:r>
          </w:p>
        </w:tc>
        <w:tc>
          <w:tcPr>
            <w:tcW w:type="dxa" w:w="3680"/>
            <w:tcMar>
              <w:top w:type="dxa" w:w="80"/>
              <w:left w:type="dxa" w:w="110"/>
              <w:bottom w:type="dxa" w:w="80"/>
              <w:right w:type="dxa" w:w="110"/>
            </w:tcMar>
          </w:tcPr>
          <w:p>
            <w:pPr>
              <w:spacing w:after="0" w:line="260"/>
            </w:pPr>
            <w:r>
              <w:rPr>
                <w:b w:val="false"/>
                <w:bCs w:val="false"/>
                <w:sz w:val="19"/>
                <w:szCs w:val="19"/>
              </w:rPr>
              <w:t xml:space="preserve">Same on both testnet and pubnet, with a published settled transaction hash per network per scheme</w:t>
            </w:r>
          </w:p>
        </w:tc>
      </w:tr>
      <w:tr>
        <w:tc>
          <w:tcPr>
            <w:tcW w:type="dxa" w:w="2400"/>
            <w:tcMar>
              <w:top w:type="dxa" w:w="80"/>
              <w:left w:type="dxa" w:w="110"/>
              <w:bottom w:type="dxa" w:w="80"/>
              <w:right w:type="dxa" w:w="110"/>
            </w:tcMar>
          </w:tcPr>
          <w:p>
            <w:pPr>
              <w:spacing w:after="0" w:line="260"/>
            </w:pPr>
            <w:r>
              <w:rPr>
                <w:b w:val="false"/>
                <w:bCs w:val="false"/>
                <w:sz w:val="19"/>
                <w:szCs w:val="19"/>
              </w:rPr>
              <w:t xml:space="preserve">x402 end-to-end suite</w:t>
            </w:r>
          </w:p>
        </w:tc>
        <w:tc>
          <w:tcPr>
            <w:tcW w:type="dxa" w:w="3280"/>
            <w:tcMar>
              <w:top w:type="dxa" w:w="80"/>
              <w:left w:type="dxa" w:w="110"/>
              <w:bottom w:type="dxa" w:w="80"/>
              <w:right w:type="dxa" w:w="110"/>
            </w:tcMar>
          </w:tcPr>
          <w:p>
            <w:pPr>
              <w:spacing w:after="0" w:line="260"/>
            </w:pPr>
            <w:r>
              <w:rPr>
                <w:b w:val="false"/>
                <w:bCs w:val="false"/>
                <w:sz w:val="19"/>
                <w:szCs w:val="19"/>
              </w:rPr>
              <w:t xml:space="preserve">Runs locally; failures triaged</w:t>
            </w:r>
          </w:p>
        </w:tc>
        <w:tc>
          <w:tcPr>
            <w:tcW w:type="dxa" w:w="3680"/>
            <w:tcMar>
              <w:top w:type="dxa" w:w="80"/>
              <w:left w:type="dxa" w:w="110"/>
              <w:bottom w:type="dxa" w:w="80"/>
              <w:right w:type="dxa" w:w="110"/>
            </w:tcMar>
          </w:tcPr>
          <w:p>
            <w:pPr>
              <w:spacing w:after="0" w:line="260"/>
            </w:pPr>
            <w:r>
              <w:rPr>
                <w:b w:val="false"/>
                <w:bCs w:val="false"/>
                <w:sz w:val="19"/>
                <w:szCs w:val="19"/>
              </w:rPr>
              <w:t xml:space="preserve">Full passing run against both networks</w:t>
            </w:r>
          </w:p>
        </w:tc>
      </w:tr>
      <w:tr>
        <w:tc>
          <w:tcPr>
            <w:tcW w:type="dxa" w:w="2400"/>
            <w:tcMar>
              <w:top w:type="dxa" w:w="80"/>
              <w:left w:type="dxa" w:w="110"/>
              <w:bottom w:type="dxa" w:w="80"/>
              <w:right w:type="dxa" w:w="110"/>
            </w:tcMar>
          </w:tcPr>
          <w:p>
            <w:pPr>
              <w:spacing w:after="0" w:line="260"/>
            </w:pPr>
            <w:r>
              <w:rPr>
                <w:b w:val="false"/>
                <w:bCs w:val="false"/>
                <w:sz w:val="19"/>
                <w:szCs w:val="19"/>
              </w:rPr>
              <w:t xml:space="preserve">Settlement success rate</w:t>
            </w:r>
          </w:p>
        </w:tc>
        <w:tc>
          <w:tcPr>
            <w:tcW w:type="dxa" w:w="3280"/>
            <w:tcMar>
              <w:top w:type="dxa" w:w="80"/>
              <w:left w:type="dxa" w:w="110"/>
              <w:bottom w:type="dxa" w:w="80"/>
              <w:right w:type="dxa" w:w="110"/>
            </w:tcMar>
          </w:tcPr>
          <w:p>
            <w:pPr>
              <w:spacing w:after="0" w:line="260"/>
            </w:pPr>
            <w:r>
              <w:rPr>
                <w:b w:val="false"/>
                <w:bCs w:val="false"/>
                <w:sz w:val="19"/>
                <w:szCs w:val="19"/>
              </w:rPr>
              <w:t xml:space="preserve">Measured and logged; no fixed target</w:t>
            </w:r>
          </w:p>
        </w:tc>
        <w:tc>
          <w:tcPr>
            <w:tcW w:type="dxa" w:w="3680"/>
            <w:tcMar>
              <w:top w:type="dxa" w:w="80"/>
              <w:left w:type="dxa" w:w="110"/>
              <w:bottom w:type="dxa" w:w="80"/>
              <w:right w:type="dxa" w:w="110"/>
            </w:tcMar>
          </w:tcPr>
          <w:p>
            <w:pPr>
              <w:spacing w:after="0" w:line="260"/>
            </w:pPr>
            <w:r>
              <w:rPr>
                <w:b w:val="false"/>
                <w:bCs w:val="false"/>
                <w:sz w:val="19"/>
                <w:szCs w:val="19"/>
              </w:rPr>
              <w:t xml:space="preserve">99 percent of correctly signed payments settle without operator intervention</w:t>
            </w:r>
          </w:p>
        </w:tc>
      </w:tr>
      <w:tr>
        <w:tc>
          <w:tcPr>
            <w:tcW w:type="dxa" w:w="2400"/>
            <w:tcMar>
              <w:top w:type="dxa" w:w="80"/>
              <w:left w:type="dxa" w:w="110"/>
              <w:bottom w:type="dxa" w:w="80"/>
              <w:right w:type="dxa" w:w="110"/>
            </w:tcMar>
          </w:tcPr>
          <w:p>
            <w:pPr>
              <w:spacing w:after="0" w:line="260"/>
            </w:pPr>
            <w:r>
              <w:rPr>
                <w:b w:val="false"/>
                <w:bCs w:val="false"/>
                <w:sz w:val="19"/>
                <w:szCs w:val="19"/>
              </w:rPr>
              <w:t xml:space="preserve">Discovery search relevance</w:t>
            </w:r>
          </w:p>
        </w:tc>
        <w:tc>
          <w:tcPr>
            <w:tcW w:type="dxa" w:w="3280"/>
            <w:tcMar>
              <w:top w:type="dxa" w:w="80"/>
              <w:left w:type="dxa" w:w="110"/>
              <w:bottom w:type="dxa" w:w="80"/>
              <w:right w:type="dxa" w:w="110"/>
            </w:tcMar>
          </w:tcPr>
          <w:p>
            <w:pPr>
              <w:spacing w:after="0" w:line="260"/>
            </w:pPr>
            <w:r>
              <w:rPr>
                <w:b w:val="false"/>
                <w:bCs w:val="false"/>
                <w:sz w:val="19"/>
                <w:szCs w:val="19"/>
              </w:rPr>
              <w:t xml:space="preserve">Not applicable; catalogue not yet built</w:t>
            </w:r>
          </w:p>
        </w:tc>
        <w:tc>
          <w:tcPr>
            <w:tcW w:type="dxa" w:w="3680"/>
            <w:tcMar>
              <w:top w:type="dxa" w:w="80"/>
              <w:left w:type="dxa" w:w="110"/>
              <w:bottom w:type="dxa" w:w="80"/>
              <w:right w:type="dxa" w:w="110"/>
            </w:tcMar>
          </w:tcPr>
          <w:p>
            <w:pPr>
              <w:spacing w:after="0" w:line="260"/>
            </w:pPr>
            <w:r>
              <w:rPr>
                <w:b w:val="false"/>
                <w:bCs w:val="false"/>
                <w:sz w:val="19"/>
                <w:szCs w:val="19"/>
              </w:rPr>
              <w:t xml:space="preserve">Measured against a held-out query set as defined in the Test Plan and QA Strategy</w:t>
            </w:r>
          </w:p>
        </w:tc>
      </w:tr>
      <w:tr>
        <w:tc>
          <w:tcPr>
            <w:tcW w:type="dxa" w:w="2400"/>
            <w:tcMar>
              <w:top w:type="dxa" w:w="80"/>
              <w:left w:type="dxa" w:w="110"/>
              <w:bottom w:type="dxa" w:w="80"/>
              <w:right w:type="dxa" w:w="110"/>
            </w:tcMar>
          </w:tcPr>
          <w:p>
            <w:pPr>
              <w:spacing w:after="0" w:line="260"/>
            </w:pPr>
            <w:r>
              <w:rPr>
                <w:b w:val="false"/>
                <w:bCs w:val="false"/>
                <w:sz w:val="19"/>
                <w:szCs w:val="19"/>
              </w:rPr>
              <w:t xml:space="preserve">Catalogue size</w:t>
            </w:r>
          </w:p>
        </w:tc>
        <w:tc>
          <w:tcPr>
            <w:tcW w:type="dxa" w:w="3280"/>
            <w:tcMar>
              <w:top w:type="dxa" w:w="80"/>
              <w:left w:type="dxa" w:w="110"/>
              <w:bottom w:type="dxa" w:w="80"/>
              <w:right w:type="dxa" w:w="110"/>
            </w:tcMar>
          </w:tcPr>
          <w:p>
            <w:pPr>
              <w:spacing w:after="0" w:line="260"/>
            </w:pPr>
            <w:r>
              <w:rPr>
                <w:b w:val="false"/>
                <w:bCs w:val="false"/>
                <w:sz w:val="19"/>
                <w:szCs w:val="19"/>
              </w:rPr>
              <w:t xml:space="preserve">Not applicable</w:t>
            </w:r>
          </w:p>
        </w:tc>
        <w:tc>
          <w:tcPr>
            <w:tcW w:type="dxa" w:w="3680"/>
            <w:tcMar>
              <w:top w:type="dxa" w:w="80"/>
              <w:left w:type="dxa" w:w="110"/>
              <w:bottom w:type="dxa" w:w="80"/>
              <w:right w:type="dxa" w:w="110"/>
            </w:tcMar>
          </w:tcPr>
          <w:p>
            <w:pPr>
              <w:spacing w:after="0" w:line="260"/>
            </w:pPr>
            <w:r>
              <w:rPr>
                <w:b w:val="false"/>
                <w:bCs w:val="false"/>
                <w:sz w:val="19"/>
                <w:szCs w:val="19"/>
              </w:rPr>
              <w:t xml:space="preserve">At least 25 automatically catalogued resources across HTTP endpoints and MCP tools</w:t>
            </w:r>
          </w:p>
        </w:tc>
      </w:tr>
      <w:tr>
        <w:tc>
          <w:tcPr>
            <w:tcW w:type="dxa" w:w="2400"/>
            <w:tcMar>
              <w:top w:type="dxa" w:w="80"/>
              <w:left w:type="dxa" w:w="110"/>
              <w:bottom w:type="dxa" w:w="80"/>
              <w:right w:type="dxa" w:w="110"/>
            </w:tcMar>
          </w:tcPr>
          <w:p>
            <w:pPr>
              <w:spacing w:after="0" w:line="260"/>
            </w:pPr>
            <w:r>
              <w:rPr>
                <w:b w:val="false"/>
                <w:bCs w:val="false"/>
                <w:sz w:val="19"/>
                <w:szCs w:val="19"/>
              </w:rPr>
              <w:t xml:space="preserve">AGPL in dependency path</w:t>
            </w:r>
          </w:p>
        </w:tc>
        <w:tc>
          <w:tcPr>
            <w:tcW w:type="dxa" w:w="3280"/>
            <w:tcMar>
              <w:top w:type="dxa" w:w="80"/>
              <w:left w:type="dxa" w:w="110"/>
              <w:bottom w:type="dxa" w:w="80"/>
              <w:right w:type="dxa" w:w="110"/>
            </w:tcMar>
          </w:tcPr>
          <w:p>
            <w:pPr>
              <w:spacing w:after="0" w:line="260"/>
            </w:pPr>
            <w:r>
              <w:rPr>
                <w:b w:val="false"/>
                <w:bCs w:val="false"/>
                <w:sz w:val="19"/>
                <w:szCs w:val="19"/>
              </w:rPr>
              <w:t xml:space="preserve">Zero, verified at every release</w:t>
            </w:r>
          </w:p>
        </w:tc>
        <w:tc>
          <w:tcPr>
            <w:tcW w:type="dxa" w:w="3680"/>
            <w:tcMar>
              <w:top w:type="dxa" w:w="80"/>
              <w:left w:type="dxa" w:w="110"/>
              <w:bottom w:type="dxa" w:w="80"/>
              <w:right w:type="dxa" w:w="110"/>
            </w:tcMar>
          </w:tcPr>
          <w:p>
            <w:pPr>
              <w:spacing w:after="0" w:line="260"/>
            </w:pPr>
            <w:r>
              <w:rPr>
                <w:b w:val="false"/>
                <w:bCs w:val="false"/>
                <w:sz w:val="19"/>
                <w:szCs w:val="19"/>
              </w:rPr>
              <w:t xml:space="preserve">Zero, verified at every release</w:t>
            </w:r>
          </w:p>
        </w:tc>
      </w:tr>
    </w:tbl>
    <w:p>
      <w:pPr>
        <w:pStyle w:val="Heading1"/>
        <w:spacing w:after="140" w:before="280"/>
      </w:pPr>
      <w:r>
        <w:rPr>
          <w:b/>
          <w:bCs/>
          <w:sz w:val="26"/>
          <w:szCs w:val="26"/>
        </w:rPr>
        <w:t xml:space="preserve">5. Scope</w:t>
      </w:r>
    </w:p>
    <w:p>
      <w:pPr>
        <w:pStyle w:val="Heading2"/>
        <w:spacing w:after="110" w:before="200"/>
      </w:pPr>
      <w:r>
        <w:rPr>
          <w:b/>
          <w:bCs/>
          <w:sz w:val="23"/>
          <w:szCs w:val="23"/>
        </w:rPr>
        <w:t xml:space="preserve">5.1 In scope, Phase 0 (milestone M1)</w:t>
      </w:r>
    </w:p>
    <w:p>
      <w:pPr>
        <w:pStyle w:val="ListParagraph"/>
        <w:numPr>
          <w:ilvl w:val="0"/>
          <w:numId w:val="1"/>
        </w:numPr>
        <w:spacing w:after="90" w:line="276"/>
      </w:pPr>
      <w:r>
        <w:rPr>
          <w:sz w:val="22"/>
          <w:szCs w:val="22"/>
        </w:rPr>
        <w:t xml:space="preserve">A facilitator service exposing verify, settle, and supported endpoints, built on the Apache-2.0 @x402/stellar package rather than reimplementing settlement.</w:t>
      </w:r>
    </w:p>
    <w:p>
      <w:pPr>
        <w:pStyle w:val="ListParagraph"/>
        <w:numPr>
          <w:ilvl w:val="0"/>
          <w:numId w:val="1"/>
        </w:numPr>
        <w:spacing w:after="90" w:line="276"/>
      </w:pPr>
      <w:r>
        <w:rPr>
          <w:sz w:val="22"/>
          <w:szCs w:val="22"/>
        </w:rPr>
        <w:t xml:space="preserve">Strict Soroban authorization-entry validation: exact contract call, asset, amount, and recipient, with ledger-based expiration and no replay.</w:t>
      </w:r>
    </w:p>
    <w:p>
      <w:pPr>
        <w:pStyle w:val="ListParagraph"/>
        <w:numPr>
          <w:ilvl w:val="0"/>
          <w:numId w:val="1"/>
        </w:numPr>
        <w:spacing w:after="90" w:line="276"/>
      </w:pPr>
      <w:r>
        <w:rPr>
          <w:sz w:val="22"/>
          <w:szCs w:val="22"/>
        </w:rPr>
        <w:t xml:space="preserve">Support for both classic Ed25519 keypair accounts and custom __check_auth contract accounts.</w:t>
      </w:r>
    </w:p>
    <w:p>
      <w:pPr>
        <w:pStyle w:val="ListParagraph"/>
        <w:numPr>
          <w:ilvl w:val="0"/>
          <w:numId w:val="1"/>
        </w:numPr>
        <w:spacing w:after="90" w:line="276"/>
      </w:pPr>
      <w:r>
        <w:rPr>
          <w:sz w:val="22"/>
          <w:szCs w:val="22"/>
        </w:rPr>
        <w:t xml:space="preserve">Support for any SEP-41 token, with USDC as the default and correct seven-decimal handling.</w:t>
      </w:r>
    </w:p>
    <w:p>
      <w:pPr>
        <w:pStyle w:val="ListParagraph"/>
        <w:numPr>
          <w:ilvl w:val="0"/>
          <w:numId w:val="1"/>
        </w:numPr>
        <w:spacing w:after="90" w:line="276"/>
      </w:pPr>
      <w:r>
        <w:rPr>
          <w:sz w:val="22"/>
          <w:szCs w:val="22"/>
        </w:rPr>
        <w:t xml:space="preserve">Operation on stellar:testnet, with pubnet deployment gated on the audit in Phase 2.</w:t>
      </w:r>
    </w:p>
    <w:p>
      <w:pPr>
        <w:pStyle w:val="Heading2"/>
        <w:spacing w:after="110" w:before="200"/>
      </w:pPr>
      <w:r>
        <w:rPr>
          <w:b/>
          <w:bCs/>
          <w:sz w:val="23"/>
          <w:szCs w:val="23"/>
        </w:rPr>
        <w:t xml:space="preserve">5.2 In scope, Phase 1 (milestones M2 and M3)</w:t>
      </w:r>
    </w:p>
    <w:p>
      <w:pPr>
        <w:pStyle w:val="ListParagraph"/>
        <w:numPr>
          <w:ilvl w:val="0"/>
          <w:numId w:val="1"/>
        </w:numPr>
        <w:spacing w:after="90" w:line="276"/>
      </w:pPr>
      <w:r>
        <w:rPr>
          <w:sz w:val="22"/>
          <w:szCs w:val="22"/>
        </w:rPr>
        <w:t xml:space="preserve">The Bazaar catalogue: automatic cataloguing from the x402 discovery extension, with no separate registration step.</w:t>
      </w:r>
    </w:p>
    <w:p>
      <w:pPr>
        <w:pStyle w:val="ListParagraph"/>
        <w:numPr>
          <w:ilvl w:val="0"/>
          <w:numId w:val="1"/>
        </w:numPr>
        <w:spacing w:after="90" w:line="276"/>
      </w:pPr>
      <w:r>
        <w:rPr>
          <w:sz w:val="22"/>
          <w:szCs w:val="22"/>
        </w:rPr>
        <w:t xml:space="preserve">A resources endpoint supporting the specification's filters, and a search endpoint with genuine natural-language ranking.</w:t>
      </w:r>
    </w:p>
    <w:p>
      <w:pPr>
        <w:pStyle w:val="ListParagraph"/>
        <w:numPr>
          <w:ilvl w:val="0"/>
          <w:numId w:val="1"/>
        </w:numPr>
        <w:spacing w:after="90" w:line="276"/>
      </w:pPr>
      <w:r>
        <w:rPr>
          <w:sz w:val="22"/>
          <w:szCs w:val="22"/>
        </w:rPr>
        <w:t xml:space="preserve">HTTP endpoints and MCP tools treated as first-class resource types in the same catalogue.</w:t>
      </w:r>
    </w:p>
    <w:p>
      <w:pPr>
        <w:pStyle w:val="ListParagraph"/>
        <w:numPr>
          <w:ilvl w:val="0"/>
          <w:numId w:val="1"/>
        </w:numPr>
        <w:spacing w:after="90" w:line="276"/>
      </w:pPr>
      <w:r>
        <w:rPr>
          <w:sz w:val="22"/>
          <w:szCs w:val="22"/>
        </w:rPr>
        <w:t xml:space="preserve">Catalogue-integrity enforcement against forged listings, including route-template validation.</w:t>
      </w:r>
    </w:p>
    <w:p>
      <w:pPr>
        <w:pStyle w:val="ListParagraph"/>
        <w:numPr>
          <w:ilvl w:val="0"/>
          <w:numId w:val="1"/>
        </w:numPr>
        <w:spacing w:after="90" w:line="276"/>
      </w:pPr>
      <w:r>
        <w:rPr>
          <w:sz w:val="22"/>
          <w:szCs w:val="22"/>
        </w:rPr>
        <w:t xml:space="preserve">An MCP server exposing search and paid-call tools, with machine-readable error codes on every rejection.</w:t>
      </w:r>
    </w:p>
    <w:p>
      <w:pPr>
        <w:pStyle w:val="ListParagraph"/>
        <w:numPr>
          <w:ilvl w:val="0"/>
          <w:numId w:val="1"/>
        </w:numPr>
        <w:spacing w:after="90" w:line="276"/>
      </w:pPr>
      <w:r>
        <w:rPr>
          <w:sz w:val="22"/>
          <w:szCs w:val="22"/>
        </w:rPr>
        <w:t xml:space="preserve">API key issuance and per-key rate limiting for catalogue writes and search.</w:t>
      </w:r>
    </w:p>
    <w:p>
      <w:pPr>
        <w:pStyle w:val="Heading2"/>
        <w:spacing w:after="110" w:before="200"/>
      </w:pPr>
      <w:r>
        <w:rPr>
          <w:b/>
          <w:bCs/>
          <w:sz w:val="23"/>
          <w:szCs w:val="23"/>
        </w:rPr>
        <w:t xml:space="preserve">5.3 In scope, Phase 2 (milestones M4, M5, and M6)</w:t>
      </w:r>
    </w:p>
    <w:p>
      <w:pPr>
        <w:pStyle w:val="ListParagraph"/>
        <w:numPr>
          <w:ilvl w:val="0"/>
          <w:numId w:val="1"/>
        </w:numPr>
        <w:spacing w:after="90" w:line="276"/>
      </w:pPr>
      <w:r>
        <w:rPr>
          <w:sz w:val="22"/>
          <w:szCs w:val="22"/>
        </w:rPr>
        <w:t xml:space="preserve">Authorship of the upto scheme specification for Stellar and its reference implementation, submitted through the x402 Technical Steering Committee.</w:t>
      </w:r>
    </w:p>
    <w:p>
      <w:pPr>
        <w:pStyle w:val="ListParagraph"/>
        <w:numPr>
          <w:ilvl w:val="0"/>
          <w:numId w:val="1"/>
        </w:numPr>
        <w:spacing w:after="90" w:line="276"/>
      </w:pPr>
      <w:r>
        <w:rPr>
          <w:sz w:val="22"/>
          <w:szCs w:val="22"/>
        </w:rPr>
        <w:t xml:space="preserve">Full conformance run and published settlement evidence on both networks.</w:t>
      </w:r>
    </w:p>
    <w:p>
      <w:pPr>
        <w:pStyle w:val="ListParagraph"/>
        <w:numPr>
          <w:ilvl w:val="0"/>
          <w:numId w:val="1"/>
        </w:numPr>
        <w:spacing w:after="90" w:line="276"/>
      </w:pPr>
      <w:r>
        <w:rPr>
          <w:sz w:val="22"/>
          <w:szCs w:val="22"/>
        </w:rPr>
        <w:t xml:space="preserve">Third-party security review through the Audit Bank covering the settlement path, authorization-entry validation, and the discovery trust boundary.</w:t>
      </w:r>
    </w:p>
    <w:p>
      <w:pPr>
        <w:pStyle w:val="ListParagraph"/>
        <w:numPr>
          <w:ilvl w:val="0"/>
          <w:numId w:val="1"/>
        </w:numPr>
        <w:spacing w:after="90" w:line="276"/>
      </w:pPr>
      <w:r>
        <w:rPr>
          <w:sz w:val="22"/>
          <w:szCs w:val="22"/>
        </w:rPr>
        <w:t xml:space="preserve">Mainnet production tag, gated on that audit.</w:t>
      </w:r>
    </w:p>
    <w:p>
      <w:pPr>
        <w:pStyle w:val="Heading2"/>
        <w:spacing w:after="110" w:before="200"/>
      </w:pPr>
      <w:r>
        <w:rPr>
          <w:b/>
          <w:bCs/>
          <w:sz w:val="23"/>
          <w:szCs w:val="23"/>
        </w:rPr>
        <w:t xml:space="preserve">5.4 Explicitly out of scope</w:t>
      </w:r>
    </w:p>
    <w:p>
      <w:pPr>
        <w:pStyle w:val="ListParagraph"/>
        <w:numPr>
          <w:ilvl w:val="0"/>
          <w:numId w:val="1"/>
        </w:numPr>
        <w:spacing w:after="90" w:line="276"/>
      </w:pPr>
      <w:r>
        <w:rPr>
          <w:sz w:val="22"/>
          <w:szCs w:val="22"/>
        </w:rPr>
        <w:t xml:space="preserve">Custody of funds, private keys, or signing authority. Clara validates and submits payments that the payer has already authorised; it never holds assets and never signs on a payer's behalf.</w:t>
      </w:r>
    </w:p>
    <w:p>
      <w:pPr>
        <w:pStyle w:val="ListParagraph"/>
        <w:numPr>
          <w:ilvl w:val="0"/>
          <w:numId w:val="1"/>
        </w:numPr>
        <w:spacing w:after="90" w:line="276"/>
      </w:pPr>
      <w:r>
        <w:rPr>
          <w:sz w:val="22"/>
          <w:szCs w:val="22"/>
        </w:rPr>
        <w:t xml:space="preserve">Reimplementation of x402 settlement primitives already provided by @x402/stellar.</w:t>
      </w:r>
    </w:p>
    <w:p>
      <w:pPr>
        <w:pStyle w:val="ListParagraph"/>
        <w:numPr>
          <w:ilvl w:val="0"/>
          <w:numId w:val="1"/>
        </w:numPr>
        <w:spacing w:after="90" w:line="276"/>
      </w:pPr>
      <w:r>
        <w:rPr>
          <w:sz w:val="22"/>
          <w:szCs w:val="22"/>
        </w:rPr>
        <w:t xml:space="preserve">Becoming a model or agent provider. Clara serves agents; it does not run them.</w:t>
      </w:r>
    </w:p>
    <w:p>
      <w:pPr>
        <w:pStyle w:val="ListParagraph"/>
        <w:numPr>
          <w:ilvl w:val="0"/>
          <w:numId w:val="1"/>
        </w:numPr>
        <w:spacing w:after="90" w:line="276"/>
      </w:pPr>
      <w:r>
        <w:rPr>
          <w:sz w:val="22"/>
          <w:szCs w:val="22"/>
        </w:rPr>
        <w:t xml:space="preserve">Historical analytics of payment activity beyond the operational retention window defined in the Data Model and Event Schema Document.</w:t>
      </w:r>
    </w:p>
    <w:p>
      <w:pPr>
        <w:pStyle w:val="ListParagraph"/>
        <w:numPr>
          <w:ilvl w:val="0"/>
          <w:numId w:val="1"/>
        </w:numPr>
        <w:spacing w:after="90" w:line="276"/>
      </w:pPr>
      <w:r>
        <w:rPr>
          <w:sz w:val="22"/>
          <w:szCs w:val="22"/>
        </w:rPr>
        <w:t xml:space="preserve">Curation or endorsement of catalogued services. Clara enforces integrity of listings, not the quality or honesty of the services behind them; this distinction is stated in the Customer-Facing Service Level Agreement.</w:t>
      </w:r>
    </w:p>
    <w:p>
      <w:pPr>
        <w:pStyle w:val="Heading1"/>
        <w:spacing w:after="140" w:before="280"/>
      </w:pPr>
      <w:r>
        <w:rPr>
          <w:b/>
          <w:bCs/>
          <w:sz w:val="26"/>
          <w:szCs w:val="26"/>
        </w:rPr>
        <w:t xml:space="preserve">6. Assumptions and Constraints</w:t>
      </w:r>
    </w:p>
    <w:p>
      <w:pPr>
        <w:pStyle w:val="ListParagraph"/>
        <w:numPr>
          <w:ilvl w:val="0"/>
          <w:numId w:val="1"/>
        </w:numPr>
        <w:spacing w:after="90" w:line="276"/>
      </w:pPr>
      <w:r>
        <w:rPr>
          <w:sz w:val="22"/>
          <w:szCs w:val="22"/>
        </w:rPr>
        <w:t xml:space="preserve">The x402 discovery conventions are still moving. The request for proposals explicitly requires a commitment to track them through the grant period, so schema and endpoint stability cannot be assumed and the Change Management Policy must accommodate upstream-driven change.</w:t>
      </w:r>
    </w:p>
    <w:p>
      <w:pPr>
        <w:pStyle w:val="ListParagraph"/>
        <w:numPr>
          <w:ilvl w:val="0"/>
          <w:numId w:val="1"/>
        </w:numPr>
        <w:spacing w:after="90" w:line="276"/>
      </w:pPr>
      <w:r>
        <w:rPr>
          <w:sz w:val="22"/>
          <w:szCs w:val="22"/>
        </w:rPr>
        <w:t xml:space="preserve">The AGPL exclusion is a hard constraint, not a preference. The OpenZeppelin Relayer x402 plugin is excluded as a base, which rules out the fastest available shortcut to a working facilitator.</w:t>
      </w:r>
    </w:p>
    <w:p>
      <w:pPr>
        <w:pStyle w:val="ListParagraph"/>
        <w:numPr>
          <w:ilvl w:val="0"/>
          <w:numId w:val="1"/>
        </w:numPr>
        <w:spacing w:after="90" w:line="276"/>
      </w:pPr>
      <w:r>
        <w:rPr>
          <w:sz w:val="22"/>
          <w:szCs w:val="22"/>
        </w:rPr>
        <w:t xml:space="preserve">The initial engineering team has strong application-layer experience in TypeScript and React and limited prior experience operating payment infrastructure. The phase sequencing above is deliberately ordered so that settlement correctness is proven before discovery complexity is added.</w:t>
      </w:r>
    </w:p>
    <w:p>
      <w:pPr>
        <w:pStyle w:val="ListParagraph"/>
        <w:numPr>
          <w:ilvl w:val="0"/>
          <w:numId w:val="1"/>
        </w:numPr>
        <w:spacing w:after="90" w:line="276"/>
      </w:pPr>
      <w:r>
        <w:rPr>
          <w:sz w:val="22"/>
          <w:szCs w:val="22"/>
        </w:rPr>
        <w:t xml:space="preserve">Primary funding is an SCF Build Award disbursed in tranches, with an 8 November 2026 submission deadline for Round 46; the build plan must remain compatible with that tranche structure.</w:t>
      </w:r>
    </w:p>
    <w:p>
      <w:pPr>
        <w:pStyle w:val="ListParagraph"/>
        <w:numPr>
          <w:ilvl w:val="0"/>
          <w:numId w:val="1"/>
        </w:numPr>
        <w:spacing w:after="90" w:line="276"/>
      </w:pPr>
      <w:r>
        <w:rPr>
          <w:sz w:val="22"/>
          <w:szCs w:val="22"/>
        </w:rPr>
        <w:t xml:space="preserve">Search ranking quality is a graded deliverable. Unlike the rest of the system, it cannot be verified as simply pass or fail, which is why the Test Plan and QA Strategy defines its evaluation method explicitly.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 Clara</dc:title>
  <dc:creator>Rafif Muhammad Ransi Anargya</dc:creator>
  <dc:description>Clara: Document 2 of 13</dc:description>
  <cp:lastModifiedBy>Un-named</cp:lastModifiedBy>
  <cp:revision>1</cp:revision>
  <dcterms:created xsi:type="dcterms:W3CDTF">2026-09-21T00:29:08.895Z</dcterms:created>
  <dcterms:modified xsi:type="dcterms:W3CDTF">2026-09-21T00:29:08.895Z</dcterms:modified>
</cp:coreProperties>
</file>

<file path=docProps/custom.xml><?xml version="1.0" encoding="utf-8"?>
<Properties xmlns="http://schemas.openxmlformats.org/officeDocument/2006/custom-properties" xmlns:vt="http://schemas.openxmlformats.org/officeDocument/2006/docPropsVTypes"/>
</file>