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4"/>
          <w:szCs w:val="34"/>
        </w:rPr>
        <w:t xml:space="preserve">System Architecture Document</w:t>
      </w:r>
    </w:p>
    <w:p>
      <w:pPr>
        <w:spacing w:after="180"/>
      </w:pPr>
      <w:r>
        <w:rPr>
          <w:b/>
          <w:bCs/>
          <w:color w:val="1F6F63"/>
          <w:sz w:val="24"/>
          <w:szCs w:val="24"/>
        </w:rPr>
        <w:t xml:space="preserve">Clara</w:t>
      </w:r>
    </w:p>
    <w:p>
      <w:pPr>
        <w:spacing w:after="120" w:line="276"/>
      </w:pPr>
      <w:r>
        <w:rPr>
          <w:sz w:val="21"/>
          <w:szCs w:val="21"/>
        </w:rPr>
        <w:t xml:space="preserve">Document 3 of 13: System Architecture Document</w:t>
      </w:r>
    </w:p>
    <w:p>
      <w:pPr>
        <w:spacing w:after="120" w:line="276"/>
      </w:pPr>
      <w:r>
        <w:rPr>
          <w:sz w:val="21"/>
          <w:szCs w:val="21"/>
        </w:rPr>
        <w:t xml:space="preserve">Version 0.2 - Draft for Review</w:t>
      </w:r>
    </w:p>
    <w:p>
      <w:pPr>
        <w:spacing w:after="120" w:line="276"/>
      </w:pPr>
      <w:r>
        <w:rPr>
          <w:sz w:val="21"/>
          <w:szCs w:val="21"/>
        </w:rPr>
        <w:t xml:space="preserve">Author: Rafif Muhammad Ransi Anargya</w:t>
      </w:r>
    </w:p>
    <w:p>
      <w:pPr>
        <w:spacing w:after="260" w:line="276"/>
      </w:pPr>
      <w:r>
        <w:rPr>
          <w:sz w:val="21"/>
          <w:szCs w:val="21"/>
        </w:rPr>
        <w:t xml:space="preserve">Date: 21 September 2026</w:t>
      </w:r>
    </w:p>
    <w:p>
      <w:pPr>
        <w:pStyle w:val="Heading1"/>
        <w:spacing w:after="140" w:before="280"/>
      </w:pPr>
      <w:r>
        <w:rPr>
          <w:b/>
          <w:bCs/>
          <w:sz w:val="26"/>
          <w:szCs w:val="26"/>
        </w:rPr>
        <w:t xml:space="preserve">1. Purpose and Scope</w:t>
      </w:r>
    </w:p>
    <w:p>
      <w:pPr>
        <w:spacing w:after="120" w:line="276"/>
      </w:pPr>
      <w:r>
        <w:rPr>
          <w:sz w:val="22"/>
          <w:szCs w:val="22"/>
        </w:rPr>
        <w:t xml:space="preserve">This document describes the technical architecture of Clara: its components, their responsibilities, the flow of a payment and of a discovery query through them, the technology chosen at each stage and why, and how the deployment topology changes across the three build phases defined in the Product Requirements Document.</w:t>
      </w:r>
    </w:p>
    <w:p>
      <w:pPr>
        <w:pStyle w:val="Heading1"/>
        <w:spacing w:after="140" w:before="280"/>
      </w:pPr>
      <w:r>
        <w:rPr>
          <w:b/>
          <w:bCs/>
          <w:sz w:val="26"/>
          <w:szCs w:val="26"/>
        </w:rPr>
        <w:t xml:space="preserve">2. Architecture Overview</w:t>
      </w:r>
    </w:p>
    <w:p>
      <w:pPr>
        <w:spacing w:after="120" w:line="276"/>
      </w:pPr>
      <w:r>
        <w:rPr>
          <w:sz w:val="22"/>
          <w:szCs w:val="22"/>
        </w:rPr>
        <w:t xml:space="preserve">Clara is two cooperating subsystems that share an accounts store and an observability stack but are deliberately separable: a settlement path and a discovery path. A failure in discovery must never prevent a payment from settling.</w:t>
      </w:r>
    </w:p>
    <w:p>
      <w:pPr>
        <w:pStyle w:val="Heading2"/>
        <w:spacing w:after="110" w:before="200"/>
      </w:pPr>
      <w:r>
        <w:rPr>
          <w:b/>
          <w:bCs/>
          <w:sz w:val="23"/>
          <w:szCs w:val="23"/>
        </w:rPr>
        <w:t xml:space="preserve">2.1 Settlement path</w:t>
      </w:r>
    </w:p>
    <w:p>
      <w:pPr>
        <w:spacing w:after="120" w:line="276"/>
      </w:pPr>
      <w:r>
        <w:rPr>
          <w:sz w:val="22"/>
          <w:szCs w:val="22"/>
        </w:rPr>
        <w:t xml:space="preserve">A seller's resource server, running x402 middleware, returns HTTP 402 with a PAYMENT-REQUIRED header describing price, network, asset, and recipient. The paying client signs a Soroban authorization entry and retries with a PAYMENT-SIGNATURE header. The seller passes that to Clara's verify endpoint; on success, the seller calls settle, and Clara submits the transaction to the Stellar network through Soroban RPC, returning a settlement confirmation the seller relays as a PAYMENT-RESPONSE header.</w:t>
      </w:r>
    </w:p>
    <w:p>
      <w:pPr>
        <w:pStyle w:val="Heading2"/>
        <w:spacing w:after="110" w:before="200"/>
      </w:pPr>
      <w:r>
        <w:rPr>
          <w:b/>
          <w:bCs/>
          <w:sz w:val="23"/>
          <w:szCs w:val="23"/>
        </w:rPr>
        <w:t xml:space="preserve">2.2 Authorization-entry validator</w:t>
      </w:r>
    </w:p>
    <w:p>
      <w:pPr>
        <w:spacing w:after="120" w:line="276"/>
      </w:pPr>
      <w:r>
        <w:rPr>
          <w:sz w:val="22"/>
          <w:szCs w:val="22"/>
        </w:rPr>
        <w:t xml:space="preserve">The security core of the system, and the component with the least tolerance for error. It decodes the submitted entry and confirms that it authorises exactly the call being claimed: the expected SEP-41 token contract, the transfer function, the exact amount in base units, the exact recipient, and an expiration that has not passed. It rejects anything that does not match on every field rather than on a subset. Its rejection reasons are enumerated and machine-readable, as defined in the API and Protocol Specification.</w:t>
      </w:r>
    </w:p>
    <w:p>
      <w:pPr>
        <w:pStyle w:val="Heading2"/>
        <w:spacing w:after="110" w:before="200"/>
      </w:pPr>
      <w:r>
        <w:rPr>
          <w:b/>
          <w:bCs/>
          <w:sz w:val="23"/>
          <w:szCs w:val="23"/>
        </w:rPr>
        <w:t xml:space="preserve">2.3 Settlement submitter</w:t>
      </w:r>
    </w:p>
    <w:p>
      <w:pPr>
        <w:spacing w:after="120" w:line="276"/>
      </w:pPr>
      <w:r>
        <w:rPr>
          <w:sz w:val="22"/>
          <w:szCs w:val="22"/>
        </w:rPr>
        <w:t xml:space="preserve">Simulates the transaction against Soroban RPC before submission to confirm it will succeed, optionally wraps it with fee sponsorship, submits it, and records the resulting transaction hash. Clara pays network fees where sponsorship is advertised; it never holds or moves the payer's asset balance itself.</w:t>
      </w:r>
    </w:p>
    <w:p>
      <w:pPr>
        <w:pStyle w:val="Heading2"/>
        <w:spacing w:after="110" w:before="200"/>
      </w:pPr>
      <w:r>
        <w:rPr>
          <w:b/>
          <w:bCs/>
          <w:sz w:val="23"/>
          <w:szCs w:val="23"/>
        </w:rPr>
        <w:t xml:space="preserve">2.4 Catalogue ingestion</w:t>
      </w:r>
    </w:p>
    <w:p>
      <w:pPr>
        <w:spacing w:after="120" w:line="276"/>
      </w:pPr>
      <w:r>
        <w:rPr>
          <w:sz w:val="22"/>
          <w:szCs w:val="22"/>
        </w:rPr>
        <w:t xml:space="preserve">Populates the Bazaar automatically from the x402 discovery extension, so a seller who exposes a discoverable x402 resource is catalogued without a separate registration step. Each candidate listing passes through integrity validation, described in the Security and Threat Model, before it becomes visible to search.</w:t>
      </w:r>
    </w:p>
    <w:p>
      <w:pPr>
        <w:pStyle w:val="Heading2"/>
        <w:spacing w:after="110" w:before="200"/>
      </w:pPr>
      <w:r>
        <w:rPr>
          <w:b/>
          <w:bCs/>
          <w:sz w:val="23"/>
          <w:szCs w:val="23"/>
        </w:rPr>
        <w:t xml:space="preserve">2.5 Index and search</w:t>
      </w:r>
    </w:p>
    <w:p>
      <w:pPr>
        <w:spacing w:after="120" w:line="276"/>
      </w:pPr>
      <w:r>
        <w:rPr>
          <w:sz w:val="22"/>
          <w:szCs w:val="22"/>
        </w:rPr>
        <w:t xml:space="preserve">Each catalogued resource's description is embedded into a vector representation and stored alongside the record. A natural-language query is embedded the same way and ranked by cosine similarity, blended with lexical matching so that exact identifiers, asset codes, and provider names still resolve precisely. Keyword-only matching is explicitly insufficient, since search quality is a graded deliverable of the funded work.</w:t>
      </w:r>
    </w:p>
    <w:p>
      <w:pPr>
        <w:pStyle w:val="Heading2"/>
        <w:spacing w:after="110" w:before="200"/>
      </w:pPr>
      <w:r>
        <w:rPr>
          <w:b/>
          <w:bCs/>
          <w:sz w:val="23"/>
          <w:szCs w:val="23"/>
        </w:rPr>
        <w:t xml:space="preserve">2.6 Discovery API and MCP server</w:t>
      </w:r>
    </w:p>
    <w:p>
      <w:pPr>
        <w:spacing w:after="120" w:line="276"/>
      </w:pPr>
      <w:r>
        <w:rPr>
          <w:sz w:val="22"/>
          <w:szCs w:val="22"/>
        </w:rPr>
        <w:t xml:space="preserve">The discovery API exposes the catalogue over HTTP for any client. The MCP server wraps the same capabilities as tools, so an agent inside a Model Context Protocol runtime can search for a capability and pay for it without leaving that runtime. Both surfaces read the same catalogue; the MCP server is a presentation layer, not a second source of truth.</w:t>
      </w:r>
    </w:p>
    <w:p>
      <w:pPr>
        <w:pStyle w:val="Heading1"/>
        <w:spacing w:after="140" w:before="280"/>
      </w:pPr>
      <w:r>
        <w:rPr>
          <w:b/>
          <w:bCs/>
          <w:sz w:val="26"/>
          <w:szCs w:val="26"/>
        </w:rPr>
        <w:t xml:space="preserve">3. Supporting Components</w:t>
      </w:r>
    </w:p>
    <w:p>
      <w:pPr>
        <w:pStyle w:val="Heading2"/>
        <w:spacing w:after="110" w:before="200"/>
      </w:pPr>
      <w:r>
        <w:rPr>
          <w:b/>
          <w:bCs/>
          <w:sz w:val="23"/>
          <w:szCs w:val="23"/>
        </w:rPr>
        <w:t xml:space="preserve">3.1 Accounts, keys, and rate limiting</w:t>
      </w:r>
    </w:p>
    <w:p>
      <w:pPr>
        <w:spacing w:after="120" w:line="276"/>
      </w:pPr>
      <w:r>
        <w:rPr>
          <w:sz w:val="22"/>
          <w:szCs w:val="22"/>
        </w:rPr>
        <w:t xml:space="preserve">A Postgres database stores seller accounts, API keys, tiers, and quotas. It also holds the catalogue and its vector index through the pgvector extension. Account and quota operations are kept off the settlement hot path so that administrative load can never delay a payment.</w:t>
      </w:r>
    </w:p>
    <w:p>
      <w:pPr>
        <w:pStyle w:val="Heading2"/>
        <w:spacing w:after="110" w:before="200"/>
      </w:pPr>
      <w:r>
        <w:rPr>
          <w:b/>
          <w:bCs/>
          <w:sz w:val="23"/>
          <w:szCs w:val="23"/>
        </w:rPr>
        <w:t xml:space="preserve">3.2 Observability</w:t>
      </w:r>
    </w:p>
    <w:p>
      <w:pPr>
        <w:spacing w:after="120" w:line="276"/>
      </w:pPr>
      <w:r>
        <w:rPr>
          <w:sz w:val="22"/>
          <w:szCs w:val="22"/>
        </w:rPr>
        <w:t xml:space="preserve">Prometheus and Grafana track settlement success rate as the primary operational metric, alongside verification rejection rate by reason, settlement latency, Soroban RPC error rate, catalogue ingestion and rejection counts, and search latency. Verification rejections are monitored by reason rather than in aggregate, because a sudden shift in the distribution of reasons is the earliest visible signal of either an upstream specification change or an attack.</w:t>
      </w:r>
    </w:p>
    <w:p>
      <w:pPr>
        <w:pStyle w:val="Heading1"/>
        <w:spacing w:after="140" w:before="280"/>
      </w:pPr>
      <w:r>
        <w:rPr>
          <w:b/>
          <w:bCs/>
          <w:sz w:val="26"/>
          <w:szCs w:val="26"/>
        </w:rPr>
        <w:t xml:space="preserve">4. Technology Choices and Rationale</w:t>
      </w:r>
    </w:p>
    <w:tbl>
      <w:tblPr>
        <w:tblW w:type="dxa" w:w="9360"/>
        <w:tblBorders>
          <w:top w:val="single" w:color="BFC9C3" w:sz="4"/>
          <w:left w:val="single" w:color="BFC9C3" w:sz="4"/>
          <w:bottom w:val="single" w:color="BFC9C3" w:sz="4"/>
          <w:right w:val="single" w:color="BFC9C3" w:sz="4"/>
          <w:insideH w:val="single" w:color="D7DED9" w:sz="4"/>
          <w:insideV w:val="single" w:color="D7DED9" w:sz="4"/>
        </w:tblBorders>
      </w:tblPr>
      <w:tblGrid>
        <w:gridCol w:w="1900"/>
        <w:gridCol w:w="2200"/>
        <w:gridCol w:w="5260"/>
      </w:tblGrid>
      <w:tr>
        <w:trPr>
          <w:tblHeader/>
        </w:trPr>
        <w:tc>
          <w:tcPr>
            <w:tcW w:type="dxa" w:w="1900"/>
            <w:shd w:fill="E7ECE6" w:val="clear"/>
            <w:tcMar>
              <w:top w:type="dxa" w:w="80"/>
              <w:left w:type="dxa" w:w="110"/>
              <w:bottom w:type="dxa" w:w="80"/>
              <w:right w:type="dxa" w:w="110"/>
            </w:tcMar>
          </w:tcPr>
          <w:p>
            <w:pPr>
              <w:spacing w:after="0" w:line="260"/>
            </w:pPr>
            <w:r>
              <w:rPr>
                <w:b/>
                <w:bCs/>
                <w:sz w:val="19"/>
                <w:szCs w:val="19"/>
              </w:rPr>
              <w:t xml:space="preserve">Decision</w:t>
            </w:r>
          </w:p>
        </w:tc>
        <w:tc>
          <w:tcPr>
            <w:tcW w:type="dxa" w:w="2200"/>
            <w:shd w:fill="E7ECE6" w:val="clear"/>
            <w:tcMar>
              <w:top w:type="dxa" w:w="80"/>
              <w:left w:type="dxa" w:w="110"/>
              <w:bottom w:type="dxa" w:w="80"/>
              <w:right w:type="dxa" w:w="110"/>
            </w:tcMar>
          </w:tcPr>
          <w:p>
            <w:pPr>
              <w:spacing w:after="0" w:line="260"/>
            </w:pPr>
            <w:r>
              <w:rPr>
                <w:b/>
                <w:bCs/>
                <w:sz w:val="19"/>
                <w:szCs w:val="19"/>
              </w:rPr>
              <w:t xml:space="preserve">Choice</w:t>
            </w:r>
          </w:p>
        </w:tc>
        <w:tc>
          <w:tcPr>
            <w:tcW w:type="dxa" w:w="5260"/>
            <w:shd w:fill="E7ECE6" w:val="clear"/>
            <w:tcMar>
              <w:top w:type="dxa" w:w="80"/>
              <w:left w:type="dxa" w:w="110"/>
              <w:bottom w:type="dxa" w:w="80"/>
              <w:right w:type="dxa" w:w="110"/>
            </w:tcMar>
          </w:tcPr>
          <w:p>
            <w:pPr>
              <w:spacing w:after="0" w:line="260"/>
            </w:pPr>
            <w:r>
              <w:rPr>
                <w:b/>
                <w:bCs/>
                <w:sz w:val="19"/>
                <w:szCs w:val="19"/>
              </w:rPr>
              <w:t xml:space="preserve">Rationale</w:t>
            </w:r>
          </w:p>
        </w:tc>
      </w:tr>
      <w:tr>
        <w:tc>
          <w:tcPr>
            <w:tcW w:type="dxa" w:w="1900"/>
            <w:tcMar>
              <w:top w:type="dxa" w:w="80"/>
              <w:left w:type="dxa" w:w="110"/>
              <w:bottom w:type="dxa" w:w="80"/>
              <w:right w:type="dxa" w:w="110"/>
            </w:tcMar>
          </w:tcPr>
          <w:p>
            <w:pPr>
              <w:spacing w:after="0" w:line="260"/>
            </w:pPr>
            <w:r>
              <w:rPr>
                <w:b w:val="false"/>
                <w:bCs w:val="false"/>
                <w:sz w:val="19"/>
                <w:szCs w:val="19"/>
              </w:rPr>
              <w:t xml:space="preserve">Primary language</w:t>
            </w:r>
          </w:p>
        </w:tc>
        <w:tc>
          <w:tcPr>
            <w:tcW w:type="dxa" w:w="2200"/>
            <w:tcMar>
              <w:top w:type="dxa" w:w="80"/>
              <w:left w:type="dxa" w:w="110"/>
              <w:bottom w:type="dxa" w:w="80"/>
              <w:right w:type="dxa" w:w="110"/>
            </w:tcMar>
          </w:tcPr>
          <w:p>
            <w:pPr>
              <w:spacing w:after="0" w:line="260"/>
            </w:pPr>
            <w:r>
              <w:rPr>
                <w:b w:val="false"/>
                <w:bCs w:val="false"/>
                <w:sz w:val="19"/>
                <w:szCs w:val="19"/>
              </w:rPr>
              <w:t xml:space="preserve">TypeScript on Node.js</w:t>
            </w:r>
          </w:p>
        </w:tc>
        <w:tc>
          <w:tcPr>
            <w:tcW w:type="dxa" w:w="5260"/>
            <w:tcMar>
              <w:top w:type="dxa" w:w="80"/>
              <w:left w:type="dxa" w:w="110"/>
              <w:bottom w:type="dxa" w:w="80"/>
              <w:right w:type="dxa" w:w="110"/>
            </w:tcMar>
          </w:tcPr>
          <w:p>
            <w:pPr>
              <w:spacing w:after="0" w:line="260"/>
            </w:pPr>
            <w:r>
              <w:rPr>
                <w:b w:val="false"/>
                <w:bCs w:val="false"/>
                <w:sz w:val="19"/>
                <w:szCs w:val="19"/>
              </w:rPr>
              <w:t xml:space="preserve">The entire x402 ecosystem, including @x402/stellar, @x402/core, and the middleware packages, is TypeScript; using anything else would mean reimplementing the scheme and losing conformance guarantees.</w:t>
            </w:r>
          </w:p>
        </w:tc>
      </w:tr>
      <w:tr>
        <w:tc>
          <w:tcPr>
            <w:tcW w:type="dxa" w:w="1900"/>
            <w:tcMar>
              <w:top w:type="dxa" w:w="80"/>
              <w:left w:type="dxa" w:w="110"/>
              <w:bottom w:type="dxa" w:w="80"/>
              <w:right w:type="dxa" w:w="110"/>
            </w:tcMar>
          </w:tcPr>
          <w:p>
            <w:pPr>
              <w:spacing w:after="0" w:line="260"/>
            </w:pPr>
            <w:r>
              <w:rPr>
                <w:b w:val="false"/>
                <w:bCs w:val="false"/>
                <w:sz w:val="19"/>
                <w:szCs w:val="19"/>
              </w:rPr>
              <w:t xml:space="preserve">Settlement library</w:t>
            </w:r>
          </w:p>
        </w:tc>
        <w:tc>
          <w:tcPr>
            <w:tcW w:type="dxa" w:w="2200"/>
            <w:tcMar>
              <w:top w:type="dxa" w:w="80"/>
              <w:left w:type="dxa" w:w="110"/>
              <w:bottom w:type="dxa" w:w="80"/>
              <w:right w:type="dxa" w:w="110"/>
            </w:tcMar>
          </w:tcPr>
          <w:p>
            <w:pPr>
              <w:spacing w:after="0" w:line="260"/>
            </w:pPr>
            <w:r>
              <w:rPr>
                <w:b w:val="false"/>
                <w:bCs w:val="false"/>
                <w:sz w:val="19"/>
                <w:szCs w:val="19"/>
              </w:rPr>
              <w:t xml:space="preserve">@x402/stellar (Apache-2.0)</w:t>
            </w:r>
          </w:p>
        </w:tc>
        <w:tc>
          <w:tcPr>
            <w:tcW w:type="dxa" w:w="5260"/>
            <w:tcMar>
              <w:top w:type="dxa" w:w="80"/>
              <w:left w:type="dxa" w:w="110"/>
              <w:bottom w:type="dxa" w:w="80"/>
              <w:right w:type="dxa" w:w="110"/>
            </w:tcMar>
          </w:tcPr>
          <w:p>
            <w:pPr>
              <w:spacing w:after="0" w:line="260"/>
            </w:pPr>
            <w:r>
              <w:rPr>
                <w:b w:val="false"/>
                <w:bCs w:val="false"/>
                <w:sz w:val="19"/>
                <w:szCs w:val="19"/>
              </w:rPr>
              <w:t xml:space="preserve">Provides the Stellar exact scheme, signer, and network helpers. Building on it is mandated by the request for proposals; reimplementing settlement is explicitly out of scope.</w:t>
            </w:r>
          </w:p>
        </w:tc>
      </w:tr>
      <w:tr>
        <w:tc>
          <w:tcPr>
            <w:tcW w:type="dxa" w:w="1900"/>
            <w:tcMar>
              <w:top w:type="dxa" w:w="80"/>
              <w:left w:type="dxa" w:w="110"/>
              <w:bottom w:type="dxa" w:w="80"/>
              <w:right w:type="dxa" w:w="110"/>
            </w:tcMar>
          </w:tcPr>
          <w:p>
            <w:pPr>
              <w:spacing w:after="0" w:line="260"/>
            </w:pPr>
            <w:r>
              <w:rPr>
                <w:b w:val="false"/>
                <w:bCs w:val="false"/>
                <w:sz w:val="19"/>
                <w:szCs w:val="19"/>
              </w:rPr>
              <w:t xml:space="preserve">Excluded dependency</w:t>
            </w:r>
          </w:p>
        </w:tc>
        <w:tc>
          <w:tcPr>
            <w:tcW w:type="dxa" w:w="2200"/>
            <w:tcMar>
              <w:top w:type="dxa" w:w="80"/>
              <w:left w:type="dxa" w:w="110"/>
              <w:bottom w:type="dxa" w:w="80"/>
              <w:right w:type="dxa" w:w="110"/>
            </w:tcMar>
          </w:tcPr>
          <w:p>
            <w:pPr>
              <w:spacing w:after="0" w:line="260"/>
            </w:pPr>
            <w:r>
              <w:rPr>
                <w:b w:val="false"/>
                <w:bCs w:val="false"/>
                <w:sz w:val="19"/>
                <w:szCs w:val="19"/>
              </w:rPr>
              <w:t xml:space="preserve">OpenZeppelin Relayer x402 plugin</w:t>
            </w:r>
          </w:p>
        </w:tc>
        <w:tc>
          <w:tcPr>
            <w:tcW w:type="dxa" w:w="5260"/>
            <w:tcMar>
              <w:top w:type="dxa" w:w="80"/>
              <w:left w:type="dxa" w:w="110"/>
              <w:bottom w:type="dxa" w:w="80"/>
              <w:right w:type="dxa" w:w="110"/>
            </w:tcMar>
          </w:tcPr>
          <w:p>
            <w:pPr>
              <w:spacing w:after="0" w:line="260"/>
            </w:pPr>
            <w:r>
              <w:rPr>
                <w:b w:val="false"/>
                <w:bCs w:val="false"/>
                <w:sz w:val="19"/>
                <w:szCs w:val="19"/>
              </w:rPr>
              <w:t xml:space="preserve">AGPL-licensed. Disqualifies the grant if present anywhere in the dependency path, so it is excluded by policy, not by preference.</w:t>
            </w:r>
          </w:p>
        </w:tc>
      </w:tr>
      <w:tr>
        <w:tc>
          <w:tcPr>
            <w:tcW w:type="dxa" w:w="1900"/>
            <w:tcMar>
              <w:top w:type="dxa" w:w="80"/>
              <w:left w:type="dxa" w:w="110"/>
              <w:bottom w:type="dxa" w:w="80"/>
              <w:right w:type="dxa" w:w="110"/>
            </w:tcMar>
          </w:tcPr>
          <w:p>
            <w:pPr>
              <w:spacing w:after="0" w:line="260"/>
            </w:pPr>
            <w:r>
              <w:rPr>
                <w:b w:val="false"/>
                <w:bCs w:val="false"/>
                <w:sz w:val="19"/>
                <w:szCs w:val="19"/>
              </w:rPr>
              <w:t xml:space="preserve">Subscriber protocol</w:t>
            </w:r>
          </w:p>
        </w:tc>
        <w:tc>
          <w:tcPr>
            <w:tcW w:type="dxa" w:w="2200"/>
            <w:tcMar>
              <w:top w:type="dxa" w:w="80"/>
              <w:left w:type="dxa" w:w="110"/>
              <w:bottom w:type="dxa" w:w="80"/>
              <w:right w:type="dxa" w:w="110"/>
            </w:tcMar>
          </w:tcPr>
          <w:p>
            <w:pPr>
              <w:spacing w:after="0" w:line="260"/>
            </w:pPr>
            <w:r>
              <w:rPr>
                <w:b w:val="false"/>
                <w:bCs w:val="false"/>
                <w:sz w:val="19"/>
                <w:szCs w:val="19"/>
              </w:rPr>
              <w:t xml:space="preserve">HTTP with JSON, per the x402 specification</w:t>
            </w:r>
          </w:p>
        </w:tc>
        <w:tc>
          <w:tcPr>
            <w:tcW w:type="dxa" w:w="5260"/>
            <w:tcMar>
              <w:top w:type="dxa" w:w="80"/>
              <w:left w:type="dxa" w:w="110"/>
              <w:bottom w:type="dxa" w:w="80"/>
              <w:right w:type="dxa" w:w="110"/>
            </w:tcMar>
          </w:tcPr>
          <w:p>
            <w:pPr>
              <w:spacing w:after="0" w:line="260"/>
            </w:pPr>
            <w:r>
              <w:rPr>
                <w:b w:val="false"/>
                <w:bCs w:val="false"/>
                <w:sz w:val="19"/>
                <w:szCs w:val="19"/>
              </w:rPr>
              <w:t xml:space="preserve">The protocol is HTTP-native by design. Conformance with an unmodified canonical client is the acceptance bar, so the transport is not a free choice.</w:t>
            </w:r>
          </w:p>
        </w:tc>
      </w:tr>
      <w:tr>
        <w:tc>
          <w:tcPr>
            <w:tcW w:type="dxa" w:w="1900"/>
            <w:tcMar>
              <w:top w:type="dxa" w:w="80"/>
              <w:left w:type="dxa" w:w="110"/>
              <w:bottom w:type="dxa" w:w="80"/>
              <w:right w:type="dxa" w:w="110"/>
            </w:tcMar>
          </w:tcPr>
          <w:p>
            <w:pPr>
              <w:spacing w:after="0" w:line="260"/>
            </w:pPr>
            <w:r>
              <w:rPr>
                <w:b w:val="false"/>
                <w:bCs w:val="false"/>
                <w:sz w:val="19"/>
                <w:szCs w:val="19"/>
              </w:rPr>
              <w:t xml:space="preserve">Datastore and index</w:t>
            </w:r>
          </w:p>
        </w:tc>
        <w:tc>
          <w:tcPr>
            <w:tcW w:type="dxa" w:w="2200"/>
            <w:tcMar>
              <w:top w:type="dxa" w:w="80"/>
              <w:left w:type="dxa" w:w="110"/>
              <w:bottom w:type="dxa" w:w="80"/>
              <w:right w:type="dxa" w:w="110"/>
            </w:tcMar>
          </w:tcPr>
          <w:p>
            <w:pPr>
              <w:spacing w:after="0" w:line="260"/>
            </w:pPr>
            <w:r>
              <w:rPr>
                <w:b w:val="false"/>
                <w:bCs w:val="false"/>
                <w:sz w:val="19"/>
                <w:szCs w:val="19"/>
              </w:rPr>
              <w:t xml:space="preserve">Postgres with pgvector</w:t>
            </w:r>
          </w:p>
        </w:tc>
        <w:tc>
          <w:tcPr>
            <w:tcW w:type="dxa" w:w="5260"/>
            <w:tcMar>
              <w:top w:type="dxa" w:w="80"/>
              <w:left w:type="dxa" w:w="110"/>
              <w:bottom w:type="dxa" w:w="80"/>
              <w:right w:type="dxa" w:w="110"/>
            </w:tcMar>
          </w:tcPr>
          <w:p>
            <w:pPr>
              <w:spacing w:after="0" w:line="260"/>
            </w:pPr>
            <w:r>
              <w:rPr>
                <w:b w:val="false"/>
                <w:bCs w:val="false"/>
                <w:sz w:val="19"/>
                <w:szCs w:val="19"/>
              </w:rPr>
              <w:t xml:space="preserve">One store for accounts, catalogue, and embeddings avoids a separate vector service at this scale and keeps catalogue integrity and ranking transactionally consistent.</w:t>
            </w:r>
          </w:p>
        </w:tc>
      </w:tr>
      <w:tr>
        <w:tc>
          <w:tcPr>
            <w:tcW w:type="dxa" w:w="1900"/>
            <w:tcMar>
              <w:top w:type="dxa" w:w="80"/>
              <w:left w:type="dxa" w:w="110"/>
              <w:bottom w:type="dxa" w:w="80"/>
              <w:right w:type="dxa" w:w="110"/>
            </w:tcMar>
          </w:tcPr>
          <w:p>
            <w:pPr>
              <w:spacing w:after="0" w:line="260"/>
            </w:pPr>
            <w:r>
              <w:rPr>
                <w:b w:val="false"/>
                <w:bCs w:val="false"/>
                <w:sz w:val="19"/>
                <w:szCs w:val="19"/>
              </w:rPr>
              <w:t xml:space="preserve">Agent interface</w:t>
            </w:r>
          </w:p>
        </w:tc>
        <w:tc>
          <w:tcPr>
            <w:tcW w:type="dxa" w:w="2200"/>
            <w:tcMar>
              <w:top w:type="dxa" w:w="80"/>
              <w:left w:type="dxa" w:w="110"/>
              <w:bottom w:type="dxa" w:w="80"/>
              <w:right w:type="dxa" w:w="110"/>
            </w:tcMar>
          </w:tcPr>
          <w:p>
            <w:pPr>
              <w:spacing w:after="0" w:line="260"/>
            </w:pPr>
            <w:r>
              <w:rPr>
                <w:b w:val="false"/>
                <w:bCs w:val="false"/>
                <w:sz w:val="19"/>
                <w:szCs w:val="19"/>
              </w:rPr>
              <w:t xml:space="preserve">Model Context Protocol server</w:t>
            </w:r>
          </w:p>
        </w:tc>
        <w:tc>
          <w:tcPr>
            <w:tcW w:type="dxa" w:w="5260"/>
            <w:tcMar>
              <w:top w:type="dxa" w:w="80"/>
              <w:left w:type="dxa" w:w="110"/>
              <w:bottom w:type="dxa" w:w="80"/>
              <w:right w:type="dxa" w:w="110"/>
            </w:tcMar>
          </w:tcPr>
          <w:p>
            <w:pPr>
              <w:spacing w:after="0" w:line="260"/>
            </w:pPr>
            <w:r>
              <w:rPr>
                <w:b w:val="false"/>
                <w:bCs w:val="false"/>
                <w:sz w:val="19"/>
                <w:szCs w:val="19"/>
              </w:rPr>
              <w:t xml:space="preserve">Required deliverable; it is how an agent reaches discovery and payment from inside its own runtime.</w:t>
            </w:r>
          </w:p>
        </w:tc>
      </w:tr>
      <w:tr>
        <w:tc>
          <w:tcPr>
            <w:tcW w:type="dxa" w:w="1900"/>
            <w:tcMar>
              <w:top w:type="dxa" w:w="80"/>
              <w:left w:type="dxa" w:w="110"/>
              <w:bottom w:type="dxa" w:w="80"/>
              <w:right w:type="dxa" w:w="110"/>
            </w:tcMar>
          </w:tcPr>
          <w:p>
            <w:pPr>
              <w:spacing w:after="0" w:line="260"/>
            </w:pPr>
            <w:r>
              <w:rPr>
                <w:b w:val="false"/>
                <w:bCs w:val="false"/>
                <w:sz w:val="19"/>
                <w:szCs w:val="19"/>
              </w:rPr>
              <w:t xml:space="preserve">Chain access</w:t>
            </w:r>
          </w:p>
        </w:tc>
        <w:tc>
          <w:tcPr>
            <w:tcW w:type="dxa" w:w="2200"/>
            <w:tcMar>
              <w:top w:type="dxa" w:w="80"/>
              <w:left w:type="dxa" w:w="110"/>
              <w:bottom w:type="dxa" w:w="80"/>
              <w:right w:type="dxa" w:w="110"/>
            </w:tcMar>
          </w:tcPr>
          <w:p>
            <w:pPr>
              <w:spacing w:after="0" w:line="260"/>
            </w:pPr>
            <w:r>
              <w:rPr>
                <w:b w:val="false"/>
                <w:bCs w:val="false"/>
                <w:sz w:val="19"/>
                <w:szCs w:val="19"/>
              </w:rPr>
              <w:t xml:space="preserve">Soroban RPC</w:t>
            </w:r>
          </w:p>
        </w:tc>
        <w:tc>
          <w:tcPr>
            <w:tcW w:type="dxa" w:w="5260"/>
            <w:tcMar>
              <w:top w:type="dxa" w:w="80"/>
              <w:left w:type="dxa" w:w="110"/>
              <w:bottom w:type="dxa" w:w="80"/>
              <w:right w:type="dxa" w:w="110"/>
            </w:tcMar>
          </w:tcPr>
          <w:p>
            <w:pPr>
              <w:spacing w:after="0" w:line="260"/>
            </w:pPr>
            <w:r>
              <w:rPr>
                <w:b w:val="false"/>
                <w:bCs w:val="false"/>
                <w:sz w:val="19"/>
                <w:szCs w:val="19"/>
              </w:rPr>
              <w:t xml:space="preserve">Required for transaction simulation before submission and for settlement submission itself.</w:t>
            </w:r>
          </w:p>
        </w:tc>
      </w:tr>
    </w:tbl>
    <w:p>
      <w:pPr>
        <w:pStyle w:val="Heading1"/>
        <w:spacing w:after="140" w:before="280"/>
      </w:pPr>
      <w:r>
        <w:rPr>
          <w:b/>
          <w:bCs/>
          <w:sz w:val="26"/>
          <w:szCs w:val="26"/>
        </w:rPr>
        <w:t xml:space="preserve">5. The Non-Custodial Boundary</w:t>
      </w:r>
    </w:p>
    <w:p>
      <w:pPr>
        <w:spacing w:after="120" w:line="276"/>
      </w:pPr>
      <w:r>
        <w:rPr>
          <w:sz w:val="22"/>
          <w:szCs w:val="22"/>
        </w:rPr>
        <w:t xml:space="preserve">This section states an architectural invariant, not an aspiration. Clara never holds a payer's funds, never holds a payer's private key, and never signs a payment on a payer's behalf. What it does hold is the operational key used to submit transactions and, where sponsorship is offered, to pay network fees.</w:t>
      </w:r>
    </w:p>
    <w:p>
      <w:pPr>
        <w:spacing w:after="120" w:line="276"/>
      </w:pPr>
      <w:r>
        <w:rPr>
          <w:sz w:val="22"/>
          <w:szCs w:val="22"/>
        </w:rPr>
        <w:t xml:space="preserve">This is a materially different posture from a system that merely relays public data. Clara sits in the payment path: it decides whether a payment is valid and it submits the transaction. A compromise cannot drain a payer's balance, because no authorization entry exists that Clara could sign into being. A compromise can, however, cause valid payments to be rejected, invalid payments to be accepted, or the fee-paying account to be drained. The Security and Threat Model is written against that specific boundary.</w:t>
      </w:r>
    </w:p>
    <w:p>
      <w:pPr>
        <w:pStyle w:val="Heading1"/>
        <w:spacing w:after="140" w:before="280"/>
      </w:pPr>
      <w:r>
        <w:rPr>
          <w:b/>
          <w:bCs/>
          <w:sz w:val="26"/>
          <w:szCs w:val="26"/>
        </w:rPr>
        <w:t xml:space="preserve">6. Deployment Topology by Phase</w:t>
      </w:r>
    </w:p>
    <w:p>
      <w:pPr>
        <w:pStyle w:val="Heading2"/>
        <w:spacing w:after="110" w:before="200"/>
      </w:pPr>
      <w:r>
        <w:rPr>
          <w:b/>
          <w:bCs/>
          <w:sz w:val="23"/>
          <w:szCs w:val="23"/>
        </w:rPr>
        <w:t xml:space="preserve">6.1 Phase 0</w:t>
      </w:r>
    </w:p>
    <w:p>
      <w:pPr>
        <w:spacing w:after="120" w:line="276"/>
      </w:pPr>
      <w:r>
        <w:rPr>
          <w:sz w:val="22"/>
          <w:szCs w:val="22"/>
        </w:rPr>
        <w:t xml:space="preserve">A single region and a single facilitator instance on testnet only, with no discovery subsystem. No availability guarantee is made; the purpose of this phase is to prove settlement correctness and conformance against an unmodified client.</w:t>
      </w:r>
    </w:p>
    <w:p>
      <w:pPr>
        <w:pStyle w:val="Heading2"/>
        <w:spacing w:after="110" w:before="200"/>
      </w:pPr>
      <w:r>
        <w:rPr>
          <w:b/>
          <w:bCs/>
          <w:sz w:val="23"/>
          <w:szCs w:val="23"/>
        </w:rPr>
        <w:t xml:space="preserve">6.2 Phase 1</w:t>
      </w:r>
    </w:p>
    <w:p>
      <w:pPr>
        <w:spacing w:after="120" w:line="276"/>
      </w:pPr>
      <w:r>
        <w:rPr>
          <w:sz w:val="22"/>
          <w:szCs w:val="22"/>
        </w:rPr>
        <w:t xml:space="preserve">Adds the catalogue, the index, the discovery API, and the MCP server. Introduces API keys and rate limiting. The facilitator scales horizontally behind an ordinary HTTP load balancer, which is sufficient because the settlement path is stateless request-response rather than long-lived streaming.</w:t>
      </w:r>
    </w:p>
    <w:p>
      <w:pPr>
        <w:pStyle w:val="Heading2"/>
        <w:spacing w:after="110" w:before="200"/>
      </w:pPr>
      <w:r>
        <w:rPr>
          <w:b/>
          <w:bCs/>
          <w:sz w:val="23"/>
          <w:szCs w:val="23"/>
        </w:rPr>
        <w:t xml:space="preserve">6.3 Phase 2</w:t>
      </w:r>
    </w:p>
    <w:p>
      <w:pPr>
        <w:spacing w:after="120" w:line="276"/>
      </w:pPr>
      <w:r>
        <w:rPr>
          <w:sz w:val="22"/>
          <w:szCs w:val="22"/>
        </w:rPr>
        <w:t xml:space="preserve">Adds pubnet deployment behind the completed third-party audit, redundant facilitator instances, and monitored fee-sponsorship funding. Catalogue ingestion gains a quarantine queue for listings that fail integrity checks, so they can be reviewed rather than silently dropped.</w:t>
      </w:r>
    </w:p>
    <w:p>
      <w:pPr>
        <w:pStyle w:val="Heading1"/>
        <w:spacing w:after="140" w:before="280"/>
      </w:pPr>
      <w:r>
        <w:rPr>
          <w:b/>
          <w:bCs/>
          <w:sz w:val="26"/>
          <w:szCs w:val="26"/>
        </w:rPr>
        <w:t xml:space="preserve">7. Known Failure Modes</w:t>
      </w:r>
    </w:p>
    <w:p>
      <w:pPr>
        <w:spacing w:after="120" w:line="276"/>
      </w:pPr>
      <w:r>
        <w:rPr>
          <w:sz w:val="22"/>
          <w:szCs w:val="22"/>
        </w:rPr>
        <w:t xml:space="preserve">The specific failure modes this architecture is designed against, and their mitigations, are documented in full in the Non-Functional Requirements Document, the Security and Threat Model, and the Runbook and Operations Manual.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Architecture Document - Clara</dc:title>
  <dc:creator>Rafif Muhammad Ransi Anargya</dc:creator>
  <dc:description>Clara: Document 3 of 13</dc:description>
  <cp:lastModifiedBy>Un-named</cp:lastModifiedBy>
  <cp:revision>1</cp:revision>
  <dcterms:created xsi:type="dcterms:W3CDTF">2026-09-21T00:29:08.915Z</dcterms:created>
  <dcterms:modified xsi:type="dcterms:W3CDTF">2026-09-21T00:29:08.915Z</dcterms:modified>
</cp:coreProperties>
</file>

<file path=docProps/custom.xml><?xml version="1.0" encoding="utf-8"?>
<Properties xmlns="http://schemas.openxmlformats.org/officeDocument/2006/custom-properties" xmlns:vt="http://schemas.openxmlformats.org/officeDocument/2006/docPropsVTypes"/>
</file>