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API and Protocol Specification</w:t>
      </w:r>
    </w:p>
    <w:p>
      <w:pPr>
        <w:spacing w:after="180"/>
      </w:pPr>
      <w:r>
        <w:rPr>
          <w:b/>
          <w:bCs/>
          <w:color w:val="1F6F63"/>
          <w:sz w:val="24"/>
          <w:szCs w:val="24"/>
        </w:rPr>
        <w:t xml:space="preserve">Clara</w:t>
      </w:r>
    </w:p>
    <w:p>
      <w:pPr>
        <w:spacing w:after="120" w:line="276"/>
      </w:pPr>
      <w:r>
        <w:rPr>
          <w:sz w:val="21"/>
          <w:szCs w:val="21"/>
        </w:rPr>
        <w:t xml:space="preserve">Document 4 of 13: API and Protocol Specification</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is the binding technical contract between Clara and any client that integrates against it. It covers three surfaces: the x402 facilitator endpoints, the Bazaar discovery endpoints, and the Model Context Protocol tools. Once published, changes to this contract are governed by the Change Management Policy.</w:t>
      </w:r>
    </w:p>
    <w:p>
      <w:pPr>
        <w:spacing w:after="120" w:line="276"/>
      </w:pPr>
      <w:r>
        <w:rPr>
          <w:sz w:val="22"/>
          <w:szCs w:val="22"/>
        </w:rPr>
        <w:t xml:space="preserve">One constraint applies across all three surfaces and overrides local design preference: the facilitator endpoints must conform to the x402 specification as an unmodified canonical x402 client expects them, because that is the acceptance bar for the funded work. Where this document and the upstream specification disagree, the specification wins and this document is corrected.</w:t>
      </w:r>
    </w:p>
    <w:p>
      <w:pPr>
        <w:pStyle w:val="Heading1"/>
        <w:spacing w:after="140" w:before="280"/>
      </w:pPr>
      <w:r>
        <w:rPr>
          <w:b/>
          <w:bCs/>
          <w:sz w:val="26"/>
          <w:szCs w:val="26"/>
        </w:rPr>
        <w:t xml:space="preserve">2. Transport and Authentication</w:t>
      </w:r>
    </w:p>
    <w:p>
      <w:pPr>
        <w:spacing w:after="120" w:line="276"/>
      </w:pPr>
      <w:r>
        <w:rPr>
          <w:sz w:val="22"/>
          <w:szCs w:val="22"/>
        </w:rPr>
        <w:t xml:space="preserve">All surfaces are exposed over HTTPS with JSON request and response bodies. Plaintext connections are rejected. Facilitator calls and catalogue writes are authenticated with an API key presented in an Authorization header as a bearer token, never in a query string or request body. Public read access to discovery may be permitted at a reduced rate limit, as defined in the Customer-Facing Service Level Agreement.</w:t>
      </w:r>
    </w:p>
    <w:p>
      <w:pPr>
        <w:pStyle w:val="Heading1"/>
        <w:spacing w:after="140" w:before="280"/>
      </w:pPr>
      <w:r>
        <w:rPr>
          <w:b/>
          <w:bCs/>
          <w:sz w:val="26"/>
          <w:szCs w:val="26"/>
        </w:rPr>
        <w:t xml:space="preserve">3. Facilitator Endpoints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1500"/>
        <w:gridCol w:w="1100"/>
        <w:gridCol w:w="6760"/>
      </w:tblGrid>
      <w:tr>
        <w:trPr>
          <w:tblHeader/>
        </w:trPr>
        <w:tc>
          <w:tcPr>
            <w:tcW w:type="dxa" w:w="1500"/>
            <w:shd w:fill="E7ECE6" w:val="clear"/>
            <w:tcMar>
              <w:top w:type="dxa" w:w="80"/>
              <w:left w:type="dxa" w:w="110"/>
              <w:bottom w:type="dxa" w:w="80"/>
              <w:right w:type="dxa" w:w="110"/>
            </w:tcMar>
          </w:tcPr>
          <w:p>
            <w:pPr>
              <w:spacing w:after="0" w:line="260"/>
            </w:pPr>
            <w:r>
              <w:rPr>
                <w:b/>
                <w:bCs/>
                <w:sz w:val="19"/>
                <w:szCs w:val="19"/>
              </w:rPr>
              <w:t xml:space="preserve">Endpoint</w:t>
            </w:r>
          </w:p>
        </w:tc>
        <w:tc>
          <w:tcPr>
            <w:tcW w:type="dxa" w:w="1100"/>
            <w:shd w:fill="E7ECE6" w:val="clear"/>
            <w:tcMar>
              <w:top w:type="dxa" w:w="80"/>
              <w:left w:type="dxa" w:w="110"/>
              <w:bottom w:type="dxa" w:w="80"/>
              <w:right w:type="dxa" w:w="110"/>
            </w:tcMar>
          </w:tcPr>
          <w:p>
            <w:pPr>
              <w:spacing w:after="0" w:line="260"/>
            </w:pPr>
            <w:r>
              <w:rPr>
                <w:b/>
                <w:bCs/>
                <w:sz w:val="19"/>
                <w:szCs w:val="19"/>
              </w:rPr>
              <w:t xml:space="preserve">Method</w:t>
            </w:r>
          </w:p>
        </w:tc>
        <w:tc>
          <w:tcPr>
            <w:tcW w:type="dxa" w:w="6760"/>
            <w:shd w:fill="E7ECE6" w:val="clear"/>
            <w:tcMar>
              <w:top w:type="dxa" w:w="80"/>
              <w:left w:type="dxa" w:w="110"/>
              <w:bottom w:type="dxa" w:w="80"/>
              <w:right w:type="dxa" w:w="110"/>
            </w:tcMar>
          </w:tcPr>
          <w:p>
            <w:pPr>
              <w:spacing w:after="0" w:line="260"/>
            </w:pPr>
            <w:r>
              <w:rPr>
                <w:b/>
                <w:bCs/>
                <w:sz w:val="19"/>
                <w:szCs w:val="19"/>
              </w:rPr>
              <w:t xml:space="preserve">Purpose</w:t>
            </w:r>
          </w:p>
        </w:tc>
      </w:tr>
      <w:tr>
        <w:tc>
          <w:tcPr>
            <w:tcW w:type="dxa" w:w="1500"/>
            <w:tcMar>
              <w:top w:type="dxa" w:w="80"/>
              <w:left w:type="dxa" w:w="110"/>
              <w:bottom w:type="dxa" w:w="80"/>
              <w:right w:type="dxa" w:w="110"/>
            </w:tcMar>
          </w:tcPr>
          <w:p>
            <w:pPr>
              <w:spacing w:after="0" w:line="260"/>
            </w:pPr>
            <w:r>
              <w:rPr>
                <w:b w:val="false"/>
                <w:bCs w:val="false"/>
                <w:sz w:val="19"/>
                <w:szCs w:val="19"/>
              </w:rPr>
              <w:t xml:space="preserve">/verify</w:t>
            </w:r>
          </w:p>
        </w:tc>
        <w:tc>
          <w:tcPr>
            <w:tcW w:type="dxa" w:w="1100"/>
            <w:tcMar>
              <w:top w:type="dxa" w:w="80"/>
              <w:left w:type="dxa" w:w="110"/>
              <w:bottom w:type="dxa" w:w="80"/>
              <w:right w:type="dxa" w:w="110"/>
            </w:tcMar>
          </w:tcPr>
          <w:p>
            <w:pPr>
              <w:spacing w:after="0" w:line="260"/>
            </w:pPr>
            <w:r>
              <w:rPr>
                <w:b w:val="false"/>
                <w:bCs w:val="false"/>
                <w:sz w:val="19"/>
                <w:szCs w:val="19"/>
              </w:rPr>
              <w:t xml:space="preserve">POST</w:t>
            </w:r>
          </w:p>
        </w:tc>
        <w:tc>
          <w:tcPr>
            <w:tcW w:type="dxa" w:w="6760"/>
            <w:tcMar>
              <w:top w:type="dxa" w:w="80"/>
              <w:left w:type="dxa" w:w="110"/>
              <w:bottom w:type="dxa" w:w="80"/>
              <w:right w:type="dxa" w:w="110"/>
            </w:tcMar>
          </w:tcPr>
          <w:p>
            <w:pPr>
              <w:spacing w:after="0" w:line="260"/>
            </w:pPr>
            <w:r>
              <w:rPr>
                <w:b w:val="false"/>
                <w:bCs w:val="false"/>
                <w:sz w:val="19"/>
                <w:szCs w:val="19"/>
              </w:rPr>
              <w:t xml:space="preserve">Validate a submitted payment payload against the stated payment requirements without submitting it on-chain. Returns a validity decision and, on rejection, an enumerated reason.</w:t>
            </w:r>
          </w:p>
        </w:tc>
      </w:tr>
      <w:tr>
        <w:tc>
          <w:tcPr>
            <w:tcW w:type="dxa" w:w="1500"/>
            <w:tcMar>
              <w:top w:type="dxa" w:w="80"/>
              <w:left w:type="dxa" w:w="110"/>
              <w:bottom w:type="dxa" w:w="80"/>
              <w:right w:type="dxa" w:w="110"/>
            </w:tcMar>
          </w:tcPr>
          <w:p>
            <w:pPr>
              <w:spacing w:after="0" w:line="260"/>
            </w:pPr>
            <w:r>
              <w:rPr>
                <w:b w:val="false"/>
                <w:bCs w:val="false"/>
                <w:sz w:val="19"/>
                <w:szCs w:val="19"/>
              </w:rPr>
              <w:t xml:space="preserve">/settle</w:t>
            </w:r>
          </w:p>
        </w:tc>
        <w:tc>
          <w:tcPr>
            <w:tcW w:type="dxa" w:w="1100"/>
            <w:tcMar>
              <w:top w:type="dxa" w:w="80"/>
              <w:left w:type="dxa" w:w="110"/>
              <w:bottom w:type="dxa" w:w="80"/>
              <w:right w:type="dxa" w:w="110"/>
            </w:tcMar>
          </w:tcPr>
          <w:p>
            <w:pPr>
              <w:spacing w:after="0" w:line="260"/>
            </w:pPr>
            <w:r>
              <w:rPr>
                <w:b w:val="false"/>
                <w:bCs w:val="false"/>
                <w:sz w:val="19"/>
                <w:szCs w:val="19"/>
              </w:rPr>
              <w:t xml:space="preserve">POST</w:t>
            </w:r>
          </w:p>
        </w:tc>
        <w:tc>
          <w:tcPr>
            <w:tcW w:type="dxa" w:w="6760"/>
            <w:tcMar>
              <w:top w:type="dxa" w:w="80"/>
              <w:left w:type="dxa" w:w="110"/>
              <w:bottom w:type="dxa" w:w="80"/>
              <w:right w:type="dxa" w:w="110"/>
            </w:tcMar>
          </w:tcPr>
          <w:p>
            <w:pPr>
              <w:spacing w:after="0" w:line="260"/>
            </w:pPr>
            <w:r>
              <w:rPr>
                <w:b w:val="false"/>
                <w:bCs w:val="false"/>
                <w:sz w:val="19"/>
                <w:szCs w:val="19"/>
              </w:rPr>
              <w:t xml:space="preserve">Simulate and submit a previously verified payment to the Stellar network. Returns the settled transaction hash on success.</w:t>
            </w:r>
          </w:p>
        </w:tc>
      </w:tr>
      <w:tr>
        <w:tc>
          <w:tcPr>
            <w:tcW w:type="dxa" w:w="1500"/>
            <w:tcMar>
              <w:top w:type="dxa" w:w="80"/>
              <w:left w:type="dxa" w:w="110"/>
              <w:bottom w:type="dxa" w:w="80"/>
              <w:right w:type="dxa" w:w="110"/>
            </w:tcMar>
          </w:tcPr>
          <w:p>
            <w:pPr>
              <w:spacing w:after="0" w:line="260"/>
            </w:pPr>
            <w:r>
              <w:rPr>
                <w:b w:val="false"/>
                <w:bCs w:val="false"/>
                <w:sz w:val="19"/>
                <w:szCs w:val="19"/>
              </w:rPr>
              <w:t xml:space="preserve">/supported</w:t>
            </w:r>
          </w:p>
        </w:tc>
        <w:tc>
          <w:tcPr>
            <w:tcW w:type="dxa" w:w="1100"/>
            <w:tcMar>
              <w:top w:type="dxa" w:w="80"/>
              <w:left w:type="dxa" w:w="110"/>
              <w:bottom w:type="dxa" w:w="80"/>
              <w:right w:type="dxa" w:w="110"/>
            </w:tcMar>
          </w:tcPr>
          <w:p>
            <w:pPr>
              <w:spacing w:after="0" w:line="260"/>
            </w:pPr>
            <w:r>
              <w:rPr>
                <w:b w:val="false"/>
                <w:bCs w:val="false"/>
                <w:sz w:val="19"/>
                <w:szCs w:val="19"/>
              </w:rPr>
              <w:t xml:space="preserve">GET</w:t>
            </w:r>
          </w:p>
        </w:tc>
        <w:tc>
          <w:tcPr>
            <w:tcW w:type="dxa" w:w="6760"/>
            <w:tcMar>
              <w:top w:type="dxa" w:w="80"/>
              <w:left w:type="dxa" w:w="110"/>
              <w:bottom w:type="dxa" w:w="80"/>
              <w:right w:type="dxa" w:w="110"/>
            </w:tcMar>
          </w:tcPr>
          <w:p>
            <w:pPr>
              <w:spacing w:after="0" w:line="260"/>
            </w:pPr>
            <w:r>
              <w:rPr>
                <w:b w:val="false"/>
                <w:bCs w:val="false"/>
                <w:sz w:val="19"/>
                <w:szCs w:val="19"/>
              </w:rPr>
              <w:t xml:space="preserve">Declare supported networks, schemes, and assets, including whether network fees are sponsored.</w:t>
            </w:r>
          </w:p>
        </w:tc>
      </w:tr>
    </w:tbl>
    <w:p>
      <w:pPr>
        <w:spacing w:after="140"/>
      </w:pPr>
      <w:r>
        <w:t xml:space="preserve"/>
      </w:r>
    </w:p>
    <w:p>
      <w:pPr>
        <w:spacing w:after="120" w:line="276"/>
      </w:pPr>
      <w:r>
        <w:rPr>
          <w:sz w:val="22"/>
          <w:szCs w:val="22"/>
        </w:rPr>
        <w:t xml:space="preserve">The supported response declares the networks stellar:testnet and stellar:pubnet using CAIP-2 identifiers, the exact scheme, any SEP-41 asset with USDC as default, and a sponsorship flag advertised as extra.areFeesSponsored so that a client can determine in advance whether it must fund its own network fees.</w:t>
      </w:r>
    </w:p>
    <w:p>
      <w:pPr>
        <w:pStyle w:val="Heading1"/>
        <w:spacing w:after="140" w:before="280"/>
      </w:pPr>
      <w:r>
        <w:rPr>
          <w:b/>
          <w:bCs/>
          <w:sz w:val="26"/>
          <w:szCs w:val="26"/>
        </w:rPr>
        <w:t xml:space="preserve">4. The Payment Flow</w:t>
      </w:r>
    </w:p>
    <w:p>
      <w:pPr>
        <w:spacing w:after="140" w:line="276"/>
      </w:pPr>
      <w:r>
        <w:rPr>
          <w:sz w:val="22"/>
          <w:szCs w:val="22"/>
        </w:rPr>
        <w:t xml:space="preserve">Clara does not invent this flow; it implements the x402 side of it. It is restated here because every error condition in section 7 maps to a specific step.</w:t>
      </w:r>
    </w:p>
    <w:p>
      <w:pPr>
        <w:shd w:fill="F2F4F1" w:val="clear"/>
        <w:spacing w:after="160" w:before="120"/>
      </w:pPr>
      <w:r>
        <w:rPr>
          <w:rFonts w:ascii="Consolas" w:cs="Consolas" w:eastAsia="Consolas" w:hAnsi="Consolas"/>
          <w:sz w:val="18"/>
          <w:szCs w:val="18"/>
        </w:rPr>
        <w:t xml:space="preserve">1. Client   -&gt; Seller    GET /resource</w:t>
      </w:r>
      <w:r>
        <w:br/>
      </w:r>
      <w:r>
        <w:rPr>
          <w:rFonts w:ascii="Consolas" w:cs="Consolas" w:eastAsia="Consolas" w:hAnsi="Consolas"/>
          <w:sz w:val="18"/>
          <w:szCs w:val="18"/>
        </w:rPr>
        <w:t xml:space="preserve">2. Seller   -&gt; Client    402 Payment Required</w:t>
      </w:r>
      <w:r>
        <w:br/>
      </w:r>
      <w:r>
        <w:rPr>
          <w:rFonts w:ascii="Consolas" w:cs="Consolas" w:eastAsia="Consolas" w:hAnsi="Consolas"/>
          <w:sz w:val="18"/>
          <w:szCs w:val="18"/>
        </w:rPr>
        <w:t xml:space="preserve">                         PAYMENT-REQUIRED: price, network, asset, payTo, expiry</w:t>
      </w:r>
      <w:r>
        <w:br/>
      </w:r>
      <w:r>
        <w:rPr>
          <w:rFonts w:ascii="Consolas" w:cs="Consolas" w:eastAsia="Consolas" w:hAnsi="Consolas"/>
          <w:sz w:val="18"/>
          <w:szCs w:val="18"/>
        </w:rPr>
        <w:t xml:space="preserve">3. Client signs a Soroban authorization entry</w:t>
      </w:r>
      <w:r>
        <w:br/>
      </w:r>
      <w:r>
        <w:rPr>
          <w:rFonts w:ascii="Consolas" w:cs="Consolas" w:eastAsia="Consolas" w:hAnsi="Consolas"/>
          <w:sz w:val="18"/>
          <w:szCs w:val="18"/>
        </w:rPr>
        <w:t xml:space="preserve">                         (contract, transfer, from, to, amount, expiration)</w:t>
      </w:r>
      <w:r>
        <w:br/>
      </w:r>
      <w:r>
        <w:rPr>
          <w:rFonts w:ascii="Consolas" w:cs="Consolas" w:eastAsia="Consolas" w:hAnsi="Consolas"/>
          <w:sz w:val="18"/>
          <w:szCs w:val="18"/>
        </w:rPr>
        <w:t xml:space="preserve">4. Client   -&gt; Seller    GET /resource</w:t>
      </w:r>
      <w:r>
        <w:br/>
      </w:r>
      <w:r>
        <w:rPr>
          <w:rFonts w:ascii="Consolas" w:cs="Consolas" w:eastAsia="Consolas" w:hAnsi="Consolas"/>
          <w:sz w:val="18"/>
          <w:szCs w:val="18"/>
        </w:rPr>
        <w:t xml:space="preserve">                         PAYMENT-SIGNATURE: &lt;signed auth entry&gt;</w:t>
      </w:r>
      <w:r>
        <w:br/>
      </w:r>
      <w:r>
        <w:rPr>
          <w:rFonts w:ascii="Consolas" w:cs="Consolas" w:eastAsia="Consolas" w:hAnsi="Consolas"/>
          <w:sz w:val="18"/>
          <w:szCs w:val="18"/>
        </w:rPr>
        <w:t xml:space="preserve">5. Seller   -&gt; Clara     POST /verify   { requirements, payload }</w:t>
      </w:r>
      <w:r>
        <w:br/>
      </w:r>
      <w:r>
        <w:rPr>
          <w:rFonts w:ascii="Consolas" w:cs="Consolas" w:eastAsia="Consolas" w:hAnsi="Consolas"/>
          <w:sz w:val="18"/>
          <w:szCs w:val="18"/>
        </w:rPr>
        <w:t xml:space="preserve">6. Clara    -&gt; Seller    { valid: true }</w:t>
      </w:r>
      <w:r>
        <w:br/>
      </w:r>
      <w:r>
        <w:rPr>
          <w:rFonts w:ascii="Consolas" w:cs="Consolas" w:eastAsia="Consolas" w:hAnsi="Consolas"/>
          <w:sz w:val="18"/>
          <w:szCs w:val="18"/>
        </w:rPr>
        <w:t xml:space="preserve">7. Seller   -&gt; Clara     POST /settle   { requirements, payload }</w:t>
      </w:r>
      <w:r>
        <w:br/>
      </w:r>
      <w:r>
        <w:rPr>
          <w:rFonts w:ascii="Consolas" w:cs="Consolas" w:eastAsia="Consolas" w:hAnsi="Consolas"/>
          <w:sz w:val="18"/>
          <w:szCs w:val="18"/>
        </w:rPr>
        <w:t xml:space="preserve">8. Clara    -&gt; Stellar   simulate, then submit via Soroban RPC</w:t>
      </w:r>
      <w:r>
        <w:br/>
      </w:r>
      <w:r>
        <w:rPr>
          <w:rFonts w:ascii="Consolas" w:cs="Consolas" w:eastAsia="Consolas" w:hAnsi="Consolas"/>
          <w:sz w:val="18"/>
          <w:szCs w:val="18"/>
        </w:rPr>
        <w:t xml:space="preserve">9. Clara    -&gt; Seller    { success: true, txHash }</w:t>
      </w:r>
      <w:r>
        <w:br/>
      </w:r>
      <w:r>
        <w:rPr>
          <w:rFonts w:ascii="Consolas" w:cs="Consolas" w:eastAsia="Consolas" w:hAnsi="Consolas"/>
          <w:sz w:val="18"/>
          <w:szCs w:val="18"/>
        </w:rPr>
        <w:t xml:space="preserve">10. Seller  -&gt; Client    200 OK + resource</w:t>
      </w:r>
      <w:r>
        <w:br/>
      </w:r>
      <w:r>
        <w:rPr>
          <w:rFonts w:ascii="Consolas" w:cs="Consolas" w:eastAsia="Consolas" w:hAnsi="Consolas"/>
          <w:sz w:val="18"/>
          <w:szCs w:val="18"/>
        </w:rPr>
        <w:t xml:space="preserve">                         PAYMENT-RESPONSE: txHash, network</w:t>
      </w:r>
    </w:p>
    <w:p>
      <w:pPr>
        <w:pStyle w:val="Heading1"/>
        <w:spacing w:after="140" w:before="280"/>
      </w:pPr>
      <w:r>
        <w:rPr>
          <w:b/>
          <w:bCs/>
          <w:sz w:val="26"/>
          <w:szCs w:val="26"/>
        </w:rPr>
        <w:t xml:space="preserve">5. Validation Rules</w:t>
      </w:r>
    </w:p>
    <w:p>
      <w:pPr>
        <w:spacing w:after="120" w:line="276"/>
      </w:pPr>
      <w:r>
        <w:rPr>
          <w:sz w:val="22"/>
          <w:szCs w:val="22"/>
        </w:rPr>
        <w:t xml:space="preserve">A payment payload is accepted only if every one of the following holds. Partial matches are rejected; there is no tolerance band on any field.</w:t>
      </w:r>
    </w:p>
    <w:p>
      <w:pPr>
        <w:pStyle w:val="ListParagraph"/>
        <w:numPr>
          <w:ilvl w:val="0"/>
          <w:numId w:val="1"/>
        </w:numPr>
        <w:spacing w:after="90" w:line="276"/>
      </w:pPr>
      <w:r>
        <w:rPr>
          <w:sz w:val="22"/>
          <w:szCs w:val="22"/>
        </w:rPr>
        <w:t xml:space="preserve">The protocol version, scheme, and network in the payload match those in the stated payment requirements.</w:t>
      </w:r>
    </w:p>
    <w:p>
      <w:pPr>
        <w:pStyle w:val="ListParagraph"/>
        <w:numPr>
          <w:ilvl w:val="0"/>
          <w:numId w:val="1"/>
        </w:numPr>
        <w:spacing w:after="90" w:line="276"/>
      </w:pPr>
      <w:r>
        <w:rPr>
          <w:sz w:val="22"/>
          <w:szCs w:val="22"/>
        </w:rPr>
        <w:t xml:space="preserve">The authorization entry authorises an invocation of the expected SEP-41 token contract's transfer function, and nothing else.</w:t>
      </w:r>
    </w:p>
    <w:p>
      <w:pPr>
        <w:pStyle w:val="ListParagraph"/>
        <w:numPr>
          <w:ilvl w:val="0"/>
          <w:numId w:val="1"/>
        </w:numPr>
        <w:spacing w:after="90" w:line="276"/>
      </w:pPr>
      <w:r>
        <w:rPr>
          <w:sz w:val="22"/>
          <w:szCs w:val="22"/>
        </w:rPr>
        <w:t xml:space="preserve">The recipient in the entry equals the payTo address in the requirements exactly.</w:t>
      </w:r>
    </w:p>
    <w:p>
      <w:pPr>
        <w:pStyle w:val="ListParagraph"/>
        <w:numPr>
          <w:ilvl w:val="0"/>
          <w:numId w:val="1"/>
        </w:numPr>
        <w:spacing w:after="90" w:line="276"/>
      </w:pPr>
      <w:r>
        <w:rPr>
          <w:sz w:val="22"/>
          <w:szCs w:val="22"/>
        </w:rPr>
        <w:t xml:space="preserve">The amount in the entry equals the required amount exactly, in base units, with the asset's declared decimals applied; USDC on Stellar uses seven decimals.</w:t>
      </w:r>
    </w:p>
    <w:p>
      <w:pPr>
        <w:pStyle w:val="ListParagraph"/>
        <w:numPr>
          <w:ilvl w:val="0"/>
          <w:numId w:val="1"/>
        </w:numPr>
        <w:spacing w:after="90" w:line="276"/>
      </w:pPr>
      <w:r>
        <w:rPr>
          <w:sz w:val="22"/>
          <w:szCs w:val="22"/>
        </w:rPr>
        <w:t xml:space="preserve">The entry's expiration is in the future relative to the current ledger at the moment of verification.</w:t>
      </w:r>
    </w:p>
    <w:p>
      <w:pPr>
        <w:pStyle w:val="ListParagraph"/>
        <w:numPr>
          <w:ilvl w:val="0"/>
          <w:numId w:val="1"/>
        </w:numPr>
        <w:spacing w:after="90" w:line="276"/>
      </w:pPr>
      <w:r>
        <w:rPr>
          <w:sz w:val="22"/>
          <w:szCs w:val="22"/>
        </w:rPr>
        <w:t xml:space="preserve">The entry has not been seen before. Replay protection derives from the entry's expiration window combined with a record of settled payloads, not from a client-supplied nonce.</w:t>
      </w:r>
    </w:p>
    <w:p>
      <w:pPr>
        <w:pStyle w:val="ListParagraph"/>
        <w:numPr>
          <w:ilvl w:val="0"/>
          <w:numId w:val="1"/>
        </w:numPr>
        <w:spacing w:after="90" w:line="276"/>
      </w:pPr>
      <w:r>
        <w:rPr>
          <w:sz w:val="22"/>
          <w:szCs w:val="22"/>
        </w:rPr>
        <w:t xml:space="preserve">The signature is valid for the declaring account, whether that is a classic Ed25519 keypair or a contract account implementing __check_auth.</w:t>
      </w:r>
    </w:p>
    <w:p>
      <w:pPr>
        <w:pStyle w:val="ListParagraph"/>
        <w:numPr>
          <w:ilvl w:val="0"/>
          <w:numId w:val="1"/>
        </w:numPr>
        <w:spacing w:after="90" w:line="276"/>
      </w:pPr>
      <w:r>
        <w:rPr>
          <w:sz w:val="22"/>
          <w:szCs w:val="22"/>
        </w:rPr>
        <w:t xml:space="preserve">Simulation against Soroban RPC indicates the transaction will succeed.</w:t>
      </w:r>
    </w:p>
    <w:p>
      <w:pPr>
        <w:pStyle w:val="Heading1"/>
        <w:spacing w:after="140" w:before="280"/>
      </w:pPr>
      <w:r>
        <w:rPr>
          <w:b/>
          <w:bCs/>
          <w:sz w:val="26"/>
          <w:szCs w:val="26"/>
        </w:rPr>
        <w:t xml:space="preserve">6. Discovery Endpoints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300"/>
        <w:gridCol w:w="900"/>
        <w:gridCol w:w="6160"/>
      </w:tblGrid>
      <w:tr>
        <w:trPr>
          <w:tblHeader/>
        </w:trPr>
        <w:tc>
          <w:tcPr>
            <w:tcW w:type="dxa" w:w="2300"/>
            <w:shd w:fill="E7ECE6" w:val="clear"/>
            <w:tcMar>
              <w:top w:type="dxa" w:w="80"/>
              <w:left w:type="dxa" w:w="110"/>
              <w:bottom w:type="dxa" w:w="80"/>
              <w:right w:type="dxa" w:w="110"/>
            </w:tcMar>
          </w:tcPr>
          <w:p>
            <w:pPr>
              <w:spacing w:after="0" w:line="260"/>
            </w:pPr>
            <w:r>
              <w:rPr>
                <w:b/>
                <w:bCs/>
                <w:sz w:val="19"/>
                <w:szCs w:val="19"/>
              </w:rPr>
              <w:t xml:space="preserve">Endpoint</w:t>
            </w:r>
          </w:p>
        </w:tc>
        <w:tc>
          <w:tcPr>
            <w:tcW w:type="dxa" w:w="900"/>
            <w:shd w:fill="E7ECE6" w:val="clear"/>
            <w:tcMar>
              <w:top w:type="dxa" w:w="80"/>
              <w:left w:type="dxa" w:w="110"/>
              <w:bottom w:type="dxa" w:w="80"/>
              <w:right w:type="dxa" w:w="110"/>
            </w:tcMar>
          </w:tcPr>
          <w:p>
            <w:pPr>
              <w:spacing w:after="0" w:line="260"/>
            </w:pPr>
            <w:r>
              <w:rPr>
                <w:b/>
                <w:bCs/>
                <w:sz w:val="19"/>
                <w:szCs w:val="19"/>
              </w:rPr>
              <w:t xml:space="preserve">Method</w:t>
            </w:r>
          </w:p>
        </w:tc>
        <w:tc>
          <w:tcPr>
            <w:tcW w:type="dxa" w:w="6160"/>
            <w:shd w:fill="E7ECE6" w:val="clear"/>
            <w:tcMar>
              <w:top w:type="dxa" w:w="80"/>
              <w:left w:type="dxa" w:w="110"/>
              <w:bottom w:type="dxa" w:w="80"/>
              <w:right w:type="dxa" w:w="110"/>
            </w:tcMar>
          </w:tcPr>
          <w:p>
            <w:pPr>
              <w:spacing w:after="0" w:line="260"/>
            </w:pPr>
            <w:r>
              <w:rPr>
                <w:b/>
                <w:bCs/>
                <w:sz w:val="19"/>
                <w:szCs w:val="19"/>
              </w:rPr>
              <w:t xml:space="preserve">Purpose</w:t>
            </w:r>
          </w:p>
        </w:tc>
      </w:tr>
      <w:tr>
        <w:tc>
          <w:tcPr>
            <w:tcW w:type="dxa" w:w="2300"/>
            <w:tcMar>
              <w:top w:type="dxa" w:w="80"/>
              <w:left w:type="dxa" w:w="110"/>
              <w:bottom w:type="dxa" w:w="80"/>
              <w:right w:type="dxa" w:w="110"/>
            </w:tcMar>
          </w:tcPr>
          <w:p>
            <w:pPr>
              <w:spacing w:after="0" w:line="260"/>
            </w:pPr>
            <w:r>
              <w:rPr>
                <w:b w:val="false"/>
                <w:bCs w:val="false"/>
                <w:sz w:val="19"/>
                <w:szCs w:val="19"/>
              </w:rPr>
              <w:t xml:space="preserve">/discovery/resources</w:t>
            </w:r>
          </w:p>
        </w:tc>
        <w:tc>
          <w:tcPr>
            <w:tcW w:type="dxa" w:w="900"/>
            <w:tcMar>
              <w:top w:type="dxa" w:w="80"/>
              <w:left w:type="dxa" w:w="110"/>
              <w:bottom w:type="dxa" w:w="80"/>
              <w:right w:type="dxa" w:w="110"/>
            </w:tcMar>
          </w:tcPr>
          <w:p>
            <w:pPr>
              <w:spacing w:after="0" w:line="260"/>
            </w:pPr>
            <w:r>
              <w:rPr>
                <w:b w:val="false"/>
                <w:bCs w:val="false"/>
                <w:sz w:val="19"/>
                <w:szCs w:val="19"/>
              </w:rPr>
              <w:t xml:space="preserve">GET</w:t>
            </w:r>
          </w:p>
        </w:tc>
        <w:tc>
          <w:tcPr>
            <w:tcW w:type="dxa" w:w="6160"/>
            <w:tcMar>
              <w:top w:type="dxa" w:w="80"/>
              <w:left w:type="dxa" w:w="110"/>
              <w:bottom w:type="dxa" w:w="80"/>
              <w:right w:type="dxa" w:w="110"/>
            </w:tcMar>
          </w:tcPr>
          <w:p>
            <w:pPr>
              <w:spacing w:after="0" w:line="260"/>
            </w:pPr>
            <w:r>
              <w:rPr>
                <w:b w:val="false"/>
                <w:bCs w:val="false"/>
                <w:sz w:val="19"/>
                <w:szCs w:val="19"/>
              </w:rPr>
              <w:t xml:space="preserve">List catalogued resources with the x402 discovery specification's filters, including network, asset, resource type, and price bounds. Paginated with a stable cursor.</w:t>
            </w:r>
          </w:p>
        </w:tc>
      </w:tr>
      <w:tr>
        <w:tc>
          <w:tcPr>
            <w:tcW w:type="dxa" w:w="2300"/>
            <w:tcMar>
              <w:top w:type="dxa" w:w="80"/>
              <w:left w:type="dxa" w:w="110"/>
              <w:bottom w:type="dxa" w:w="80"/>
              <w:right w:type="dxa" w:w="110"/>
            </w:tcMar>
          </w:tcPr>
          <w:p>
            <w:pPr>
              <w:spacing w:after="0" w:line="260"/>
            </w:pPr>
            <w:r>
              <w:rPr>
                <w:b w:val="false"/>
                <w:bCs w:val="false"/>
                <w:sz w:val="19"/>
                <w:szCs w:val="19"/>
              </w:rPr>
              <w:t xml:space="preserve">/discovery/search</w:t>
            </w:r>
          </w:p>
        </w:tc>
        <w:tc>
          <w:tcPr>
            <w:tcW w:type="dxa" w:w="900"/>
            <w:tcMar>
              <w:top w:type="dxa" w:w="80"/>
              <w:left w:type="dxa" w:w="110"/>
              <w:bottom w:type="dxa" w:w="80"/>
              <w:right w:type="dxa" w:w="110"/>
            </w:tcMar>
          </w:tcPr>
          <w:p>
            <w:pPr>
              <w:spacing w:after="0" w:line="260"/>
            </w:pPr>
            <w:r>
              <w:rPr>
                <w:b w:val="false"/>
                <w:bCs w:val="false"/>
                <w:sz w:val="19"/>
                <w:szCs w:val="19"/>
              </w:rPr>
              <w:t xml:space="preserve">GET</w:t>
            </w:r>
          </w:p>
        </w:tc>
        <w:tc>
          <w:tcPr>
            <w:tcW w:type="dxa" w:w="6160"/>
            <w:tcMar>
              <w:top w:type="dxa" w:w="80"/>
              <w:left w:type="dxa" w:w="110"/>
              <w:bottom w:type="dxa" w:w="80"/>
              <w:right w:type="dxa" w:w="110"/>
            </w:tcMar>
          </w:tcPr>
          <w:p>
            <w:pPr>
              <w:spacing w:after="0" w:line="260"/>
            </w:pPr>
            <w:r>
              <w:rPr>
                <w:b w:val="false"/>
                <w:bCs w:val="false"/>
                <w:sz w:val="19"/>
                <w:szCs w:val="19"/>
              </w:rPr>
              <w:t xml:space="preserve">Rank catalogued resources against a natural-language query. Returns ranked resources each carrying its payment requirements, so an agent can proceed directly to payment without a second lookup.</w:t>
            </w:r>
          </w:p>
        </w:tc>
      </w:tr>
    </w:tbl>
    <w:p>
      <w:pPr>
        <w:spacing w:after="140"/>
      </w:pPr>
      <w:r>
        <w:t xml:space="preserve"/>
      </w:r>
    </w:p>
    <w:p>
      <w:pPr>
        <w:spacing w:after="120" w:line="276"/>
      </w:pPr>
      <w:r>
        <w:rPr>
          <w:sz w:val="22"/>
          <w:szCs w:val="22"/>
        </w:rPr>
        <w:t xml:space="preserve">Every discovery result carries the fields an agent needs to act without further negotiation: the resource URL or MCP tool identifier, its resource type, price, asset, network, the recipient address, and the timestamp at which the listing was last verified. A result that cannot supply complete payment requirements is withheld from the response rather than returned in a partial state.</w:t>
      </w:r>
    </w:p>
    <w:p>
      <w:pPr>
        <w:pStyle w:val="Heading1"/>
        <w:spacing w:after="140" w:before="280"/>
      </w:pPr>
      <w:r>
        <w:rPr>
          <w:b/>
          <w:bCs/>
          <w:sz w:val="26"/>
          <w:szCs w:val="26"/>
        </w:rPr>
        <w:t xml:space="preserve">7. Model Context Protocol Tools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300"/>
        <w:gridCol w:w="7060"/>
      </w:tblGrid>
      <w:tr>
        <w:trPr>
          <w:tblHeader/>
        </w:trPr>
        <w:tc>
          <w:tcPr>
            <w:tcW w:type="dxa" w:w="2300"/>
            <w:shd w:fill="E7ECE6" w:val="clear"/>
            <w:tcMar>
              <w:top w:type="dxa" w:w="80"/>
              <w:left w:type="dxa" w:w="110"/>
              <w:bottom w:type="dxa" w:w="80"/>
              <w:right w:type="dxa" w:w="110"/>
            </w:tcMar>
          </w:tcPr>
          <w:p>
            <w:pPr>
              <w:spacing w:after="0" w:line="260"/>
            </w:pPr>
            <w:r>
              <w:rPr>
                <w:b/>
                <w:bCs/>
                <w:sz w:val="19"/>
                <w:szCs w:val="19"/>
              </w:rPr>
              <w:t xml:space="preserve">Tool</w:t>
            </w:r>
          </w:p>
        </w:tc>
        <w:tc>
          <w:tcPr>
            <w:tcW w:type="dxa" w:w="7060"/>
            <w:shd w:fill="E7ECE6" w:val="clear"/>
            <w:tcMar>
              <w:top w:type="dxa" w:w="80"/>
              <w:left w:type="dxa" w:w="110"/>
              <w:bottom w:type="dxa" w:w="80"/>
              <w:right w:type="dxa" w:w="110"/>
            </w:tcMar>
          </w:tcPr>
          <w:p>
            <w:pPr>
              <w:spacing w:after="0" w:line="260"/>
            </w:pPr>
            <w:r>
              <w:rPr>
                <w:b/>
                <w:bCs/>
                <w:sz w:val="19"/>
                <w:szCs w:val="19"/>
              </w:rPr>
              <w:t xml:space="preserve">Purpose</w:t>
            </w:r>
          </w:p>
        </w:tc>
      </w:tr>
      <w:tr>
        <w:tc>
          <w:tcPr>
            <w:tcW w:type="dxa" w:w="2300"/>
            <w:tcMar>
              <w:top w:type="dxa" w:w="80"/>
              <w:left w:type="dxa" w:w="110"/>
              <w:bottom w:type="dxa" w:w="80"/>
              <w:right w:type="dxa" w:w="110"/>
            </w:tcMar>
          </w:tcPr>
          <w:p>
            <w:pPr>
              <w:spacing w:after="0" w:line="260"/>
            </w:pPr>
            <w:r>
              <w:rPr>
                <w:b w:val="false"/>
                <w:bCs w:val="false"/>
                <w:sz w:val="19"/>
                <w:szCs w:val="19"/>
              </w:rPr>
              <w:t xml:space="preserve">search_services</w:t>
            </w:r>
          </w:p>
        </w:tc>
        <w:tc>
          <w:tcPr>
            <w:tcW w:type="dxa" w:w="7060"/>
            <w:tcMar>
              <w:top w:type="dxa" w:w="80"/>
              <w:left w:type="dxa" w:w="110"/>
              <w:bottom w:type="dxa" w:w="80"/>
              <w:right w:type="dxa" w:w="110"/>
            </w:tcMar>
          </w:tcPr>
          <w:p>
            <w:pPr>
              <w:spacing w:after="0" w:line="260"/>
            </w:pPr>
            <w:r>
              <w:rPr>
                <w:b w:val="false"/>
                <w:bCs w:val="false"/>
                <w:sz w:val="19"/>
                <w:szCs w:val="19"/>
              </w:rPr>
              <w:t xml:space="preserve">Natural-language search across the Bazaar catalogue, returning ranked resources with full payment requirements.</w:t>
            </w:r>
          </w:p>
        </w:tc>
      </w:tr>
      <w:tr>
        <w:tc>
          <w:tcPr>
            <w:tcW w:type="dxa" w:w="2300"/>
            <w:tcMar>
              <w:top w:type="dxa" w:w="80"/>
              <w:left w:type="dxa" w:w="110"/>
              <w:bottom w:type="dxa" w:w="80"/>
              <w:right w:type="dxa" w:w="110"/>
            </w:tcMar>
          </w:tcPr>
          <w:p>
            <w:pPr>
              <w:spacing w:after="0" w:line="260"/>
            </w:pPr>
            <w:r>
              <w:rPr>
                <w:b w:val="false"/>
                <w:bCs w:val="false"/>
                <w:sz w:val="19"/>
                <w:szCs w:val="19"/>
              </w:rPr>
              <w:t xml:space="preserve">get_service</w:t>
            </w:r>
          </w:p>
        </w:tc>
        <w:tc>
          <w:tcPr>
            <w:tcW w:type="dxa" w:w="7060"/>
            <w:tcMar>
              <w:top w:type="dxa" w:w="80"/>
              <w:left w:type="dxa" w:w="110"/>
              <w:bottom w:type="dxa" w:w="80"/>
              <w:right w:type="dxa" w:w="110"/>
            </w:tcMar>
          </w:tcPr>
          <w:p>
            <w:pPr>
              <w:spacing w:after="0" w:line="260"/>
            </w:pPr>
            <w:r>
              <w:rPr>
                <w:b w:val="false"/>
                <w:bCs w:val="false"/>
                <w:sz w:val="19"/>
                <w:szCs w:val="19"/>
              </w:rPr>
              <w:t xml:space="preserve">Retrieve one catalogued resource by identifier, including current price and last-verified timestamp.</w:t>
            </w:r>
          </w:p>
        </w:tc>
      </w:tr>
      <w:tr>
        <w:tc>
          <w:tcPr>
            <w:tcW w:type="dxa" w:w="2300"/>
            <w:tcMar>
              <w:top w:type="dxa" w:w="80"/>
              <w:left w:type="dxa" w:w="110"/>
              <w:bottom w:type="dxa" w:w="80"/>
              <w:right w:type="dxa" w:w="110"/>
            </w:tcMar>
          </w:tcPr>
          <w:p>
            <w:pPr>
              <w:spacing w:after="0" w:line="260"/>
            </w:pPr>
            <w:r>
              <w:rPr>
                <w:b w:val="false"/>
                <w:bCs w:val="false"/>
                <w:sz w:val="19"/>
                <w:szCs w:val="19"/>
              </w:rPr>
              <w:t xml:space="preserve">pay_and_call</w:t>
            </w:r>
          </w:p>
        </w:tc>
        <w:tc>
          <w:tcPr>
            <w:tcW w:type="dxa" w:w="7060"/>
            <w:tcMar>
              <w:top w:type="dxa" w:w="80"/>
              <w:left w:type="dxa" w:w="110"/>
              <w:bottom w:type="dxa" w:w="80"/>
              <w:right w:type="dxa" w:w="110"/>
            </w:tcMar>
          </w:tcPr>
          <w:p>
            <w:pPr>
              <w:spacing w:after="0" w:line="260"/>
            </w:pPr>
            <w:r>
              <w:rPr>
                <w:b w:val="false"/>
                <w:bCs w:val="false"/>
                <w:sz w:val="19"/>
                <w:szCs w:val="19"/>
              </w:rPr>
              <w:t xml:space="preserve">Execute a paid call to a catalogued resource: obtain the payment requirement, present the caller-signed authorization entry, settle, and return the resource response.</w:t>
            </w:r>
          </w:p>
        </w:tc>
      </w:tr>
    </w:tbl>
    <w:p>
      <w:pPr>
        <w:spacing w:after="140"/>
      </w:pPr>
      <w:r>
        <w:t xml:space="preserve"/>
      </w:r>
    </w:p>
    <w:p>
      <w:pPr>
        <w:spacing w:after="120" w:line="276"/>
      </w:pPr>
      <w:r>
        <w:rPr>
          <w:sz w:val="22"/>
          <w:szCs w:val="22"/>
        </w:rPr>
        <w:t xml:space="preserve">Every tool returns a machine-readable error code on rejection, never prose alone. An agent must be able to distinguish a recoverable condition, such as an expired authorization entry that can simply be re-signed, from a terminal one, such as a delisted resource, without parsing a human-readable message.</w:t>
      </w:r>
    </w:p>
    <w:p>
      <w:pPr>
        <w:pStyle w:val="Heading1"/>
        <w:spacing w:after="140" w:before="280"/>
      </w:pPr>
      <w:r>
        <w:rPr>
          <w:b/>
          <w:bCs/>
          <w:sz w:val="26"/>
          <w:szCs w:val="26"/>
        </w:rPr>
        <w:t xml:space="preserve">8. Error Handling</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600"/>
        <w:gridCol w:w="1150"/>
        <w:gridCol w:w="2050"/>
        <w:gridCol w:w="3560"/>
      </w:tblGrid>
      <w:tr>
        <w:trPr>
          <w:tblHeader/>
        </w:trPr>
        <w:tc>
          <w:tcPr>
            <w:tcW w:type="dxa" w:w="2600"/>
            <w:shd w:fill="E7ECE6" w:val="clear"/>
            <w:tcMar>
              <w:top w:type="dxa" w:w="80"/>
              <w:left w:type="dxa" w:w="110"/>
              <w:bottom w:type="dxa" w:w="80"/>
              <w:right w:type="dxa" w:w="110"/>
            </w:tcMar>
          </w:tcPr>
          <w:p>
            <w:pPr>
              <w:spacing w:after="0" w:line="260"/>
            </w:pPr>
            <w:r>
              <w:rPr>
                <w:b/>
                <w:bCs/>
                <w:sz w:val="19"/>
                <w:szCs w:val="19"/>
              </w:rPr>
              <w:t xml:space="preserve">Condition</w:t>
            </w:r>
          </w:p>
        </w:tc>
        <w:tc>
          <w:tcPr>
            <w:tcW w:type="dxa" w:w="1150"/>
            <w:shd w:fill="E7ECE6" w:val="clear"/>
            <w:tcMar>
              <w:top w:type="dxa" w:w="80"/>
              <w:left w:type="dxa" w:w="110"/>
              <w:bottom w:type="dxa" w:w="80"/>
              <w:right w:type="dxa" w:w="110"/>
            </w:tcMar>
          </w:tcPr>
          <w:p>
            <w:pPr>
              <w:spacing w:after="0" w:line="260"/>
            </w:pPr>
            <w:r>
              <w:rPr>
                <w:b/>
                <w:bCs/>
                <w:sz w:val="19"/>
                <w:szCs w:val="19"/>
              </w:rPr>
              <w:t xml:space="preserve">HTTP status</w:t>
            </w:r>
          </w:p>
        </w:tc>
        <w:tc>
          <w:tcPr>
            <w:tcW w:type="dxa" w:w="2050"/>
            <w:shd w:fill="E7ECE6" w:val="clear"/>
            <w:tcMar>
              <w:top w:type="dxa" w:w="80"/>
              <w:left w:type="dxa" w:w="110"/>
              <w:bottom w:type="dxa" w:w="80"/>
              <w:right w:type="dxa" w:w="110"/>
            </w:tcMar>
          </w:tcPr>
          <w:p>
            <w:pPr>
              <w:spacing w:after="0" w:line="260"/>
            </w:pPr>
            <w:r>
              <w:rPr>
                <w:b/>
                <w:bCs/>
                <w:sz w:val="19"/>
                <w:szCs w:val="19"/>
              </w:rPr>
              <w:t xml:space="preserve">Machine code</w:t>
            </w:r>
          </w:p>
        </w:tc>
        <w:tc>
          <w:tcPr>
            <w:tcW w:type="dxa" w:w="3560"/>
            <w:shd w:fill="E7ECE6" w:val="clear"/>
            <w:tcMar>
              <w:top w:type="dxa" w:w="80"/>
              <w:left w:type="dxa" w:w="110"/>
              <w:bottom w:type="dxa" w:w="80"/>
              <w:right w:type="dxa" w:w="110"/>
            </w:tcMar>
          </w:tcPr>
          <w:p>
            <w:pPr>
              <w:spacing w:after="0" w:line="260"/>
            </w:pPr>
            <w:r>
              <w:rPr>
                <w:b/>
                <w:bCs/>
                <w:sz w:val="19"/>
                <w:szCs w:val="19"/>
              </w:rPr>
              <w:t xml:space="preserve">Client action</w:t>
            </w:r>
          </w:p>
        </w:tc>
      </w:tr>
      <w:tr>
        <w:tc>
          <w:tcPr>
            <w:tcW w:type="dxa" w:w="2600"/>
            <w:tcMar>
              <w:top w:type="dxa" w:w="80"/>
              <w:left w:type="dxa" w:w="110"/>
              <w:bottom w:type="dxa" w:w="80"/>
              <w:right w:type="dxa" w:w="110"/>
            </w:tcMar>
          </w:tcPr>
          <w:p>
            <w:pPr>
              <w:spacing w:after="0" w:line="260"/>
            </w:pPr>
            <w:r>
              <w:rPr>
                <w:b w:val="false"/>
                <w:bCs w:val="false"/>
                <w:sz w:val="19"/>
                <w:szCs w:val="19"/>
              </w:rPr>
              <w:t xml:space="preserve">Invalid or expired API key</w:t>
            </w:r>
          </w:p>
        </w:tc>
        <w:tc>
          <w:tcPr>
            <w:tcW w:type="dxa" w:w="1150"/>
            <w:tcMar>
              <w:top w:type="dxa" w:w="80"/>
              <w:left w:type="dxa" w:w="110"/>
              <w:bottom w:type="dxa" w:w="80"/>
              <w:right w:type="dxa" w:w="110"/>
            </w:tcMar>
          </w:tcPr>
          <w:p>
            <w:pPr>
              <w:spacing w:after="0" w:line="260"/>
            </w:pPr>
            <w:r>
              <w:rPr>
                <w:b w:val="false"/>
                <w:bCs w:val="false"/>
                <w:sz w:val="19"/>
                <w:szCs w:val="19"/>
              </w:rPr>
              <w:t xml:space="preserve">401</w:t>
            </w:r>
          </w:p>
        </w:tc>
        <w:tc>
          <w:tcPr>
            <w:tcW w:type="dxa" w:w="2050"/>
            <w:tcMar>
              <w:top w:type="dxa" w:w="80"/>
              <w:left w:type="dxa" w:w="110"/>
              <w:bottom w:type="dxa" w:w="80"/>
              <w:right w:type="dxa" w:w="110"/>
            </w:tcMar>
          </w:tcPr>
          <w:p>
            <w:pPr>
              <w:spacing w:after="0" w:line="260"/>
            </w:pPr>
            <w:r>
              <w:rPr>
                <w:b w:val="false"/>
                <w:bCs w:val="false"/>
                <w:sz w:val="19"/>
                <w:szCs w:val="19"/>
              </w:rPr>
              <w:t xml:space="preserve">unauthenticated</w:t>
            </w:r>
          </w:p>
        </w:tc>
        <w:tc>
          <w:tcPr>
            <w:tcW w:type="dxa" w:w="3560"/>
            <w:tcMar>
              <w:top w:type="dxa" w:w="80"/>
              <w:left w:type="dxa" w:w="110"/>
              <w:bottom w:type="dxa" w:w="80"/>
              <w:right w:type="dxa" w:w="110"/>
            </w:tcMar>
          </w:tcPr>
          <w:p>
            <w:pPr>
              <w:spacing w:after="0" w:line="260"/>
            </w:pPr>
            <w:r>
              <w:rPr>
                <w:b w:val="false"/>
                <w:bCs w:val="false"/>
                <w:sz w:val="19"/>
                <w:szCs w:val="19"/>
              </w:rPr>
              <w:t xml:space="preserve">Re-authenticate; do not retry with the same key</w:t>
            </w:r>
          </w:p>
        </w:tc>
      </w:tr>
      <w:tr>
        <w:tc>
          <w:tcPr>
            <w:tcW w:type="dxa" w:w="2600"/>
            <w:tcMar>
              <w:top w:type="dxa" w:w="80"/>
              <w:left w:type="dxa" w:w="110"/>
              <w:bottom w:type="dxa" w:w="80"/>
              <w:right w:type="dxa" w:w="110"/>
            </w:tcMar>
          </w:tcPr>
          <w:p>
            <w:pPr>
              <w:spacing w:after="0" w:line="260"/>
            </w:pPr>
            <w:r>
              <w:rPr>
                <w:b w:val="false"/>
                <w:bCs w:val="false"/>
                <w:sz w:val="19"/>
                <w:szCs w:val="19"/>
              </w:rPr>
              <w:t xml:space="preserve">Rate limit or quota exceeded</w:t>
            </w:r>
          </w:p>
        </w:tc>
        <w:tc>
          <w:tcPr>
            <w:tcW w:type="dxa" w:w="1150"/>
            <w:tcMar>
              <w:top w:type="dxa" w:w="80"/>
              <w:left w:type="dxa" w:w="110"/>
              <w:bottom w:type="dxa" w:w="80"/>
              <w:right w:type="dxa" w:w="110"/>
            </w:tcMar>
          </w:tcPr>
          <w:p>
            <w:pPr>
              <w:spacing w:after="0" w:line="260"/>
            </w:pPr>
            <w:r>
              <w:rPr>
                <w:b w:val="false"/>
                <w:bCs w:val="false"/>
                <w:sz w:val="19"/>
                <w:szCs w:val="19"/>
              </w:rPr>
              <w:t xml:space="preserve">429</w:t>
            </w:r>
          </w:p>
        </w:tc>
        <w:tc>
          <w:tcPr>
            <w:tcW w:type="dxa" w:w="2050"/>
            <w:tcMar>
              <w:top w:type="dxa" w:w="80"/>
              <w:left w:type="dxa" w:w="110"/>
              <w:bottom w:type="dxa" w:w="80"/>
              <w:right w:type="dxa" w:w="110"/>
            </w:tcMar>
          </w:tcPr>
          <w:p>
            <w:pPr>
              <w:spacing w:after="0" w:line="260"/>
            </w:pPr>
            <w:r>
              <w:rPr>
                <w:b w:val="false"/>
                <w:bCs w:val="false"/>
                <w:sz w:val="19"/>
                <w:szCs w:val="19"/>
              </w:rPr>
              <w:t xml:space="preserve">rate_limited</w:t>
            </w:r>
          </w:p>
        </w:tc>
        <w:tc>
          <w:tcPr>
            <w:tcW w:type="dxa" w:w="3560"/>
            <w:tcMar>
              <w:top w:type="dxa" w:w="80"/>
              <w:left w:type="dxa" w:w="110"/>
              <w:bottom w:type="dxa" w:w="80"/>
              <w:right w:type="dxa" w:w="110"/>
            </w:tcMar>
          </w:tcPr>
          <w:p>
            <w:pPr>
              <w:spacing w:after="0" w:line="260"/>
            </w:pPr>
            <w:r>
              <w:rPr>
                <w:b w:val="false"/>
                <w:bCs w:val="false"/>
                <w:sz w:val="19"/>
                <w:szCs w:val="19"/>
              </w:rPr>
              <w:t xml:space="preserve">Apply exponential backoff before retrying</w:t>
            </w:r>
          </w:p>
        </w:tc>
      </w:tr>
      <w:tr>
        <w:tc>
          <w:tcPr>
            <w:tcW w:type="dxa" w:w="2600"/>
            <w:tcMar>
              <w:top w:type="dxa" w:w="80"/>
              <w:left w:type="dxa" w:w="110"/>
              <w:bottom w:type="dxa" w:w="80"/>
              <w:right w:type="dxa" w:w="110"/>
            </w:tcMar>
          </w:tcPr>
          <w:p>
            <w:pPr>
              <w:spacing w:after="0" w:line="260"/>
            </w:pPr>
            <w:r>
              <w:rPr>
                <w:b w:val="false"/>
                <w:bCs w:val="false"/>
                <w:sz w:val="19"/>
                <w:szCs w:val="19"/>
              </w:rPr>
              <w:t xml:space="preserve">Authorization entry expired</w:t>
            </w:r>
          </w:p>
        </w:tc>
        <w:tc>
          <w:tcPr>
            <w:tcW w:type="dxa" w:w="1150"/>
            <w:tcMar>
              <w:top w:type="dxa" w:w="80"/>
              <w:left w:type="dxa" w:w="110"/>
              <w:bottom w:type="dxa" w:w="80"/>
              <w:right w:type="dxa" w:w="110"/>
            </w:tcMar>
          </w:tcPr>
          <w:p>
            <w:pPr>
              <w:spacing w:after="0" w:line="260"/>
            </w:pPr>
            <w:r>
              <w:rPr>
                <w:b w:val="false"/>
                <w:bCs w:val="false"/>
                <w:sz w:val="19"/>
                <w:szCs w:val="19"/>
              </w:rPr>
              <w:t xml:space="preserve">400</w:t>
            </w:r>
          </w:p>
        </w:tc>
        <w:tc>
          <w:tcPr>
            <w:tcW w:type="dxa" w:w="2050"/>
            <w:tcMar>
              <w:top w:type="dxa" w:w="80"/>
              <w:left w:type="dxa" w:w="110"/>
              <w:bottom w:type="dxa" w:w="80"/>
              <w:right w:type="dxa" w:w="110"/>
            </w:tcMar>
          </w:tcPr>
          <w:p>
            <w:pPr>
              <w:spacing w:after="0" w:line="260"/>
            </w:pPr>
            <w:r>
              <w:rPr>
                <w:b w:val="false"/>
                <w:bCs w:val="false"/>
                <w:sz w:val="19"/>
                <w:szCs w:val="19"/>
              </w:rPr>
              <w:t xml:space="preserve">auth_entry_expired</w:t>
            </w:r>
          </w:p>
        </w:tc>
        <w:tc>
          <w:tcPr>
            <w:tcW w:type="dxa" w:w="3560"/>
            <w:tcMar>
              <w:top w:type="dxa" w:w="80"/>
              <w:left w:type="dxa" w:w="110"/>
              <w:bottom w:type="dxa" w:w="80"/>
              <w:right w:type="dxa" w:w="110"/>
            </w:tcMar>
          </w:tcPr>
          <w:p>
            <w:pPr>
              <w:spacing w:after="0" w:line="260"/>
            </w:pPr>
            <w:r>
              <w:rPr>
                <w:b w:val="false"/>
                <w:bCs w:val="false"/>
                <w:sz w:val="19"/>
                <w:szCs w:val="19"/>
              </w:rPr>
              <w:t xml:space="preserve">Re-sign with a fresh expiration and retry</w:t>
            </w:r>
          </w:p>
        </w:tc>
      </w:tr>
      <w:tr>
        <w:tc>
          <w:tcPr>
            <w:tcW w:type="dxa" w:w="2600"/>
            <w:tcMar>
              <w:top w:type="dxa" w:w="80"/>
              <w:left w:type="dxa" w:w="110"/>
              <w:bottom w:type="dxa" w:w="80"/>
              <w:right w:type="dxa" w:w="110"/>
            </w:tcMar>
          </w:tcPr>
          <w:p>
            <w:pPr>
              <w:spacing w:after="0" w:line="260"/>
            </w:pPr>
            <w:r>
              <w:rPr>
                <w:b w:val="false"/>
                <w:bCs w:val="false"/>
                <w:sz w:val="19"/>
                <w:szCs w:val="19"/>
              </w:rPr>
              <w:t xml:space="preserve">Amount or recipient mismatch</w:t>
            </w:r>
          </w:p>
        </w:tc>
        <w:tc>
          <w:tcPr>
            <w:tcW w:type="dxa" w:w="1150"/>
            <w:tcMar>
              <w:top w:type="dxa" w:w="80"/>
              <w:left w:type="dxa" w:w="110"/>
              <w:bottom w:type="dxa" w:w="80"/>
              <w:right w:type="dxa" w:w="110"/>
            </w:tcMar>
          </w:tcPr>
          <w:p>
            <w:pPr>
              <w:spacing w:after="0" w:line="260"/>
            </w:pPr>
            <w:r>
              <w:rPr>
                <w:b w:val="false"/>
                <w:bCs w:val="false"/>
                <w:sz w:val="19"/>
                <w:szCs w:val="19"/>
              </w:rPr>
              <w:t xml:space="preserve">400</w:t>
            </w:r>
          </w:p>
        </w:tc>
        <w:tc>
          <w:tcPr>
            <w:tcW w:type="dxa" w:w="2050"/>
            <w:tcMar>
              <w:top w:type="dxa" w:w="80"/>
              <w:left w:type="dxa" w:w="110"/>
              <w:bottom w:type="dxa" w:w="80"/>
              <w:right w:type="dxa" w:w="110"/>
            </w:tcMar>
          </w:tcPr>
          <w:p>
            <w:pPr>
              <w:spacing w:after="0" w:line="260"/>
            </w:pPr>
            <w:r>
              <w:rPr>
                <w:b w:val="false"/>
                <w:bCs w:val="false"/>
                <w:sz w:val="19"/>
                <w:szCs w:val="19"/>
              </w:rPr>
              <w:t xml:space="preserve">requirements_mismatch</w:t>
            </w:r>
          </w:p>
        </w:tc>
        <w:tc>
          <w:tcPr>
            <w:tcW w:type="dxa" w:w="3560"/>
            <w:tcMar>
              <w:top w:type="dxa" w:w="80"/>
              <w:left w:type="dxa" w:w="110"/>
              <w:bottom w:type="dxa" w:w="80"/>
              <w:right w:type="dxa" w:w="110"/>
            </w:tcMar>
          </w:tcPr>
          <w:p>
            <w:pPr>
              <w:spacing w:after="0" w:line="260"/>
            </w:pPr>
            <w:r>
              <w:rPr>
                <w:b w:val="false"/>
                <w:bCs w:val="false"/>
                <w:sz w:val="19"/>
                <w:szCs w:val="19"/>
              </w:rPr>
              <w:t xml:space="preserve">Do not retry; the payload does not match the stated requirements</w:t>
            </w:r>
          </w:p>
        </w:tc>
      </w:tr>
      <w:tr>
        <w:tc>
          <w:tcPr>
            <w:tcW w:type="dxa" w:w="2600"/>
            <w:tcMar>
              <w:top w:type="dxa" w:w="80"/>
              <w:left w:type="dxa" w:w="110"/>
              <w:bottom w:type="dxa" w:w="80"/>
              <w:right w:type="dxa" w:w="110"/>
            </w:tcMar>
          </w:tcPr>
          <w:p>
            <w:pPr>
              <w:spacing w:after="0" w:line="260"/>
            </w:pPr>
            <w:r>
              <w:rPr>
                <w:b w:val="false"/>
                <w:bCs w:val="false"/>
                <w:sz w:val="19"/>
                <w:szCs w:val="19"/>
              </w:rPr>
              <w:t xml:space="preserve">Payload already settled</w:t>
            </w:r>
          </w:p>
        </w:tc>
        <w:tc>
          <w:tcPr>
            <w:tcW w:type="dxa" w:w="1150"/>
            <w:tcMar>
              <w:top w:type="dxa" w:w="80"/>
              <w:left w:type="dxa" w:w="110"/>
              <w:bottom w:type="dxa" w:w="80"/>
              <w:right w:type="dxa" w:w="110"/>
            </w:tcMar>
          </w:tcPr>
          <w:p>
            <w:pPr>
              <w:spacing w:after="0" w:line="260"/>
            </w:pPr>
            <w:r>
              <w:rPr>
                <w:b w:val="false"/>
                <w:bCs w:val="false"/>
                <w:sz w:val="19"/>
                <w:szCs w:val="19"/>
              </w:rPr>
              <w:t xml:space="preserve">409</w:t>
            </w:r>
          </w:p>
        </w:tc>
        <w:tc>
          <w:tcPr>
            <w:tcW w:type="dxa" w:w="2050"/>
            <w:tcMar>
              <w:top w:type="dxa" w:w="80"/>
              <w:left w:type="dxa" w:w="110"/>
              <w:bottom w:type="dxa" w:w="80"/>
              <w:right w:type="dxa" w:w="110"/>
            </w:tcMar>
          </w:tcPr>
          <w:p>
            <w:pPr>
              <w:spacing w:after="0" w:line="260"/>
            </w:pPr>
            <w:r>
              <w:rPr>
                <w:b w:val="false"/>
                <w:bCs w:val="false"/>
                <w:sz w:val="19"/>
                <w:szCs w:val="19"/>
              </w:rPr>
              <w:t xml:space="preserve">replay_detected</w:t>
            </w:r>
          </w:p>
        </w:tc>
        <w:tc>
          <w:tcPr>
            <w:tcW w:type="dxa" w:w="3560"/>
            <w:tcMar>
              <w:top w:type="dxa" w:w="80"/>
              <w:left w:type="dxa" w:w="110"/>
              <w:bottom w:type="dxa" w:w="80"/>
              <w:right w:type="dxa" w:w="110"/>
            </w:tcMar>
          </w:tcPr>
          <w:p>
            <w:pPr>
              <w:spacing w:after="0" w:line="260"/>
            </w:pPr>
            <w:r>
              <w:rPr>
                <w:b w:val="false"/>
                <w:bCs w:val="false"/>
                <w:sz w:val="19"/>
                <w:szCs w:val="19"/>
              </w:rPr>
              <w:t xml:space="preserve">Do not retry; treat the original settlement as authoritative</w:t>
            </w:r>
          </w:p>
        </w:tc>
      </w:tr>
      <w:tr>
        <w:tc>
          <w:tcPr>
            <w:tcW w:type="dxa" w:w="2600"/>
            <w:tcMar>
              <w:top w:type="dxa" w:w="80"/>
              <w:left w:type="dxa" w:w="110"/>
              <w:bottom w:type="dxa" w:w="80"/>
              <w:right w:type="dxa" w:w="110"/>
            </w:tcMar>
          </w:tcPr>
          <w:p>
            <w:pPr>
              <w:spacing w:after="0" w:line="260"/>
            </w:pPr>
            <w:r>
              <w:rPr>
                <w:b w:val="false"/>
                <w:bCs w:val="false"/>
                <w:sz w:val="19"/>
                <w:szCs w:val="19"/>
              </w:rPr>
              <w:t xml:space="preserve">Unsupported asset or network</w:t>
            </w:r>
          </w:p>
        </w:tc>
        <w:tc>
          <w:tcPr>
            <w:tcW w:type="dxa" w:w="1150"/>
            <w:tcMar>
              <w:top w:type="dxa" w:w="80"/>
              <w:left w:type="dxa" w:w="110"/>
              <w:bottom w:type="dxa" w:w="80"/>
              <w:right w:type="dxa" w:w="110"/>
            </w:tcMar>
          </w:tcPr>
          <w:p>
            <w:pPr>
              <w:spacing w:after="0" w:line="260"/>
            </w:pPr>
            <w:r>
              <w:rPr>
                <w:b w:val="false"/>
                <w:bCs w:val="false"/>
                <w:sz w:val="19"/>
                <w:szCs w:val="19"/>
              </w:rPr>
              <w:t xml:space="preserve">400</w:t>
            </w:r>
          </w:p>
        </w:tc>
        <w:tc>
          <w:tcPr>
            <w:tcW w:type="dxa" w:w="2050"/>
            <w:tcMar>
              <w:top w:type="dxa" w:w="80"/>
              <w:left w:type="dxa" w:w="110"/>
              <w:bottom w:type="dxa" w:w="80"/>
              <w:right w:type="dxa" w:w="110"/>
            </w:tcMar>
          </w:tcPr>
          <w:p>
            <w:pPr>
              <w:spacing w:after="0" w:line="260"/>
            </w:pPr>
            <w:r>
              <w:rPr>
                <w:b w:val="false"/>
                <w:bCs w:val="false"/>
                <w:sz w:val="19"/>
                <w:szCs w:val="19"/>
              </w:rPr>
              <w:t xml:space="preserve">unsupported</w:t>
            </w:r>
          </w:p>
        </w:tc>
        <w:tc>
          <w:tcPr>
            <w:tcW w:type="dxa" w:w="3560"/>
            <w:tcMar>
              <w:top w:type="dxa" w:w="80"/>
              <w:left w:type="dxa" w:w="110"/>
              <w:bottom w:type="dxa" w:w="80"/>
              <w:right w:type="dxa" w:w="110"/>
            </w:tcMar>
          </w:tcPr>
          <w:p>
            <w:pPr>
              <w:spacing w:after="0" w:line="260"/>
            </w:pPr>
            <w:r>
              <w:rPr>
                <w:b w:val="false"/>
                <w:bCs w:val="false"/>
                <w:sz w:val="19"/>
                <w:szCs w:val="19"/>
              </w:rPr>
              <w:t xml:space="preserve">Consult the supported endpoint before retrying</w:t>
            </w:r>
          </w:p>
        </w:tc>
      </w:tr>
      <w:tr>
        <w:tc>
          <w:tcPr>
            <w:tcW w:type="dxa" w:w="2600"/>
            <w:tcMar>
              <w:top w:type="dxa" w:w="80"/>
              <w:left w:type="dxa" w:w="110"/>
              <w:bottom w:type="dxa" w:w="80"/>
              <w:right w:type="dxa" w:w="110"/>
            </w:tcMar>
          </w:tcPr>
          <w:p>
            <w:pPr>
              <w:spacing w:after="0" w:line="260"/>
            </w:pPr>
            <w:r>
              <w:rPr>
                <w:b w:val="false"/>
                <w:bCs w:val="false"/>
                <w:sz w:val="19"/>
                <w:szCs w:val="19"/>
              </w:rPr>
              <w:t xml:space="preserve">Simulation predicts failure</w:t>
            </w:r>
          </w:p>
        </w:tc>
        <w:tc>
          <w:tcPr>
            <w:tcW w:type="dxa" w:w="1150"/>
            <w:tcMar>
              <w:top w:type="dxa" w:w="80"/>
              <w:left w:type="dxa" w:w="110"/>
              <w:bottom w:type="dxa" w:w="80"/>
              <w:right w:type="dxa" w:w="110"/>
            </w:tcMar>
          </w:tcPr>
          <w:p>
            <w:pPr>
              <w:spacing w:after="0" w:line="260"/>
            </w:pPr>
            <w:r>
              <w:rPr>
                <w:b w:val="false"/>
                <w:bCs w:val="false"/>
                <w:sz w:val="19"/>
                <w:szCs w:val="19"/>
              </w:rPr>
              <w:t xml:space="preserve">400</w:t>
            </w:r>
          </w:p>
        </w:tc>
        <w:tc>
          <w:tcPr>
            <w:tcW w:type="dxa" w:w="2050"/>
            <w:tcMar>
              <w:top w:type="dxa" w:w="80"/>
              <w:left w:type="dxa" w:w="110"/>
              <w:bottom w:type="dxa" w:w="80"/>
              <w:right w:type="dxa" w:w="110"/>
            </w:tcMar>
          </w:tcPr>
          <w:p>
            <w:pPr>
              <w:spacing w:after="0" w:line="260"/>
            </w:pPr>
            <w:r>
              <w:rPr>
                <w:b w:val="false"/>
                <w:bCs w:val="false"/>
                <w:sz w:val="19"/>
                <w:szCs w:val="19"/>
              </w:rPr>
              <w:t xml:space="preserve">simulation_failed</w:t>
            </w:r>
          </w:p>
        </w:tc>
        <w:tc>
          <w:tcPr>
            <w:tcW w:type="dxa" w:w="3560"/>
            <w:tcMar>
              <w:top w:type="dxa" w:w="80"/>
              <w:left w:type="dxa" w:w="110"/>
              <w:bottom w:type="dxa" w:w="80"/>
              <w:right w:type="dxa" w:w="110"/>
            </w:tcMar>
          </w:tcPr>
          <w:p>
            <w:pPr>
              <w:spacing w:after="0" w:line="260"/>
            </w:pPr>
            <w:r>
              <w:rPr>
                <w:b w:val="false"/>
                <w:bCs w:val="false"/>
                <w:sz w:val="19"/>
                <w:szCs w:val="19"/>
              </w:rPr>
              <w:t xml:space="preserve">Typically insufficient balance or missing trustline; resolve before retrying</w:t>
            </w:r>
          </w:p>
        </w:tc>
      </w:tr>
      <w:tr>
        <w:tc>
          <w:tcPr>
            <w:tcW w:type="dxa" w:w="2600"/>
            <w:tcMar>
              <w:top w:type="dxa" w:w="80"/>
              <w:left w:type="dxa" w:w="110"/>
              <w:bottom w:type="dxa" w:w="80"/>
              <w:right w:type="dxa" w:w="110"/>
            </w:tcMar>
          </w:tcPr>
          <w:p>
            <w:pPr>
              <w:spacing w:after="0" w:line="260"/>
            </w:pPr>
            <w:r>
              <w:rPr>
                <w:b w:val="false"/>
                <w:bCs w:val="false"/>
                <w:sz w:val="19"/>
                <w:szCs w:val="19"/>
              </w:rPr>
              <w:t xml:space="preserve">Soroban RPC unavailable</w:t>
            </w:r>
          </w:p>
        </w:tc>
        <w:tc>
          <w:tcPr>
            <w:tcW w:type="dxa" w:w="1150"/>
            <w:tcMar>
              <w:top w:type="dxa" w:w="80"/>
              <w:left w:type="dxa" w:w="110"/>
              <w:bottom w:type="dxa" w:w="80"/>
              <w:right w:type="dxa" w:w="110"/>
            </w:tcMar>
          </w:tcPr>
          <w:p>
            <w:pPr>
              <w:spacing w:after="0" w:line="260"/>
            </w:pPr>
            <w:r>
              <w:rPr>
                <w:b w:val="false"/>
                <w:bCs w:val="false"/>
                <w:sz w:val="19"/>
                <w:szCs w:val="19"/>
              </w:rPr>
              <w:t xml:space="preserve">503</w:t>
            </w:r>
          </w:p>
        </w:tc>
        <w:tc>
          <w:tcPr>
            <w:tcW w:type="dxa" w:w="2050"/>
            <w:tcMar>
              <w:top w:type="dxa" w:w="80"/>
              <w:left w:type="dxa" w:w="110"/>
              <w:bottom w:type="dxa" w:w="80"/>
              <w:right w:type="dxa" w:w="110"/>
            </w:tcMar>
          </w:tcPr>
          <w:p>
            <w:pPr>
              <w:spacing w:after="0" w:line="260"/>
            </w:pPr>
            <w:r>
              <w:rPr>
                <w:b w:val="false"/>
                <w:bCs w:val="false"/>
                <w:sz w:val="19"/>
                <w:szCs w:val="19"/>
              </w:rPr>
              <w:t xml:space="preserve">chain_unavailable</w:t>
            </w:r>
          </w:p>
        </w:tc>
        <w:tc>
          <w:tcPr>
            <w:tcW w:type="dxa" w:w="3560"/>
            <w:tcMar>
              <w:top w:type="dxa" w:w="80"/>
              <w:left w:type="dxa" w:w="110"/>
              <w:bottom w:type="dxa" w:w="80"/>
              <w:right w:type="dxa" w:w="110"/>
            </w:tcMar>
          </w:tcPr>
          <w:p>
            <w:pPr>
              <w:spacing w:after="0" w:line="260"/>
            </w:pPr>
            <w:r>
              <w:rPr>
                <w:b w:val="false"/>
                <w:bCs w:val="false"/>
                <w:sz w:val="19"/>
                <w:szCs w:val="19"/>
              </w:rPr>
              <w:t xml:space="preserve">Retry with backoff; the payment has not been submitted</w:t>
            </w:r>
          </w:p>
        </w:tc>
      </w:tr>
      <w:tr>
        <w:tc>
          <w:tcPr>
            <w:tcW w:type="dxa" w:w="2600"/>
            <w:tcMar>
              <w:top w:type="dxa" w:w="80"/>
              <w:left w:type="dxa" w:w="110"/>
              <w:bottom w:type="dxa" w:w="80"/>
              <w:right w:type="dxa" w:w="110"/>
            </w:tcMar>
          </w:tcPr>
          <w:p>
            <w:pPr>
              <w:spacing w:after="0" w:line="260"/>
            </w:pPr>
            <w:r>
              <w:rPr>
                <w:b w:val="false"/>
                <w:bCs w:val="false"/>
                <w:sz w:val="19"/>
                <w:szCs w:val="19"/>
              </w:rPr>
              <w:t xml:space="preserve">Settlement submitted, confirmation unknown</w:t>
            </w:r>
          </w:p>
        </w:tc>
        <w:tc>
          <w:tcPr>
            <w:tcW w:type="dxa" w:w="1150"/>
            <w:tcMar>
              <w:top w:type="dxa" w:w="80"/>
              <w:left w:type="dxa" w:w="110"/>
              <w:bottom w:type="dxa" w:w="80"/>
              <w:right w:type="dxa" w:w="110"/>
            </w:tcMar>
          </w:tcPr>
          <w:p>
            <w:pPr>
              <w:spacing w:after="0" w:line="260"/>
            </w:pPr>
            <w:r>
              <w:rPr>
                <w:b w:val="false"/>
                <w:bCs w:val="false"/>
                <w:sz w:val="19"/>
                <w:szCs w:val="19"/>
              </w:rPr>
              <w:t xml:space="preserve">202</w:t>
            </w:r>
          </w:p>
        </w:tc>
        <w:tc>
          <w:tcPr>
            <w:tcW w:type="dxa" w:w="2050"/>
            <w:tcMar>
              <w:top w:type="dxa" w:w="80"/>
              <w:left w:type="dxa" w:w="110"/>
              <w:bottom w:type="dxa" w:w="80"/>
              <w:right w:type="dxa" w:w="110"/>
            </w:tcMar>
          </w:tcPr>
          <w:p>
            <w:pPr>
              <w:spacing w:after="0" w:line="260"/>
            </w:pPr>
            <w:r>
              <w:rPr>
                <w:b w:val="false"/>
                <w:bCs w:val="false"/>
                <w:sz w:val="19"/>
                <w:szCs w:val="19"/>
              </w:rPr>
              <w:t xml:space="preserve">settlement_pending</w:t>
            </w:r>
          </w:p>
        </w:tc>
        <w:tc>
          <w:tcPr>
            <w:tcW w:type="dxa" w:w="3560"/>
            <w:tcMar>
              <w:top w:type="dxa" w:w="80"/>
              <w:left w:type="dxa" w:w="110"/>
              <w:bottom w:type="dxa" w:w="80"/>
              <w:right w:type="dxa" w:w="110"/>
            </w:tcMar>
          </w:tcPr>
          <w:p>
            <w:pPr>
              <w:spacing w:after="0" w:line="260"/>
            </w:pPr>
            <w:r>
              <w:rPr>
                <w:b w:val="false"/>
                <w:bCs w:val="false"/>
                <w:sz w:val="19"/>
                <w:szCs w:val="19"/>
              </w:rPr>
              <w:t xml:space="preserve">Poll by transaction hash; never resubmit, as this risks double payment</w:t>
            </w:r>
          </w:p>
        </w:tc>
      </w:tr>
      <w:tr>
        <w:tc>
          <w:tcPr>
            <w:tcW w:type="dxa" w:w="2600"/>
            <w:tcMar>
              <w:top w:type="dxa" w:w="80"/>
              <w:left w:type="dxa" w:w="110"/>
              <w:bottom w:type="dxa" w:w="80"/>
              <w:right w:type="dxa" w:w="110"/>
            </w:tcMar>
          </w:tcPr>
          <w:p>
            <w:pPr>
              <w:spacing w:after="0" w:line="260"/>
            </w:pPr>
            <w:r>
              <w:rPr>
                <w:b w:val="false"/>
                <w:bCs w:val="false"/>
                <w:sz w:val="19"/>
                <w:szCs w:val="19"/>
              </w:rPr>
              <w:t xml:space="preserve">Resource delisted from catalogue</w:t>
            </w:r>
          </w:p>
        </w:tc>
        <w:tc>
          <w:tcPr>
            <w:tcW w:type="dxa" w:w="1150"/>
            <w:tcMar>
              <w:top w:type="dxa" w:w="80"/>
              <w:left w:type="dxa" w:w="110"/>
              <w:bottom w:type="dxa" w:w="80"/>
              <w:right w:type="dxa" w:w="110"/>
            </w:tcMar>
          </w:tcPr>
          <w:p>
            <w:pPr>
              <w:spacing w:after="0" w:line="260"/>
            </w:pPr>
            <w:r>
              <w:rPr>
                <w:b w:val="false"/>
                <w:bCs w:val="false"/>
                <w:sz w:val="19"/>
                <w:szCs w:val="19"/>
              </w:rPr>
              <w:t xml:space="preserve">404</w:t>
            </w:r>
          </w:p>
        </w:tc>
        <w:tc>
          <w:tcPr>
            <w:tcW w:type="dxa" w:w="2050"/>
            <w:tcMar>
              <w:top w:type="dxa" w:w="80"/>
              <w:left w:type="dxa" w:w="110"/>
              <w:bottom w:type="dxa" w:w="80"/>
              <w:right w:type="dxa" w:w="110"/>
            </w:tcMar>
          </w:tcPr>
          <w:p>
            <w:pPr>
              <w:spacing w:after="0" w:line="260"/>
            </w:pPr>
            <w:r>
              <w:rPr>
                <w:b w:val="false"/>
                <w:bCs w:val="false"/>
                <w:sz w:val="19"/>
                <w:szCs w:val="19"/>
              </w:rPr>
              <w:t xml:space="preserve">resource_delisted</w:t>
            </w:r>
          </w:p>
        </w:tc>
        <w:tc>
          <w:tcPr>
            <w:tcW w:type="dxa" w:w="3560"/>
            <w:tcMar>
              <w:top w:type="dxa" w:w="80"/>
              <w:left w:type="dxa" w:w="110"/>
              <w:bottom w:type="dxa" w:w="80"/>
              <w:right w:type="dxa" w:w="110"/>
            </w:tcMar>
          </w:tcPr>
          <w:p>
            <w:pPr>
              <w:spacing w:after="0" w:line="260"/>
            </w:pPr>
            <w:r>
              <w:rPr>
                <w:b w:val="false"/>
                <w:bCs w:val="false"/>
                <w:sz w:val="19"/>
                <w:szCs w:val="19"/>
              </w:rPr>
              <w:t xml:space="preserve">Terminal; search again for an alternative provider</w:t>
            </w:r>
          </w:p>
        </w:tc>
      </w:tr>
    </w:tbl>
    <w:p>
      <w:pPr>
        <w:spacing w:after="140"/>
      </w:pPr>
      <w:r>
        <w:t xml:space="preserve"/>
      </w:r>
    </w:p>
    <w:p>
      <w:pPr>
        <w:spacing w:after="120" w:line="276"/>
      </w:pPr>
      <w:r>
        <w:rPr>
          <w:sz w:val="22"/>
          <w:szCs w:val="22"/>
        </w:rPr>
        <w:t xml:space="preserve">The settlement_pending condition deserves particular attention from client implementers. A submitted transaction whose confirmation was not observed may still have settled. Resubmitting it risks paying twice, so the correct behaviour is always to resolve by transaction hash rather than to retry the payment.</w:t>
      </w:r>
    </w:p>
    <w:p>
      <w:pPr>
        <w:pStyle w:val="Heading1"/>
        <w:spacing w:after="140" w:before="280"/>
      </w:pPr>
      <w:r>
        <w:rPr>
          <w:b/>
          <w:bCs/>
          <w:sz w:val="26"/>
          <w:szCs w:val="26"/>
        </w:rPr>
        <w:t xml:space="preserve">9. Versioning Policy</w:t>
      </w:r>
    </w:p>
    <w:p>
      <w:pPr>
        <w:spacing w:after="120" w:line="276"/>
      </w:pPr>
      <w:r>
        <w:rPr>
          <w:sz w:val="22"/>
          <w:szCs w:val="22"/>
        </w:rPr>
        <w:t xml:space="preserve">Fields may be added to any response at any time, and clients must ignore fields they do not recognise. Fields are never removed or repurposed within a published version. A breaking change is introduced as a new version served alongside the existing one, in accordance with the Change Management Policy.</w:t>
      </w:r>
    </w:p>
    <w:p>
      <w:pPr>
        <w:spacing w:after="120" w:line="276"/>
      </w:pPr>
      <w:r>
        <w:rPr>
          <w:sz w:val="22"/>
          <w:szCs w:val="22"/>
        </w:rPr>
        <w:t xml:space="preserve">One exception is recorded honestly rather than hidden: the x402 discovery conventions are still evolving upstream, and the funded work commits to tracking them. A change forced by the upstream specification may therefore arrive faster than Clara's own deprecation window would normally allow. Where that happens, the Change Management Policy's upstream-tracking clause governs, and affected integrators are notified directly.</w:t>
      </w:r>
    </w:p>
    <w:p>
      <w:pPr>
        <w:pStyle w:val="Heading1"/>
        <w:spacing w:after="140" w:before="280"/>
      </w:pPr>
      <w:r>
        <w:rPr>
          <w:b/>
          <w:bCs/>
          <w:sz w:val="26"/>
          <w:szCs w:val="26"/>
        </w:rPr>
        <w:t xml:space="preserve">10. Client SDKs</w:t>
      </w:r>
    </w:p>
    <w:p>
      <w:pPr>
        <w:spacing w:after="120" w:line="276"/>
      </w:pPr>
      <w:r>
        <w:rPr>
          <w:sz w:val="22"/>
          <w:szCs w:val="22"/>
        </w:rPr>
        <w:t xml:space="preserve">Sellers integrate using the existing published x402 middleware packages rather than a Clara-specific SDK; pointing that middleware at Clara's facilitator URL is the entire integration. Clara publishes a TypeScript client for the discovery endpoints, with Python added if demand warrants. The MCP server requires no SDK, since any Model Context Protocol runtime can consume it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and Protocol Specification - Clara</dc:title>
  <dc:creator>Rafif Muhammad Ransi Anargya</dc:creator>
  <dc:description>Clara: Document 4 of 13</dc:description>
  <cp:lastModifiedBy>Un-named</cp:lastModifiedBy>
  <cp:revision>1</cp:revision>
  <dcterms:created xsi:type="dcterms:W3CDTF">2026-09-21T00:29:08.930Z</dcterms:created>
  <dcterms:modified xsi:type="dcterms:W3CDTF">2026-09-21T00:29:08.930Z</dcterms:modified>
</cp:coreProperties>
</file>

<file path=docProps/custom.xml><?xml version="1.0" encoding="utf-8"?>
<Properties xmlns="http://schemas.openxmlformats.org/officeDocument/2006/custom-properties" xmlns:vt="http://schemas.openxmlformats.org/officeDocument/2006/docPropsVTypes"/>
</file>