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4"/>
          <w:szCs w:val="34"/>
        </w:rPr>
        <w:t xml:space="preserve">Data Model and Event Schema Document</w:t>
      </w:r>
    </w:p>
    <w:p>
      <w:pPr>
        <w:spacing w:after="180"/>
      </w:pPr>
      <w:r>
        <w:rPr>
          <w:b/>
          <w:bCs/>
          <w:color w:val="1F6F63"/>
          <w:sz w:val="24"/>
          <w:szCs w:val="24"/>
        </w:rPr>
        <w:t xml:space="preserve">Clara</w:t>
      </w:r>
    </w:p>
    <w:p>
      <w:pPr>
        <w:spacing w:after="120" w:line="276"/>
      </w:pPr>
      <w:r>
        <w:rPr>
          <w:sz w:val="21"/>
          <w:szCs w:val="21"/>
        </w:rPr>
        <w:t xml:space="preserve">Document 5 of 13: Data Model and Event Schema Document</w:t>
      </w:r>
    </w:p>
    <w:p>
      <w:pPr>
        <w:spacing w:after="120" w:line="276"/>
      </w:pPr>
      <w:r>
        <w:rPr>
          <w:sz w:val="21"/>
          <w:szCs w:val="21"/>
        </w:rPr>
        <w:t xml:space="preserve">Version 0.2 - Draft for Review</w:t>
      </w:r>
    </w:p>
    <w:p>
      <w:pPr>
        <w:spacing w:after="120" w:line="276"/>
      </w:pPr>
      <w:r>
        <w:rPr>
          <w:sz w:val="21"/>
          <w:szCs w:val="21"/>
        </w:rPr>
        <w:t xml:space="preserve">Author: Rafif Muhammad Ransi Anargya</w:t>
      </w:r>
    </w:p>
    <w:p>
      <w:pPr>
        <w:spacing w:after="260" w:line="276"/>
      </w:pPr>
      <w:r>
        <w:rPr>
          <w:sz w:val="21"/>
          <w:szCs w:val="21"/>
        </w:rPr>
        <w:t xml:space="preserve">Date: 21 September 2026</w:t>
      </w:r>
    </w:p>
    <w:p>
      <w:pPr>
        <w:pStyle w:val="Heading1"/>
        <w:spacing w:after="140" w:before="280"/>
      </w:pPr>
      <w:r>
        <w:rPr>
          <w:b/>
          <w:bCs/>
          <w:sz w:val="26"/>
          <w:szCs w:val="26"/>
        </w:rPr>
        <w:t xml:space="preserve">1. Purpose</w:t>
      </w:r>
    </w:p>
    <w:p>
      <w:pPr>
        <w:spacing w:after="120" w:line="276"/>
      </w:pPr>
      <w:r>
        <w:rPr>
          <w:sz w:val="22"/>
          <w:szCs w:val="22"/>
        </w:rPr>
        <w:t xml:space="preserve">This document defines every record Clara stores, the meaning of each field, and where each is derived from. Three record types matter: the catalogue entry that makes a service discoverable, the payment payload that is validated, and the settlement record that proves a payment occurred.</w:t>
      </w:r>
    </w:p>
    <w:p>
      <w:pPr>
        <w:pStyle w:val="Heading1"/>
        <w:spacing w:after="140" w:before="280"/>
      </w:pPr>
      <w:r>
        <w:rPr>
          <w:b/>
          <w:bCs/>
          <w:sz w:val="26"/>
          <w:szCs w:val="26"/>
        </w:rPr>
        <w:t xml:space="preserve">2. Catalogue Resource Record</w:t>
      </w:r>
    </w:p>
    <w:tbl>
      <w:tblPr>
        <w:tblW w:type="dxa" w:w="9360"/>
        <w:tblBorders>
          <w:top w:val="single" w:color="BFC9C3" w:sz="4"/>
          <w:left w:val="single" w:color="BFC9C3" w:sz="4"/>
          <w:bottom w:val="single" w:color="BFC9C3" w:sz="4"/>
          <w:right w:val="single" w:color="BFC9C3" w:sz="4"/>
          <w:insideH w:val="single" w:color="D7DED9" w:sz="4"/>
          <w:insideV w:val="single" w:color="D7DED9" w:sz="4"/>
        </w:tblBorders>
      </w:tblPr>
      <w:tblGrid>
        <w:gridCol w:w="1750"/>
        <w:gridCol w:w="1050"/>
        <w:gridCol w:w="4560"/>
        <w:gridCol w:w="2000"/>
      </w:tblGrid>
      <w:tr>
        <w:trPr>
          <w:tblHeader/>
        </w:trPr>
        <w:tc>
          <w:tcPr>
            <w:tcW w:type="dxa" w:w="1750"/>
            <w:shd w:fill="E7EC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1050"/>
            <w:shd w:fill="E7EC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4560"/>
            <w:shd w:fill="E7EC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00"/>
            <w:shd w:fill="E7EC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resource_id</w:t>
            </w:r>
          </w:p>
        </w:tc>
        <w:tc>
          <w:tcPr>
            <w:tcW w:type="dxa" w:w="10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4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Stable internal identifier for the catalogued resource.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Generated at ingestion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resource_type</w:t>
            </w:r>
          </w:p>
        </w:tc>
        <w:tc>
          <w:tcPr>
            <w:tcW w:type="dxa" w:w="10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4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Either http_endpoint or mcp_tool. Both are first-class; neither is a secondary case.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Discovery extension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url</w:t>
            </w:r>
          </w:p>
        </w:tc>
        <w:tc>
          <w:tcPr>
            <w:tcW w:type="dxa" w:w="10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4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resource URL, or the tool identifier for an MCP resource.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Discovery extension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route_template</w:t>
            </w:r>
          </w:p>
        </w:tc>
        <w:tc>
          <w:tcPr>
            <w:tcW w:type="dxa" w:w="10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4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declared route pattern. Validated against the URL at ingestion; a mismatch is an integrity failure, not a warning.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Discovery extension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0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Seller-supplied description. Treated as untrusted input; see the Security and Threat Model.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Discovery extension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price_amount</w:t>
            </w:r>
          </w:p>
        </w:tc>
        <w:tc>
          <w:tcPr>
            <w:tcW w:type="dxa" w:w="10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4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Price in base units of the declared asset, stored as a string to avoid floating-point error.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 requirements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asset_contract</w:t>
            </w:r>
          </w:p>
        </w:tc>
        <w:tc>
          <w:tcPr>
            <w:tcW w:type="dxa" w:w="10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4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SEP-41 asset contract address in which the resource is priced.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 requirements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asset_decimals</w:t>
            </w:r>
          </w:p>
        </w:tc>
        <w:tc>
          <w:tcPr>
            <w:tcW w:type="dxa" w:w="10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integer</w:t>
            </w:r>
          </w:p>
        </w:tc>
        <w:tc>
          <w:tcPr>
            <w:tcW w:type="dxa" w:w="4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Decimals for the asset; seven for USDC on Stellar.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Asset contract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network</w:t>
            </w:r>
          </w:p>
        </w:tc>
        <w:tc>
          <w:tcPr>
            <w:tcW w:type="dxa" w:w="10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4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CAIP-2 network identifier: stellar:testnet or stellar:pubnet.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 requirements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pay_to</w:t>
            </w:r>
          </w:p>
        </w:tc>
        <w:tc>
          <w:tcPr>
            <w:tcW w:type="dxa" w:w="10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4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Recipient Stellar address for payments to this resource.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 requirements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embedding</w:t>
            </w:r>
          </w:p>
        </w:tc>
        <w:tc>
          <w:tcPr>
            <w:tcW w:type="dxa" w:w="10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vector</w:t>
            </w:r>
          </w:p>
        </w:tc>
        <w:tc>
          <w:tcPr>
            <w:tcW w:type="dxa" w:w="4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Vector representation of the description and metadata, used for semantic ranking.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Computed at ingestion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integrity_status</w:t>
            </w:r>
          </w:p>
        </w:tc>
        <w:tc>
          <w:tcPr>
            <w:tcW w:type="dxa" w:w="10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4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of verified, quarantined, or delisted. Only verified resources are returned by search.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Integrity validation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first_seen_at</w:t>
            </w:r>
          </w:p>
        </w:tc>
        <w:tc>
          <w:tcPr>
            <w:tcW w:type="dxa" w:w="10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4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When this resource first entered the catalogue.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Recorded at ingestion</w:t>
            </w:r>
          </w:p>
        </w:tc>
      </w:tr>
      <w:tr>
        <w:tc>
          <w:tcPr>
            <w:tcW w:type="dxa" w:w="17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last_verified_at</w:t>
            </w:r>
          </w:p>
        </w:tc>
        <w:tc>
          <w:tcPr>
            <w:tcW w:type="dxa" w:w="105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4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When the listing was last confirmed live and consistent with its declared requirements.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Recorded by revalidation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sz w:val="26"/>
          <w:szCs w:val="26"/>
        </w:rPr>
        <w:t xml:space="preserve">3. Payment Payload Fields</w:t>
      </w:r>
    </w:p>
    <w:p>
      <w:pPr>
        <w:spacing w:after="140" w:line="276"/>
      </w:pPr>
      <w:r>
        <w:rPr>
          <w:sz w:val="22"/>
          <w:szCs w:val="22"/>
        </w:rPr>
        <w:t xml:space="preserve">These fields are validated on every verify call. They are not persisted in full after settlement; only the settlement record below is retained.</w:t>
      </w:r>
    </w:p>
    <w:tbl>
      <w:tblPr>
        <w:tblW w:type="dxa" w:w="9360"/>
        <w:tblBorders>
          <w:top w:val="single" w:color="BFC9C3" w:sz="4"/>
          <w:left w:val="single" w:color="BFC9C3" w:sz="4"/>
          <w:bottom w:val="single" w:color="BFC9C3" w:sz="4"/>
          <w:right w:val="single" w:color="BFC9C3" w:sz="4"/>
          <w:insideH w:val="single" w:color="D7DED9" w:sz="4"/>
          <w:insideV w:val="single" w:color="D7DED9" w:sz="4"/>
        </w:tblBorders>
      </w:tblPr>
      <w:tblGrid>
        <w:gridCol w:w="1700"/>
        <w:gridCol w:w="3660"/>
        <w:gridCol w:w="4000"/>
      </w:tblGrid>
      <w:tr>
        <w:trPr>
          <w:tblHeader/>
        </w:trPr>
        <w:tc>
          <w:tcPr>
            <w:tcW w:type="dxa" w:w="1700"/>
            <w:shd w:fill="E7EC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3660"/>
            <w:shd w:fill="E7EC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000"/>
            <w:shd w:fill="E7EC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Validation rule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scheme</w:t>
            </w:r>
          </w:p>
        </w:tc>
        <w:tc>
          <w:tcPr>
            <w:tcW w:type="dxa" w:w="3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x402 payment scheme in use.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 equal the scheme in the stated requirements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network</w:t>
            </w:r>
          </w:p>
        </w:tc>
        <w:tc>
          <w:tcPr>
            <w:tcW w:type="dxa" w:w="3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CAIP-2 network identifier.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 equal the requirements network and be a supported network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asset_contract</w:t>
            </w:r>
          </w:p>
        </w:tc>
        <w:tc>
          <w:tcPr>
            <w:tcW w:type="dxa" w:w="3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SEP-41 contract the payment is denominated in.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 equal the requirements asset exactly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amount</w:t>
            </w:r>
          </w:p>
        </w:tc>
        <w:tc>
          <w:tcPr>
            <w:tcW w:type="dxa" w:w="3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Payment amount in base units.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 equal the required amount exactly, with declared decimals applied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from</w:t>
            </w:r>
          </w:p>
        </w:tc>
        <w:tc>
          <w:tcPr>
            <w:tcW w:type="dxa" w:w="3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Payer account: classic keypair or contract account.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 be the account that signed the authorization entry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to</w:t>
            </w:r>
          </w:p>
        </w:tc>
        <w:tc>
          <w:tcPr>
            <w:tcW w:type="dxa" w:w="3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Recipient account.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 equal the requirements payTo address exactly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expiration</w:t>
            </w:r>
          </w:p>
        </w:tc>
        <w:tc>
          <w:tcPr>
            <w:tcW w:type="dxa" w:w="3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Ledger-based expiration of the authorization entry.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 be in the future at verification time</w:t>
            </w:r>
          </w:p>
        </w:tc>
      </w:tr>
      <w:tr>
        <w:tc>
          <w:tcPr>
            <w:tcW w:type="dxa" w:w="1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signature</w:t>
            </w:r>
          </w:p>
        </w:tc>
        <w:tc>
          <w:tcPr>
            <w:tcW w:type="dxa" w:w="3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Signature over the authorization entry.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 validate against the declaring account, including via __check_auth for contract accounts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sz w:val="26"/>
          <w:szCs w:val="26"/>
        </w:rPr>
        <w:t xml:space="preserve">4. Settlement Record</w:t>
      </w:r>
    </w:p>
    <w:tbl>
      <w:tblPr>
        <w:tblW w:type="dxa" w:w="9360"/>
        <w:tblBorders>
          <w:top w:val="single" w:color="BFC9C3" w:sz="4"/>
          <w:left w:val="single" w:color="BFC9C3" w:sz="4"/>
          <w:bottom w:val="single" w:color="BFC9C3" w:sz="4"/>
          <w:right w:val="single" w:color="BFC9C3" w:sz="4"/>
          <w:insideH w:val="single" w:color="D7DED9" w:sz="4"/>
          <w:insideV w:val="single" w:color="D7DED9" w:sz="4"/>
        </w:tblBorders>
      </w:tblPr>
      <w:tblGrid>
        <w:gridCol w:w="2100"/>
        <w:gridCol w:w="1200"/>
        <w:gridCol w:w="6060"/>
      </w:tblGrid>
      <w:tr>
        <w:trPr>
          <w:tblHeader/>
        </w:trPr>
        <w:tc>
          <w:tcPr>
            <w:tcW w:type="dxa" w:w="2100"/>
            <w:shd w:fill="E7EC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shd w:fill="E7EC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6060"/>
            <w:shd w:fill="E7EC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settlement_id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6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Internal identifier for this settlement.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payload_digest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6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Hash of the validated payment payload. This is the replay-protection key: a digest already present is rejected as a replay.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tx_hash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6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Stellar transaction hash, once submitted. The authoritative external proof of settlement.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network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6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Network on which settlement occurred.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resource_id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6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catalogued resource paid for, where the payment originated from a catalogue entry.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6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of verified, submitted, confirmed, or failed.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verified_at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6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When validation succeeded.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submitted_at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6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When the transaction was submitted to the network.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confirmed_at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timestamp</w:t>
            </w:r>
          </w:p>
        </w:tc>
        <w:tc>
          <w:tcPr>
            <w:tcW w:type="dxa" w:w="6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When settlement was confirmed on-chain; null while pending.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failure_reason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60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9"/>
                <w:szCs w:val="19"/>
              </w:rPr>
              <w:t xml:space="preserve">Enumerated machine code from the API and Protocol Specification, where applicable.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20" w:line="276"/>
      </w:pPr>
      <w:r>
        <w:rPr>
          <w:sz w:val="22"/>
          <w:szCs w:val="22"/>
        </w:rPr>
        <w:t xml:space="preserve">A settlement record whose status remains submitted without reaching confirmed is never silently retried. It is resolved by querying the transaction hash, because resubmission risks charging a payer twice. This rule is restated in the Runbook and Operations Manual because it is the single most costly mistake an operator could make under incident pressure.</w:t>
      </w:r>
    </w:p>
    <w:p>
      <w:pPr>
        <w:pStyle w:val="Heading1"/>
        <w:spacing w:after="140" w:before="280"/>
      </w:pPr>
      <w:r>
        <w:rPr>
          <w:b/>
          <w:bCs/>
          <w:sz w:val="26"/>
          <w:szCs w:val="26"/>
        </w:rPr>
        <w:t xml:space="preserve">5. Search Index Model</w:t>
      </w:r>
    </w:p>
    <w:p>
      <w:pPr>
        <w:spacing w:after="120" w:line="276"/>
      </w:pPr>
      <w:r>
        <w:rPr>
          <w:sz w:val="22"/>
          <w:szCs w:val="22"/>
        </w:rPr>
        <w:t xml:space="preserve">Ranking blends two signals rather than relying on either alone. Semantic similarity, computed as cosine distance between the query embedding and each resource embedding, handles natural-language intent such as a request for a service that converts currency. Lexical matching handles exact tokens that embeddings handle poorly: asset codes, contract addresses, provider names, and tool identifiers. The blend weighting is a tuned parameter recorded with each evaluation run, as described in the Test Plan and QA Strategy, so that a change in ranking quality can always be attributed to a specific configuration.</w:t>
      </w:r>
    </w:p>
    <w:p>
      <w:pPr>
        <w:pStyle w:val="Heading1"/>
        <w:spacing w:after="140" w:before="280"/>
      </w:pPr>
      <w:r>
        <w:rPr>
          <w:b/>
          <w:bCs/>
          <w:sz w:val="26"/>
          <w:szCs w:val="26"/>
        </w:rPr>
        <w:t xml:space="preserve">6. Retention</w:t>
      </w:r>
    </w:p>
    <w:p>
      <w:pPr>
        <w:spacing w:after="120" w:line="276"/>
      </w:pPr>
      <w:r>
        <w:rPr>
          <w:sz w:val="22"/>
          <w:szCs w:val="22"/>
        </w:rPr>
        <w:t xml:space="preserve">Catalogue records persist for as long as the resource remains listed, and delisted resources are retained in a delisted state rather than deleted, so that an agent presenting a stale reference receives an explicit resource_delisted response instead of an ambiguous not-found. Settlement records are retained for operational and audit purposes. Full payment payloads are not retained beyond validation; only the digest required for replay protection is kept.</w:t>
      </w:r>
    </w:p>
    <w:p>
      <w:pPr>
        <w:pStyle w:val="Heading1"/>
        <w:spacing w:after="140" w:before="280"/>
      </w:pPr>
      <w:r>
        <w:rPr>
          <w:b/>
          <w:bCs/>
          <w:sz w:val="26"/>
          <w:szCs w:val="26"/>
        </w:rPr>
        <w:t xml:space="preserve">7. Schema Evolution Rules</w:t>
      </w:r>
    </w:p>
    <w:p>
      <w:pPr>
        <w:spacing w:after="120" w:line="276"/>
      </w:pPr>
      <w:r>
        <w:rPr>
          <w:sz w:val="22"/>
          <w:szCs w:val="22"/>
        </w:rPr>
        <w:t xml:space="preserve">This document is governed by the same versioning policy as the API and Protocol Specification: additive changes only within a published version, with any breaking change requiring a new version under the Change Management Policy, subject to the upstream-tracking exception recorded there.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Model and Event Schema Document - Clara</dc:title>
  <dc:creator>Rafif Muhammad Ransi Anargya</dc:creator>
  <dc:description>Clara: Document 5 of 13</dc:description>
  <cp:lastModifiedBy>Un-named</cp:lastModifiedBy>
  <cp:revision>1</cp:revision>
  <dcterms:created xsi:type="dcterms:W3CDTF">2026-09-21T00:29:08.958Z</dcterms:created>
  <dcterms:modified xsi:type="dcterms:W3CDTF">2026-09-21T00:29:08.958Z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