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4"/>
          <w:szCs w:val="34"/>
        </w:rPr>
        <w:t xml:space="preserve">Non-Functional Requirements Document</w:t>
      </w:r>
    </w:p>
    <w:p>
      <w:pPr>
        <w:spacing w:after="180"/>
      </w:pPr>
      <w:r>
        <w:rPr>
          <w:b/>
          <w:bCs/>
          <w:color w:val="1F6F63"/>
          <w:sz w:val="24"/>
          <w:szCs w:val="24"/>
        </w:rPr>
        <w:t xml:space="preserve">Clara</w:t>
      </w:r>
    </w:p>
    <w:p>
      <w:pPr>
        <w:spacing w:after="120" w:line="276"/>
      </w:pPr>
      <w:r>
        <w:rPr>
          <w:sz w:val="21"/>
          <w:szCs w:val="21"/>
        </w:rPr>
        <w:t xml:space="preserve">Document 6 of 13: Non-Functional Requirements Document</w:t>
      </w:r>
    </w:p>
    <w:p>
      <w:pPr>
        <w:spacing w:after="120" w:line="276"/>
      </w:pPr>
      <w:r>
        <w:rPr>
          <w:sz w:val="21"/>
          <w:szCs w:val="21"/>
        </w:rPr>
        <w:t xml:space="preserve">Version 0.2 - Draft for Review</w:t>
      </w:r>
    </w:p>
    <w:p>
      <w:pPr>
        <w:spacing w:after="120" w:line="276"/>
      </w:pPr>
      <w:r>
        <w:rPr>
          <w:sz w:val="21"/>
          <w:szCs w:val="21"/>
        </w:rPr>
        <w:t xml:space="preserve">Author: Rafif Muhammad Ransi Anargya</w:t>
      </w:r>
    </w:p>
    <w:p>
      <w:pPr>
        <w:spacing w:after="260" w:line="276"/>
      </w:pPr>
      <w:r>
        <w:rPr>
          <w:sz w:val="21"/>
          <w:szCs w:val="21"/>
        </w:rPr>
        <w:t xml:space="preserve">Date: 21 September 2026</w:t>
      </w:r>
    </w:p>
    <w:p>
      <w:pPr>
        <w:pStyle w:val="Heading1"/>
        <w:spacing w:after="140" w:before="280"/>
      </w:pPr>
      <w:r>
        <w:rPr>
          <w:b/>
          <w:bCs/>
          <w:sz w:val="26"/>
          <w:szCs w:val="26"/>
        </w:rPr>
        <w:t xml:space="preserve">1. Purpose</w:t>
      </w:r>
    </w:p>
    <w:p>
      <w:pPr>
        <w:spacing w:after="120" w:line="276"/>
      </w:pPr>
      <w:r>
        <w:rPr>
          <w:sz w:val="22"/>
          <w:szCs w:val="22"/>
        </w:rPr>
        <w:t xml:space="preserve">This document states, in explicit and measurable terms, the operating targets Clara must meet. Its purpose is to remove ambiguity about what reliable means for this product, since an unwritten target cannot be verified as met or missed.</w:t>
      </w:r>
    </w:p>
    <w:p>
      <w:pPr>
        <w:pStyle w:val="Heading1"/>
        <w:spacing w:after="140" w:before="280"/>
      </w:pPr>
      <w:r>
        <w:rPr>
          <w:b/>
          <w:bCs/>
          <w:sz w:val="26"/>
          <w:szCs w:val="26"/>
        </w:rPr>
        <w:t xml:space="preserve">2. Availability</w:t>
      </w:r>
    </w:p>
    <w:tbl>
      <w:tblPr>
        <w:tblW w:type="dxa" w:w="9360"/>
        <w:tblBorders>
          <w:top w:val="single" w:color="BFC9C3" w:sz="4"/>
          <w:left w:val="single" w:color="BFC9C3" w:sz="4"/>
          <w:bottom w:val="single" w:color="BFC9C3" w:sz="4"/>
          <w:right w:val="single" w:color="BFC9C3" w:sz="4"/>
          <w:insideH w:val="single" w:color="D7DED9" w:sz="4"/>
          <w:insideV w:val="single" w:color="D7DED9" w:sz="4"/>
        </w:tblBorders>
      </w:tblPr>
      <w:tblGrid>
        <w:gridCol w:w="1300"/>
        <w:gridCol w:w="3200"/>
        <w:gridCol w:w="4860"/>
      </w:tblGrid>
      <w:tr>
        <w:trPr>
          <w:tblHeader/>
        </w:trPr>
        <w:tc>
          <w:tcPr>
            <w:tcW w:type="dxa" w:w="1300"/>
            <w:shd w:fill="E7ECE6" w:val="clear"/>
            <w:tcMar>
              <w:top w:type="dxa" w:w="80"/>
              <w:left w:type="dxa" w:w="110"/>
              <w:bottom w:type="dxa" w:w="80"/>
              <w:right w:type="dxa" w:w="110"/>
            </w:tcMar>
          </w:tcPr>
          <w:p>
            <w:pPr>
              <w:spacing w:after="0" w:line="260"/>
            </w:pPr>
            <w:r>
              <w:rPr>
                <w:b/>
                <w:bCs/>
                <w:sz w:val="19"/>
                <w:szCs w:val="19"/>
              </w:rPr>
              <w:t xml:space="preserve">Phase</w:t>
            </w:r>
          </w:p>
        </w:tc>
        <w:tc>
          <w:tcPr>
            <w:tcW w:type="dxa" w:w="3200"/>
            <w:shd w:fill="E7ECE6" w:val="clear"/>
            <w:tcMar>
              <w:top w:type="dxa" w:w="80"/>
              <w:left w:type="dxa" w:w="110"/>
              <w:bottom w:type="dxa" w:w="80"/>
              <w:right w:type="dxa" w:w="110"/>
            </w:tcMar>
          </w:tcPr>
          <w:p>
            <w:pPr>
              <w:spacing w:after="0" w:line="260"/>
            </w:pPr>
            <w:r>
              <w:rPr>
                <w:b/>
                <w:bCs/>
                <w:sz w:val="19"/>
                <w:szCs w:val="19"/>
              </w:rPr>
              <w:t xml:space="preserve">Uptime target</w:t>
            </w:r>
          </w:p>
        </w:tc>
        <w:tc>
          <w:tcPr>
            <w:tcW w:type="dxa" w:w="4860"/>
            <w:shd w:fill="E7ECE6" w:val="clear"/>
            <w:tcMar>
              <w:top w:type="dxa" w:w="80"/>
              <w:left w:type="dxa" w:w="110"/>
              <w:bottom w:type="dxa" w:w="80"/>
              <w:right w:type="dxa" w:w="110"/>
            </w:tcMar>
          </w:tcPr>
          <w:p>
            <w:pPr>
              <w:spacing w:after="0" w:line="260"/>
            </w:pPr>
            <w:r>
              <w:rPr>
                <w:b/>
                <w:bCs/>
                <w:sz w:val="19"/>
                <w:szCs w:val="19"/>
              </w:rPr>
              <w:t xml:space="preserve">Notes</w:t>
            </w:r>
          </w:p>
        </w:tc>
      </w:tr>
      <w:tr>
        <w:tc>
          <w:tcPr>
            <w:tcW w:type="dxa" w:w="1300"/>
            <w:tcMar>
              <w:top w:type="dxa" w:w="80"/>
              <w:left w:type="dxa" w:w="110"/>
              <w:bottom w:type="dxa" w:w="80"/>
              <w:right w:type="dxa" w:w="110"/>
            </w:tcMar>
          </w:tcPr>
          <w:p>
            <w:pPr>
              <w:spacing w:after="0" w:line="260"/>
            </w:pPr>
            <w:r>
              <w:rPr>
                <w:b w:val="false"/>
                <w:bCs w:val="false"/>
                <w:sz w:val="19"/>
                <w:szCs w:val="19"/>
              </w:rPr>
              <w:t xml:space="preserve">Phase 0</w:t>
            </w:r>
          </w:p>
        </w:tc>
        <w:tc>
          <w:tcPr>
            <w:tcW w:type="dxa" w:w="3200"/>
            <w:tcMar>
              <w:top w:type="dxa" w:w="80"/>
              <w:left w:type="dxa" w:w="110"/>
              <w:bottom w:type="dxa" w:w="80"/>
              <w:right w:type="dxa" w:w="110"/>
            </w:tcMar>
          </w:tcPr>
          <w:p>
            <w:pPr>
              <w:spacing w:after="0" w:line="260"/>
            </w:pPr>
            <w:r>
              <w:rPr>
                <w:b w:val="false"/>
                <w:bCs w:val="false"/>
                <w:sz w:val="19"/>
                <w:szCs w:val="19"/>
              </w:rPr>
              <w:t xml:space="preserve">Best effort; no formal target</w:t>
            </w:r>
          </w:p>
        </w:tc>
        <w:tc>
          <w:tcPr>
            <w:tcW w:type="dxa" w:w="4860"/>
            <w:tcMar>
              <w:top w:type="dxa" w:w="80"/>
              <w:left w:type="dxa" w:w="110"/>
              <w:bottom w:type="dxa" w:w="80"/>
              <w:right w:type="dxa" w:w="110"/>
            </w:tcMar>
          </w:tcPr>
          <w:p>
            <w:pPr>
              <w:spacing w:after="0" w:line="260"/>
            </w:pPr>
            <w:r>
              <w:rPr>
                <w:b w:val="false"/>
                <w:bCs w:val="false"/>
                <w:sz w:val="19"/>
                <w:szCs w:val="19"/>
              </w:rPr>
              <w:t xml:space="preserve">Testnet only; the purpose of this phase is proving correctness, not commitment</w:t>
            </w:r>
          </w:p>
        </w:tc>
      </w:tr>
      <w:tr>
        <w:tc>
          <w:tcPr>
            <w:tcW w:type="dxa" w:w="1300"/>
            <w:tcMar>
              <w:top w:type="dxa" w:w="80"/>
              <w:left w:type="dxa" w:w="110"/>
              <w:bottom w:type="dxa" w:w="80"/>
              <w:right w:type="dxa" w:w="110"/>
            </w:tcMar>
          </w:tcPr>
          <w:p>
            <w:pPr>
              <w:spacing w:after="0" w:line="260"/>
            </w:pPr>
            <w:r>
              <w:rPr>
                <w:b w:val="false"/>
                <w:bCs w:val="false"/>
                <w:sz w:val="19"/>
                <w:szCs w:val="19"/>
              </w:rPr>
              <w:t xml:space="preserve">Phase 1</w:t>
            </w:r>
          </w:p>
        </w:tc>
        <w:tc>
          <w:tcPr>
            <w:tcW w:type="dxa" w:w="3200"/>
            <w:tcMar>
              <w:top w:type="dxa" w:w="80"/>
              <w:left w:type="dxa" w:w="110"/>
              <w:bottom w:type="dxa" w:w="80"/>
              <w:right w:type="dxa" w:w="110"/>
            </w:tcMar>
          </w:tcPr>
          <w:p>
            <w:pPr>
              <w:spacing w:after="0" w:line="260"/>
            </w:pPr>
            <w:r>
              <w:rPr>
                <w:b w:val="false"/>
                <w:bCs w:val="false"/>
                <w:sz w:val="19"/>
                <w:szCs w:val="19"/>
              </w:rPr>
              <w:t xml:space="preserve">99.5 percent, excluding scheduled maintenance</w:t>
            </w:r>
          </w:p>
        </w:tc>
        <w:tc>
          <w:tcPr>
            <w:tcW w:type="dxa" w:w="4860"/>
            <w:tcMar>
              <w:top w:type="dxa" w:w="80"/>
              <w:left w:type="dxa" w:w="110"/>
              <w:bottom w:type="dxa" w:w="80"/>
              <w:right w:type="dxa" w:w="110"/>
            </w:tcMar>
          </w:tcPr>
          <w:p>
            <w:pPr>
              <w:spacing w:after="0" w:line="260"/>
            </w:pPr>
            <w:r>
              <w:rPr>
                <w:b w:val="false"/>
                <w:bCs w:val="false"/>
                <w:sz w:val="19"/>
                <w:szCs w:val="19"/>
              </w:rPr>
              <w:t xml:space="preserve">Applies to the facilitator endpoints as observed by sellers</w:t>
            </w:r>
          </w:p>
        </w:tc>
      </w:tr>
      <w:tr>
        <w:tc>
          <w:tcPr>
            <w:tcW w:type="dxa" w:w="1300"/>
            <w:tcMar>
              <w:top w:type="dxa" w:w="80"/>
              <w:left w:type="dxa" w:w="110"/>
              <w:bottom w:type="dxa" w:w="80"/>
              <w:right w:type="dxa" w:w="110"/>
            </w:tcMar>
          </w:tcPr>
          <w:p>
            <w:pPr>
              <w:spacing w:after="0" w:line="260"/>
            </w:pPr>
            <w:r>
              <w:rPr>
                <w:b w:val="false"/>
                <w:bCs w:val="false"/>
                <w:sz w:val="19"/>
                <w:szCs w:val="19"/>
              </w:rPr>
              <w:t xml:space="preserve">Phase 2</w:t>
            </w:r>
          </w:p>
        </w:tc>
        <w:tc>
          <w:tcPr>
            <w:tcW w:type="dxa" w:w="3200"/>
            <w:tcMar>
              <w:top w:type="dxa" w:w="80"/>
              <w:left w:type="dxa" w:w="110"/>
              <w:bottom w:type="dxa" w:w="80"/>
              <w:right w:type="dxa" w:w="110"/>
            </w:tcMar>
          </w:tcPr>
          <w:p>
            <w:pPr>
              <w:spacing w:after="0" w:line="260"/>
            </w:pPr>
            <w:r>
              <w:rPr>
                <w:b w:val="false"/>
                <w:bCs w:val="false"/>
                <w:sz w:val="19"/>
                <w:szCs w:val="19"/>
              </w:rPr>
              <w:t xml:space="preserve">99.9 percent for settlement; 99.5 percent for discovery</w:t>
            </w:r>
          </w:p>
        </w:tc>
        <w:tc>
          <w:tcPr>
            <w:tcW w:type="dxa" w:w="4860"/>
            <w:tcMar>
              <w:top w:type="dxa" w:w="80"/>
              <w:left w:type="dxa" w:w="110"/>
              <w:bottom w:type="dxa" w:w="80"/>
              <w:right w:type="dxa" w:w="110"/>
            </w:tcMar>
          </w:tcPr>
          <w:p>
            <w:pPr>
              <w:spacing w:after="0" w:line="260"/>
            </w:pPr>
            <w:r>
              <w:rPr>
                <w:b w:val="false"/>
                <w:bCs w:val="false"/>
                <w:sz w:val="19"/>
                <w:szCs w:val="19"/>
              </w:rPr>
              <w:t xml:space="preserve">Settlement and discovery are deliberately given different targets: discovery degrading must never prevent a payment from settling</w:t>
            </w:r>
          </w:p>
        </w:tc>
      </w:tr>
    </w:tbl>
    <w:p>
      <w:pPr>
        <w:pStyle w:val="Heading1"/>
        <w:spacing w:after="140" w:before="280"/>
      </w:pPr>
      <w:r>
        <w:rPr>
          <w:b/>
          <w:bCs/>
          <w:sz w:val="26"/>
          <w:szCs w:val="26"/>
        </w:rPr>
        <w:t xml:space="preserve">3. Settlement Performance</w:t>
      </w:r>
    </w:p>
    <w:p>
      <w:pPr>
        <w:spacing w:after="140" w:line="276"/>
      </w:pPr>
      <w:r>
        <w:rPr>
          <w:sz w:val="22"/>
          <w:szCs w:val="22"/>
        </w:rPr>
        <w:t xml:space="preserve">Settlement success rate is the primary performance requirement in this document, replacing the ingestion-lag metric of the withdrawn StellarStream direction. It is defined as the proportion of correctly signed, valid payment payloads that reach confirmed settlement without operator intervention.</w:t>
      </w:r>
    </w:p>
    <w:tbl>
      <w:tblPr>
        <w:tblW w:type="dxa" w:w="9360"/>
        <w:tblBorders>
          <w:top w:val="single" w:color="BFC9C3" w:sz="4"/>
          <w:left w:val="single" w:color="BFC9C3" w:sz="4"/>
          <w:bottom w:val="single" w:color="BFC9C3" w:sz="4"/>
          <w:right w:val="single" w:color="BFC9C3" w:sz="4"/>
          <w:insideH w:val="single" w:color="D7DED9" w:sz="4"/>
          <w:insideV w:val="single" w:color="D7DED9" w:sz="4"/>
        </w:tblBorders>
      </w:tblPr>
      <w:tblGrid>
        <w:gridCol w:w="3060"/>
        <w:gridCol w:w="2500"/>
        <w:gridCol w:w="1900"/>
        <w:gridCol w:w="1900"/>
      </w:tblGrid>
      <w:tr>
        <w:trPr>
          <w:tblHeader/>
        </w:trPr>
        <w:tc>
          <w:tcPr>
            <w:tcW w:type="dxa" w:w="3060"/>
            <w:shd w:fill="E7ECE6" w:val="clear"/>
            <w:tcMar>
              <w:top w:type="dxa" w:w="80"/>
              <w:left w:type="dxa" w:w="110"/>
              <w:bottom w:type="dxa" w:w="80"/>
              <w:right w:type="dxa" w:w="110"/>
            </w:tcMar>
          </w:tcPr>
          <w:p>
            <w:pPr>
              <w:spacing w:after="0" w:line="260"/>
            </w:pPr>
            <w:r>
              <w:rPr>
                <w:b/>
                <w:bCs/>
                <w:sz w:val="19"/>
                <w:szCs w:val="19"/>
              </w:rPr>
              <w:t xml:space="preserve">Metric</w:t>
            </w:r>
          </w:p>
        </w:tc>
        <w:tc>
          <w:tcPr>
            <w:tcW w:type="dxa" w:w="2500"/>
            <w:shd w:fill="E7ECE6" w:val="clear"/>
            <w:tcMar>
              <w:top w:type="dxa" w:w="80"/>
              <w:left w:type="dxa" w:w="110"/>
              <w:bottom w:type="dxa" w:w="80"/>
              <w:right w:type="dxa" w:w="110"/>
            </w:tcMar>
          </w:tcPr>
          <w:p>
            <w:pPr>
              <w:spacing w:after="0" w:line="260"/>
            </w:pPr>
            <w:r>
              <w:rPr>
                <w:b/>
                <w:bCs/>
                <w:sz w:val="19"/>
                <w:szCs w:val="19"/>
              </w:rPr>
              <w:t xml:space="preserve">Phase 0</w:t>
            </w:r>
          </w:p>
        </w:tc>
        <w:tc>
          <w:tcPr>
            <w:tcW w:type="dxa" w:w="1900"/>
            <w:shd w:fill="E7ECE6" w:val="clear"/>
            <w:tcMar>
              <w:top w:type="dxa" w:w="80"/>
              <w:left w:type="dxa" w:w="110"/>
              <w:bottom w:type="dxa" w:w="80"/>
              <w:right w:type="dxa" w:w="110"/>
            </w:tcMar>
          </w:tcPr>
          <w:p>
            <w:pPr>
              <w:spacing w:after="0" w:line="260"/>
            </w:pPr>
            <w:r>
              <w:rPr>
                <w:b/>
                <w:bCs/>
                <w:sz w:val="19"/>
                <w:szCs w:val="19"/>
              </w:rPr>
              <w:t xml:space="preserve">Phase 1</w:t>
            </w:r>
          </w:p>
        </w:tc>
        <w:tc>
          <w:tcPr>
            <w:tcW w:type="dxa" w:w="1900"/>
            <w:shd w:fill="E7ECE6" w:val="clear"/>
            <w:tcMar>
              <w:top w:type="dxa" w:w="80"/>
              <w:left w:type="dxa" w:w="110"/>
              <w:bottom w:type="dxa" w:w="80"/>
              <w:right w:type="dxa" w:w="110"/>
            </w:tcMar>
          </w:tcPr>
          <w:p>
            <w:pPr>
              <w:spacing w:after="0" w:line="260"/>
            </w:pPr>
            <w:r>
              <w:rPr>
                <w:b/>
                <w:bCs/>
                <w:sz w:val="19"/>
                <w:szCs w:val="19"/>
              </w:rPr>
              <w:t xml:space="preserve">Phase 2</w:t>
            </w:r>
          </w:p>
        </w:tc>
      </w:tr>
      <w:tr>
        <w:tc>
          <w:tcPr>
            <w:tcW w:type="dxa" w:w="3060"/>
            <w:tcMar>
              <w:top w:type="dxa" w:w="80"/>
              <w:left w:type="dxa" w:w="110"/>
              <w:bottom w:type="dxa" w:w="80"/>
              <w:right w:type="dxa" w:w="110"/>
            </w:tcMar>
          </w:tcPr>
          <w:p>
            <w:pPr>
              <w:spacing w:after="0" w:line="260"/>
            </w:pPr>
            <w:r>
              <w:rPr>
                <w:b w:val="false"/>
                <w:bCs w:val="false"/>
                <w:sz w:val="19"/>
                <w:szCs w:val="19"/>
              </w:rPr>
              <w:t xml:space="preserve">Settlement success rate</w:t>
            </w:r>
          </w:p>
        </w:tc>
        <w:tc>
          <w:tcPr>
            <w:tcW w:type="dxa" w:w="2500"/>
            <w:tcMar>
              <w:top w:type="dxa" w:w="80"/>
              <w:left w:type="dxa" w:w="110"/>
              <w:bottom w:type="dxa" w:w="80"/>
              <w:right w:type="dxa" w:w="110"/>
            </w:tcMar>
          </w:tcPr>
          <w:p>
            <w:pPr>
              <w:spacing w:after="0" w:line="260"/>
            </w:pPr>
            <w:r>
              <w:rPr>
                <w:b w:val="false"/>
                <w:bCs w:val="false"/>
                <w:sz w:val="19"/>
                <w:szCs w:val="19"/>
              </w:rPr>
              <w:t xml:space="preserve">Measured and logged</w:t>
            </w:r>
          </w:p>
        </w:tc>
        <w:tc>
          <w:tcPr>
            <w:tcW w:type="dxa" w:w="1900"/>
            <w:tcMar>
              <w:top w:type="dxa" w:w="80"/>
              <w:left w:type="dxa" w:w="110"/>
              <w:bottom w:type="dxa" w:w="80"/>
              <w:right w:type="dxa" w:w="110"/>
            </w:tcMar>
          </w:tcPr>
          <w:p>
            <w:pPr>
              <w:spacing w:after="0" w:line="260"/>
            </w:pPr>
            <w:r>
              <w:rPr>
                <w:b w:val="false"/>
                <w:bCs w:val="false"/>
                <w:sz w:val="19"/>
                <w:szCs w:val="19"/>
              </w:rPr>
              <w:t xml:space="preserve">99 percent</w:t>
            </w:r>
          </w:p>
        </w:tc>
        <w:tc>
          <w:tcPr>
            <w:tcW w:type="dxa" w:w="1900"/>
            <w:tcMar>
              <w:top w:type="dxa" w:w="80"/>
              <w:left w:type="dxa" w:w="110"/>
              <w:bottom w:type="dxa" w:w="80"/>
              <w:right w:type="dxa" w:w="110"/>
            </w:tcMar>
          </w:tcPr>
          <w:p>
            <w:pPr>
              <w:spacing w:after="0" w:line="260"/>
            </w:pPr>
            <w:r>
              <w:rPr>
                <w:b w:val="false"/>
                <w:bCs w:val="false"/>
                <w:sz w:val="19"/>
                <w:szCs w:val="19"/>
              </w:rPr>
              <w:t xml:space="preserve">99.5 percent</w:t>
            </w:r>
          </w:p>
        </w:tc>
      </w:tr>
      <w:tr>
        <w:tc>
          <w:tcPr>
            <w:tcW w:type="dxa" w:w="3060"/>
            <w:tcMar>
              <w:top w:type="dxa" w:w="80"/>
              <w:left w:type="dxa" w:w="110"/>
              <w:bottom w:type="dxa" w:w="80"/>
              <w:right w:type="dxa" w:w="110"/>
            </w:tcMar>
          </w:tcPr>
          <w:p>
            <w:pPr>
              <w:spacing w:after="0" w:line="260"/>
            </w:pPr>
            <w:r>
              <w:rPr>
                <w:b w:val="false"/>
                <w:bCs w:val="false"/>
                <w:sz w:val="19"/>
                <w:szCs w:val="19"/>
              </w:rPr>
              <w:t xml:space="preserve">Verification latency, 95th percentile</w:t>
            </w:r>
          </w:p>
        </w:tc>
        <w:tc>
          <w:tcPr>
            <w:tcW w:type="dxa" w:w="2500"/>
            <w:tcMar>
              <w:top w:type="dxa" w:w="80"/>
              <w:left w:type="dxa" w:w="110"/>
              <w:bottom w:type="dxa" w:w="80"/>
              <w:right w:type="dxa" w:w="110"/>
            </w:tcMar>
          </w:tcPr>
          <w:p>
            <w:pPr>
              <w:spacing w:after="0" w:line="260"/>
            </w:pPr>
            <w:r>
              <w:rPr>
                <w:b w:val="false"/>
                <w:bCs w:val="false"/>
                <w:sz w:val="19"/>
                <w:szCs w:val="19"/>
              </w:rPr>
              <w:t xml:space="preserve">Measured and logged</w:t>
            </w:r>
          </w:p>
        </w:tc>
        <w:tc>
          <w:tcPr>
            <w:tcW w:type="dxa" w:w="1900"/>
            <w:tcMar>
              <w:top w:type="dxa" w:w="80"/>
              <w:left w:type="dxa" w:w="110"/>
              <w:bottom w:type="dxa" w:w="80"/>
              <w:right w:type="dxa" w:w="110"/>
            </w:tcMar>
          </w:tcPr>
          <w:p>
            <w:pPr>
              <w:spacing w:after="0" w:line="260"/>
            </w:pPr>
            <w:r>
              <w:rPr>
                <w:b w:val="false"/>
                <w:bCs w:val="false"/>
                <w:sz w:val="19"/>
                <w:szCs w:val="19"/>
              </w:rPr>
              <w:t xml:space="preserve">Under 500 milliseconds</w:t>
            </w:r>
          </w:p>
        </w:tc>
        <w:tc>
          <w:tcPr>
            <w:tcW w:type="dxa" w:w="1900"/>
            <w:tcMar>
              <w:top w:type="dxa" w:w="80"/>
              <w:left w:type="dxa" w:w="110"/>
              <w:bottom w:type="dxa" w:w="80"/>
              <w:right w:type="dxa" w:w="110"/>
            </w:tcMar>
          </w:tcPr>
          <w:p>
            <w:pPr>
              <w:spacing w:after="0" w:line="260"/>
            </w:pPr>
            <w:r>
              <w:rPr>
                <w:b w:val="false"/>
                <w:bCs w:val="false"/>
                <w:sz w:val="19"/>
                <w:szCs w:val="19"/>
              </w:rPr>
              <w:t xml:space="preserve">Under 300 milliseconds</w:t>
            </w:r>
          </w:p>
        </w:tc>
      </w:tr>
      <w:tr>
        <w:tc>
          <w:tcPr>
            <w:tcW w:type="dxa" w:w="3060"/>
            <w:tcMar>
              <w:top w:type="dxa" w:w="80"/>
              <w:left w:type="dxa" w:w="110"/>
              <w:bottom w:type="dxa" w:w="80"/>
              <w:right w:type="dxa" w:w="110"/>
            </w:tcMar>
          </w:tcPr>
          <w:p>
            <w:pPr>
              <w:spacing w:after="0" w:line="260"/>
            </w:pPr>
            <w:r>
              <w:rPr>
                <w:b w:val="false"/>
                <w:bCs w:val="false"/>
                <w:sz w:val="19"/>
                <w:szCs w:val="19"/>
              </w:rPr>
              <w:t xml:space="preserve">Settlement submission latency, 95th percentile</w:t>
            </w:r>
          </w:p>
        </w:tc>
        <w:tc>
          <w:tcPr>
            <w:tcW w:type="dxa" w:w="2500"/>
            <w:tcMar>
              <w:top w:type="dxa" w:w="80"/>
              <w:left w:type="dxa" w:w="110"/>
              <w:bottom w:type="dxa" w:w="80"/>
              <w:right w:type="dxa" w:w="110"/>
            </w:tcMar>
          </w:tcPr>
          <w:p>
            <w:pPr>
              <w:spacing w:after="0" w:line="260"/>
            </w:pPr>
            <w:r>
              <w:rPr>
                <w:b w:val="false"/>
                <w:bCs w:val="false"/>
                <w:sz w:val="19"/>
                <w:szCs w:val="19"/>
              </w:rPr>
              <w:t xml:space="preserve">Measured and logged</w:t>
            </w:r>
          </w:p>
        </w:tc>
        <w:tc>
          <w:tcPr>
            <w:tcW w:type="dxa" w:w="1900"/>
            <w:tcMar>
              <w:top w:type="dxa" w:w="80"/>
              <w:left w:type="dxa" w:w="110"/>
              <w:bottom w:type="dxa" w:w="80"/>
              <w:right w:type="dxa" w:w="110"/>
            </w:tcMar>
          </w:tcPr>
          <w:p>
            <w:pPr>
              <w:spacing w:after="0" w:line="260"/>
            </w:pPr>
            <w:r>
              <w:rPr>
                <w:b w:val="false"/>
                <w:bCs w:val="false"/>
                <w:sz w:val="19"/>
                <w:szCs w:val="19"/>
              </w:rPr>
              <w:t xml:space="preserve">Under 5 seconds to submission</w:t>
            </w:r>
          </w:p>
        </w:tc>
        <w:tc>
          <w:tcPr>
            <w:tcW w:type="dxa" w:w="1900"/>
            <w:tcMar>
              <w:top w:type="dxa" w:w="80"/>
              <w:left w:type="dxa" w:w="110"/>
              <w:bottom w:type="dxa" w:w="80"/>
              <w:right w:type="dxa" w:w="110"/>
            </w:tcMar>
          </w:tcPr>
          <w:p>
            <w:pPr>
              <w:spacing w:after="0" w:line="260"/>
            </w:pPr>
            <w:r>
              <w:rPr>
                <w:b w:val="false"/>
                <w:bCs w:val="false"/>
                <w:sz w:val="19"/>
                <w:szCs w:val="19"/>
              </w:rPr>
              <w:t xml:space="preserve">Under 3 seconds to submission</w:t>
            </w:r>
          </w:p>
        </w:tc>
      </w:tr>
      <w:tr>
        <w:tc>
          <w:tcPr>
            <w:tcW w:type="dxa" w:w="3060"/>
            <w:tcMar>
              <w:top w:type="dxa" w:w="80"/>
              <w:left w:type="dxa" w:w="110"/>
              <w:bottom w:type="dxa" w:w="80"/>
              <w:right w:type="dxa" w:w="110"/>
            </w:tcMar>
          </w:tcPr>
          <w:p>
            <w:pPr>
              <w:spacing w:after="0" w:line="260"/>
            </w:pPr>
            <w:r>
              <w:rPr>
                <w:b w:val="false"/>
                <w:bCs w:val="false"/>
                <w:sz w:val="19"/>
                <w:szCs w:val="19"/>
              </w:rPr>
              <w:t xml:space="preserve">False rejection rate on valid payloads</w:t>
            </w:r>
          </w:p>
        </w:tc>
        <w:tc>
          <w:tcPr>
            <w:tcW w:type="dxa" w:w="2500"/>
            <w:tcMar>
              <w:top w:type="dxa" w:w="80"/>
              <w:left w:type="dxa" w:w="110"/>
              <w:bottom w:type="dxa" w:w="80"/>
              <w:right w:type="dxa" w:w="110"/>
            </w:tcMar>
          </w:tcPr>
          <w:p>
            <w:pPr>
              <w:spacing w:after="0" w:line="260"/>
            </w:pPr>
            <w:r>
              <w:rPr>
                <w:b w:val="false"/>
                <w:bCs w:val="false"/>
                <w:sz w:val="19"/>
                <w:szCs w:val="19"/>
              </w:rPr>
              <w:t xml:space="preserve">Zero tolerance; any occurrence is a release blocker</w:t>
            </w:r>
          </w:p>
        </w:tc>
        <w:tc>
          <w:tcPr>
            <w:tcW w:type="dxa" w:w="1900"/>
            <w:tcMar>
              <w:top w:type="dxa" w:w="80"/>
              <w:left w:type="dxa" w:w="110"/>
              <w:bottom w:type="dxa" w:w="80"/>
              <w:right w:type="dxa" w:w="110"/>
            </w:tcMar>
          </w:tcPr>
          <w:p>
            <w:pPr>
              <w:spacing w:after="0" w:line="260"/>
            </w:pPr>
            <w:r>
              <w:rPr>
                <w:b w:val="false"/>
                <w:bCs w:val="false"/>
                <w:sz w:val="19"/>
                <w:szCs w:val="19"/>
              </w:rPr>
              <w:t xml:space="preserve">Zero tolerance</w:t>
            </w:r>
          </w:p>
        </w:tc>
        <w:tc>
          <w:tcPr>
            <w:tcW w:type="dxa" w:w="1900"/>
            <w:tcMar>
              <w:top w:type="dxa" w:w="80"/>
              <w:left w:type="dxa" w:w="110"/>
              <w:bottom w:type="dxa" w:w="80"/>
              <w:right w:type="dxa" w:w="110"/>
            </w:tcMar>
          </w:tcPr>
          <w:p>
            <w:pPr>
              <w:spacing w:after="0" w:line="260"/>
            </w:pPr>
            <w:r>
              <w:rPr>
                <w:b w:val="false"/>
                <w:bCs w:val="false"/>
                <w:sz w:val="19"/>
                <w:szCs w:val="19"/>
              </w:rPr>
              <w:t xml:space="preserve">Zero tolerance</w:t>
            </w:r>
          </w:p>
        </w:tc>
      </w:tr>
    </w:tbl>
    <w:p>
      <w:pPr>
        <w:spacing w:after="140"/>
      </w:pPr>
      <w:r>
        <w:t xml:space="preserve"/>
      </w:r>
    </w:p>
    <w:p>
      <w:pPr>
        <w:spacing w:after="120" w:line="276"/>
      </w:pPr>
      <w:r>
        <w:rPr>
          <w:sz w:val="22"/>
          <w:szCs w:val="22"/>
        </w:rPr>
        <w:t xml:space="preserve">Confirmation time on-chain is bounded by Stellar ledger close, approximately five seconds, and is therefore excluded from Clara's own latency targets. Clara commits to submission latency, which it controls, not to network confirmation, which it does not.</w:t>
      </w:r>
    </w:p>
    <w:p>
      <w:pPr>
        <w:pStyle w:val="Heading1"/>
        <w:spacing w:after="140" w:before="280"/>
      </w:pPr>
      <w:r>
        <w:rPr>
          <w:b/>
          <w:bCs/>
          <w:sz w:val="26"/>
          <w:szCs w:val="26"/>
        </w:rPr>
        <w:t xml:space="preserve">4. Discovery Search Relevance</w:t>
      </w:r>
    </w:p>
    <w:p>
      <w:pPr>
        <w:spacing w:after="120" w:line="276"/>
      </w:pPr>
      <w:r>
        <w:rPr>
          <w:sz w:val="22"/>
          <w:szCs w:val="22"/>
        </w:rPr>
        <w:t xml:space="preserve">Search quality is a graded deliverable of the funded work, so it requires a stated target rather than an assurance that it is good. Relevance is measured against a held-out query set using precision at five, meaning the proportion of the top five ranked results that a human reviewer judges genuinely capable of serving the query.</w:t>
      </w:r>
    </w:p>
    <w:tbl>
      <w:tblPr>
        <w:tblW w:type="dxa" w:w="9360"/>
        <w:tblBorders>
          <w:top w:val="single" w:color="BFC9C3" w:sz="4"/>
          <w:left w:val="single" w:color="BFC9C3" w:sz="4"/>
          <w:bottom w:val="single" w:color="BFC9C3" w:sz="4"/>
          <w:right w:val="single" w:color="BFC9C3" w:sz="4"/>
          <w:insideH w:val="single" w:color="D7DED9" w:sz="4"/>
          <w:insideV w:val="single" w:color="D7DED9" w:sz="4"/>
        </w:tblBorders>
      </w:tblPr>
      <w:tblGrid>
        <w:gridCol w:w="1600"/>
        <w:gridCol w:w="4000"/>
        <w:gridCol w:w="3760"/>
      </w:tblGrid>
      <w:tr>
        <w:trPr>
          <w:tblHeader/>
        </w:trPr>
        <w:tc>
          <w:tcPr>
            <w:tcW w:type="dxa" w:w="1600"/>
            <w:shd w:fill="E7ECE6" w:val="clear"/>
            <w:tcMar>
              <w:top w:type="dxa" w:w="80"/>
              <w:left w:type="dxa" w:w="110"/>
              <w:bottom w:type="dxa" w:w="80"/>
              <w:right w:type="dxa" w:w="110"/>
            </w:tcMar>
          </w:tcPr>
          <w:p>
            <w:pPr>
              <w:spacing w:after="0" w:line="260"/>
            </w:pPr>
            <w:r>
              <w:rPr>
                <w:b/>
                <w:bCs/>
                <w:sz w:val="19"/>
                <w:szCs w:val="19"/>
              </w:rPr>
              <w:t xml:space="preserve">Phase</w:t>
            </w:r>
          </w:p>
        </w:tc>
        <w:tc>
          <w:tcPr>
            <w:tcW w:type="dxa" w:w="4000"/>
            <w:shd w:fill="E7ECE6" w:val="clear"/>
            <w:tcMar>
              <w:top w:type="dxa" w:w="80"/>
              <w:left w:type="dxa" w:w="110"/>
              <w:bottom w:type="dxa" w:w="80"/>
              <w:right w:type="dxa" w:w="110"/>
            </w:tcMar>
          </w:tcPr>
          <w:p>
            <w:pPr>
              <w:spacing w:after="0" w:line="260"/>
            </w:pPr>
            <w:r>
              <w:rPr>
                <w:b/>
                <w:bCs/>
                <w:sz w:val="19"/>
                <w:szCs w:val="19"/>
              </w:rPr>
              <w:t xml:space="preserve">Precision at five</w:t>
            </w:r>
          </w:p>
        </w:tc>
        <w:tc>
          <w:tcPr>
            <w:tcW w:type="dxa" w:w="3760"/>
            <w:shd w:fill="E7ECE6" w:val="clear"/>
            <w:tcMar>
              <w:top w:type="dxa" w:w="80"/>
              <w:left w:type="dxa" w:w="110"/>
              <w:bottom w:type="dxa" w:w="80"/>
              <w:right w:type="dxa" w:w="110"/>
            </w:tcMar>
          </w:tcPr>
          <w:p>
            <w:pPr>
              <w:spacing w:after="0" w:line="260"/>
            </w:pPr>
            <w:r>
              <w:rPr>
                <w:b/>
                <w:bCs/>
                <w:sz w:val="19"/>
                <w:szCs w:val="19"/>
              </w:rPr>
              <w:t xml:space="preserve">Search latency, 95th percentile</w:t>
            </w:r>
          </w:p>
        </w:tc>
      </w:tr>
      <w:tr>
        <w:tc>
          <w:tcPr>
            <w:tcW w:type="dxa" w:w="1600"/>
            <w:tcMar>
              <w:top w:type="dxa" w:w="80"/>
              <w:left w:type="dxa" w:w="110"/>
              <w:bottom w:type="dxa" w:w="80"/>
              <w:right w:type="dxa" w:w="110"/>
            </w:tcMar>
          </w:tcPr>
          <w:p>
            <w:pPr>
              <w:spacing w:after="0" w:line="260"/>
            </w:pPr>
            <w:r>
              <w:rPr>
                <w:b w:val="false"/>
                <w:bCs w:val="false"/>
                <w:sz w:val="19"/>
                <w:szCs w:val="19"/>
              </w:rPr>
              <w:t xml:space="preserve">Phase 1 entry</w:t>
            </w:r>
          </w:p>
        </w:tc>
        <w:tc>
          <w:tcPr>
            <w:tcW w:type="dxa" w:w="4000"/>
            <w:tcMar>
              <w:top w:type="dxa" w:w="80"/>
              <w:left w:type="dxa" w:w="110"/>
              <w:bottom w:type="dxa" w:w="80"/>
              <w:right w:type="dxa" w:w="110"/>
            </w:tcMar>
          </w:tcPr>
          <w:p>
            <w:pPr>
              <w:spacing w:after="0" w:line="260"/>
            </w:pPr>
            <w:r>
              <w:rPr>
                <w:b w:val="false"/>
                <w:bCs w:val="false"/>
                <w:sz w:val="19"/>
                <w:szCs w:val="19"/>
              </w:rPr>
              <w:t xml:space="preserve">At least 0.6 on the initial query set</w:t>
            </w:r>
          </w:p>
        </w:tc>
        <w:tc>
          <w:tcPr>
            <w:tcW w:type="dxa" w:w="3760"/>
            <w:tcMar>
              <w:top w:type="dxa" w:w="80"/>
              <w:left w:type="dxa" w:w="110"/>
              <w:bottom w:type="dxa" w:w="80"/>
              <w:right w:type="dxa" w:w="110"/>
            </w:tcMar>
          </w:tcPr>
          <w:p>
            <w:pPr>
              <w:spacing w:after="0" w:line="260"/>
            </w:pPr>
            <w:r>
              <w:rPr>
                <w:b w:val="false"/>
                <w:bCs w:val="false"/>
                <w:sz w:val="19"/>
                <w:szCs w:val="19"/>
              </w:rPr>
              <w:t xml:space="preserve">Under 800 milliseconds</w:t>
            </w:r>
          </w:p>
        </w:tc>
      </w:tr>
      <w:tr>
        <w:tc>
          <w:tcPr>
            <w:tcW w:type="dxa" w:w="1600"/>
            <w:tcMar>
              <w:top w:type="dxa" w:w="80"/>
              <w:left w:type="dxa" w:w="110"/>
              <w:bottom w:type="dxa" w:w="80"/>
              <w:right w:type="dxa" w:w="110"/>
            </w:tcMar>
          </w:tcPr>
          <w:p>
            <w:pPr>
              <w:spacing w:after="0" w:line="260"/>
            </w:pPr>
            <w:r>
              <w:rPr>
                <w:b w:val="false"/>
                <w:bCs w:val="false"/>
                <w:sz w:val="19"/>
                <w:szCs w:val="19"/>
              </w:rPr>
              <w:t xml:space="preserve">Phase 1 exit</w:t>
            </w:r>
          </w:p>
        </w:tc>
        <w:tc>
          <w:tcPr>
            <w:tcW w:type="dxa" w:w="4000"/>
            <w:tcMar>
              <w:top w:type="dxa" w:w="80"/>
              <w:left w:type="dxa" w:w="110"/>
              <w:bottom w:type="dxa" w:w="80"/>
              <w:right w:type="dxa" w:w="110"/>
            </w:tcMar>
          </w:tcPr>
          <w:p>
            <w:pPr>
              <w:spacing w:after="0" w:line="260"/>
            </w:pPr>
            <w:r>
              <w:rPr>
                <w:b w:val="false"/>
                <w:bCs w:val="false"/>
                <w:sz w:val="19"/>
                <w:szCs w:val="19"/>
              </w:rPr>
              <w:t xml:space="preserve">At least 0.8 on an expanded query set</w:t>
            </w:r>
          </w:p>
        </w:tc>
        <w:tc>
          <w:tcPr>
            <w:tcW w:type="dxa" w:w="3760"/>
            <w:tcMar>
              <w:top w:type="dxa" w:w="80"/>
              <w:left w:type="dxa" w:w="110"/>
              <w:bottom w:type="dxa" w:w="80"/>
              <w:right w:type="dxa" w:w="110"/>
            </w:tcMar>
          </w:tcPr>
          <w:p>
            <w:pPr>
              <w:spacing w:after="0" w:line="260"/>
            </w:pPr>
            <w:r>
              <w:rPr>
                <w:b w:val="false"/>
                <w:bCs w:val="false"/>
                <w:sz w:val="19"/>
                <w:szCs w:val="19"/>
              </w:rPr>
              <w:t xml:space="preserve">Under 500 milliseconds</w:t>
            </w:r>
          </w:p>
        </w:tc>
      </w:tr>
      <w:tr>
        <w:tc>
          <w:tcPr>
            <w:tcW w:type="dxa" w:w="1600"/>
            <w:tcMar>
              <w:top w:type="dxa" w:w="80"/>
              <w:left w:type="dxa" w:w="110"/>
              <w:bottom w:type="dxa" w:w="80"/>
              <w:right w:type="dxa" w:w="110"/>
            </w:tcMar>
          </w:tcPr>
          <w:p>
            <w:pPr>
              <w:spacing w:after="0" w:line="260"/>
            </w:pPr>
            <w:r>
              <w:rPr>
                <w:b w:val="false"/>
                <w:bCs w:val="false"/>
                <w:sz w:val="19"/>
                <w:szCs w:val="19"/>
              </w:rPr>
              <w:t xml:space="preserve">Phase 2</w:t>
            </w:r>
          </w:p>
        </w:tc>
        <w:tc>
          <w:tcPr>
            <w:tcW w:type="dxa" w:w="4000"/>
            <w:tcMar>
              <w:top w:type="dxa" w:w="80"/>
              <w:left w:type="dxa" w:w="110"/>
              <w:bottom w:type="dxa" w:w="80"/>
              <w:right w:type="dxa" w:w="110"/>
            </w:tcMar>
          </w:tcPr>
          <w:p>
            <w:pPr>
              <w:spacing w:after="0" w:line="260"/>
            </w:pPr>
            <w:r>
              <w:rPr>
                <w:b w:val="false"/>
                <w:bCs w:val="false"/>
                <w:sz w:val="19"/>
                <w:szCs w:val="19"/>
              </w:rPr>
              <w:t xml:space="preserve">At least 0.8 maintained as the catalogue grows</w:t>
            </w:r>
          </w:p>
        </w:tc>
        <w:tc>
          <w:tcPr>
            <w:tcW w:type="dxa" w:w="3760"/>
            <w:tcMar>
              <w:top w:type="dxa" w:w="80"/>
              <w:left w:type="dxa" w:w="110"/>
              <w:bottom w:type="dxa" w:w="80"/>
              <w:right w:type="dxa" w:w="110"/>
            </w:tcMar>
          </w:tcPr>
          <w:p>
            <w:pPr>
              <w:spacing w:after="0" w:line="260"/>
            </w:pPr>
            <w:r>
              <w:rPr>
                <w:b w:val="false"/>
                <w:bCs w:val="false"/>
                <w:sz w:val="19"/>
                <w:szCs w:val="19"/>
              </w:rPr>
              <w:t xml:space="preserve">Under 500 milliseconds</w:t>
            </w:r>
          </w:p>
        </w:tc>
      </w:tr>
    </w:tbl>
    <w:p>
      <w:pPr>
        <w:spacing w:after="140"/>
      </w:pPr>
      <w:r>
        <w:t xml:space="preserve"/>
      </w:r>
    </w:p>
    <w:p>
      <w:pPr>
        <w:spacing w:after="120" w:line="276"/>
      </w:pPr>
      <w:r>
        <w:rPr>
          <w:sz w:val="22"/>
          <w:szCs w:val="22"/>
        </w:rPr>
        <w:t xml:space="preserve">The evaluation method, including how the query set is constructed and kept honest, is defined in the Test Plan and QA Strategy. The target is stated here; the method of proving it is stated there.</w:t>
      </w:r>
    </w:p>
    <w:p>
      <w:pPr>
        <w:pStyle w:val="Heading1"/>
        <w:spacing w:after="140" w:before="280"/>
      </w:pPr>
      <w:r>
        <w:rPr>
          <w:b/>
          <w:bCs/>
          <w:sz w:val="26"/>
          <w:szCs w:val="26"/>
        </w:rPr>
        <w:t xml:space="preserve">5. Throughput and Concurrency</w:t>
      </w:r>
    </w:p>
    <w:p>
      <w:pPr>
        <w:spacing w:after="120" w:line="276"/>
      </w:pPr>
      <w:r>
        <w:rPr>
          <w:sz w:val="22"/>
          <w:szCs w:val="22"/>
        </w:rPr>
        <w:t xml:space="preserve">At Phase 1, the facilitator is sized to sustain at least 50 settlement requests per second across horizontally scaled instances without breaching the verification latency target. Because the settlement path is stateless request-response rather than long-lived streaming, capacity is added by adding instances behind an ordinary HTTP load balancer, with no special protocol-aware routing required.</w:t>
      </w:r>
    </w:p>
    <w:p>
      <w:pPr>
        <w:spacing w:after="120" w:line="276"/>
      </w:pPr>
      <w:r>
        <w:rPr>
          <w:sz w:val="22"/>
          <w:szCs w:val="22"/>
        </w:rPr>
        <w:t xml:space="preserve">The practical ceiling is Soroban RPC capacity and Stellar ledger throughput rather than Clara's own compute. Monitoring therefore treats RPC error rate and latency as a capacity signal, not merely as a dependency health check.</w:t>
      </w:r>
    </w:p>
    <w:p>
      <w:pPr>
        <w:pStyle w:val="Heading1"/>
        <w:spacing w:after="140" w:before="280"/>
      </w:pPr>
      <w:r>
        <w:rPr>
          <w:b/>
          <w:bCs/>
          <w:sz w:val="26"/>
          <w:szCs w:val="26"/>
        </w:rPr>
        <w:t xml:space="preserve">6. Security Requirements</w:t>
      </w:r>
    </w:p>
    <w:p>
      <w:pPr>
        <w:spacing w:after="120" w:line="276"/>
      </w:pPr>
      <w:r>
        <w:rPr>
          <w:sz w:val="22"/>
          <w:szCs w:val="22"/>
        </w:rPr>
        <w:t xml:space="preserve">Summarised here and stated in full in the Security and Threat Model. All connections are encrypted in transit; plaintext is rejected. API keys are stored hashed, never in plain text. The operational submission key is held in a managed secret store, never in configuration files or environment variables committed to a repository. No component ever holds a payer's private key or signs a payment on a payer's behalf. No AGPL-licensed component appears anywhere in the dependency path, verified at every release.</w:t>
      </w:r>
    </w:p>
    <w:p>
      <w:pPr>
        <w:pStyle w:val="Heading1"/>
        <w:spacing w:after="140" w:before="280"/>
      </w:pPr>
      <w:r>
        <w:rPr>
          <w:b/>
          <w:bCs/>
          <w:sz w:val="26"/>
          <w:szCs w:val="26"/>
        </w:rPr>
        <w:t xml:space="preserve">7. Scalability</w:t>
      </w:r>
    </w:p>
    <w:p>
      <w:pPr>
        <w:spacing w:after="120" w:line="276"/>
      </w:pPr>
      <w:r>
        <w:rPr>
          <w:sz w:val="22"/>
          <w:szCs w:val="22"/>
        </w:rPr>
        <w:t xml:space="preserve">The facilitator scales horizontally with no code change. The catalogue and index scale vertically first, since Postgres with pgvector is sufficient well beyond the catalogue size this product expects in its funded period; a dedicated vector service is a deliberate later option rather than an initial commitment. Catalogue ingestion is rate-limited per seller so that a single prolific publisher cannot exhaust ingestion or embedding capacity.</w:t>
      </w:r>
    </w:p>
    <w:p>
      <w:pPr>
        <w:pStyle w:val="Heading1"/>
        <w:spacing w:after="140" w:before="280"/>
      </w:pPr>
      <w:r>
        <w:rPr>
          <w:b/>
          <w:bCs/>
          <w:sz w:val="26"/>
          <w:szCs w:val="26"/>
        </w:rPr>
        <w:t xml:space="preserve">8. Observability</w:t>
      </w:r>
    </w:p>
    <w:p>
      <w:pPr>
        <w:spacing w:after="120" w:line="276"/>
      </w:pPr>
      <w:r>
        <w:rPr>
          <w:sz w:val="22"/>
          <w:szCs w:val="22"/>
        </w:rPr>
        <w:t xml:space="preserve">The following are collected continuously from Phase 0 onward, because several are needed to prove the Phase 1 targets were met rather than merely asserted:</w:t>
      </w:r>
    </w:p>
    <w:p>
      <w:pPr>
        <w:pStyle w:val="ListParagraph"/>
        <w:numPr>
          <w:ilvl w:val="0"/>
          <w:numId w:val="1"/>
        </w:numPr>
        <w:spacing w:after="90" w:line="276"/>
      </w:pPr>
      <w:r>
        <w:rPr>
          <w:sz w:val="22"/>
          <w:szCs w:val="22"/>
        </w:rPr>
        <w:t xml:space="preserve">Settlement success rate, and settlement records stuck in submitted status beyond a threshold.</w:t>
      </w:r>
    </w:p>
    <w:p>
      <w:pPr>
        <w:pStyle w:val="ListParagraph"/>
        <w:numPr>
          <w:ilvl w:val="0"/>
          <w:numId w:val="1"/>
        </w:numPr>
        <w:spacing w:after="90" w:line="276"/>
      </w:pPr>
      <w:r>
        <w:rPr>
          <w:sz w:val="22"/>
          <w:szCs w:val="22"/>
        </w:rPr>
        <w:t xml:space="preserve">Verification rejection rate broken down by machine code, not in aggregate.</w:t>
      </w:r>
    </w:p>
    <w:p>
      <w:pPr>
        <w:pStyle w:val="ListParagraph"/>
        <w:numPr>
          <w:ilvl w:val="0"/>
          <w:numId w:val="1"/>
        </w:numPr>
        <w:spacing w:after="90" w:line="276"/>
      </w:pPr>
      <w:r>
        <w:rPr>
          <w:sz w:val="22"/>
          <w:szCs w:val="22"/>
        </w:rPr>
        <w:t xml:space="preserve">Verification and settlement submission latency at the 95th and 99th percentiles.</w:t>
      </w:r>
    </w:p>
    <w:p>
      <w:pPr>
        <w:pStyle w:val="ListParagraph"/>
        <w:numPr>
          <w:ilvl w:val="0"/>
          <w:numId w:val="1"/>
        </w:numPr>
        <w:spacing w:after="90" w:line="276"/>
      </w:pPr>
      <w:r>
        <w:rPr>
          <w:sz w:val="22"/>
          <w:szCs w:val="22"/>
        </w:rPr>
        <w:t xml:space="preserve">Soroban RPC error rate and latency.</w:t>
      </w:r>
    </w:p>
    <w:p>
      <w:pPr>
        <w:pStyle w:val="ListParagraph"/>
        <w:numPr>
          <w:ilvl w:val="0"/>
          <w:numId w:val="1"/>
        </w:numPr>
        <w:spacing w:after="90" w:line="276"/>
      </w:pPr>
      <w:r>
        <w:rPr>
          <w:sz w:val="22"/>
          <w:szCs w:val="22"/>
        </w:rPr>
        <w:t xml:space="preserve">Fee-sponsorship account balance, with an alert threshold well above exhaustion.</w:t>
      </w:r>
    </w:p>
    <w:p>
      <w:pPr>
        <w:pStyle w:val="ListParagraph"/>
        <w:numPr>
          <w:ilvl w:val="0"/>
          <w:numId w:val="1"/>
        </w:numPr>
        <w:spacing w:after="90" w:line="276"/>
      </w:pPr>
      <w:r>
        <w:rPr>
          <w:sz w:val="22"/>
          <w:szCs w:val="22"/>
        </w:rPr>
        <w:t xml:space="preserve">Catalogue ingestion accepted, quarantined, and rejected counts.</w:t>
      </w:r>
    </w:p>
    <w:p>
      <w:pPr>
        <w:pStyle w:val="ListParagraph"/>
        <w:numPr>
          <w:ilvl w:val="0"/>
          <w:numId w:val="1"/>
        </w:numPr>
        <w:spacing w:after="90" w:line="276"/>
      </w:pPr>
      <w:r>
        <w:rPr>
          <w:sz w:val="22"/>
          <w:szCs w:val="22"/>
        </w:rPr>
        <w:t xml:space="preserve">Search latency and query volume, with queries returning no results logged for relevance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Non-Functional Requirements Document - Clara</dc:title>
  <dc:creator>Rafif Muhammad Ransi Anargya</dc:creator>
  <dc:description>Clara: Document 6 of 13</dc:description>
  <cp:lastModifiedBy>Un-named</cp:lastModifiedBy>
  <cp:revision>1</cp:revision>
  <dcterms:created xsi:type="dcterms:W3CDTF">2026-09-21T00:29:08.978Z</dcterms:created>
  <dcterms:modified xsi:type="dcterms:W3CDTF">2026-09-21T00:29:08.978Z</dcterms:modified>
</cp:coreProperties>
</file>

<file path=docProps/custom.xml><?xml version="1.0" encoding="utf-8"?>
<Properties xmlns="http://schemas.openxmlformats.org/officeDocument/2006/custom-properties" xmlns:vt="http://schemas.openxmlformats.org/officeDocument/2006/docPropsVTypes"/>
</file>