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Security and Threat Model</w:t>
      </w:r>
    </w:p>
    <w:p>
      <w:pPr>
        <w:spacing w:after="180"/>
      </w:pPr>
      <w:r>
        <w:rPr>
          <w:b/>
          <w:bCs/>
          <w:color w:val="1F6F63"/>
          <w:sz w:val="24"/>
          <w:szCs w:val="24"/>
        </w:rPr>
        <w:t xml:space="preserve">Clara</w:t>
      </w:r>
    </w:p>
    <w:p>
      <w:pPr>
        <w:spacing w:after="120" w:line="276"/>
      </w:pPr>
      <w:r>
        <w:rPr>
          <w:sz w:val="21"/>
          <w:szCs w:val="21"/>
        </w:rPr>
        <w:t xml:space="preserve">Document 7 of 13: Security and Threat Model</w:t>
      </w:r>
    </w:p>
    <w:p>
      <w:pPr>
        <w:spacing w:after="120" w:line="276"/>
      </w:pPr>
      <w:r>
        <w:rPr>
          <w:sz w:val="21"/>
          <w:szCs w:val="21"/>
        </w:rPr>
        <w:t xml:space="preserve">Version 0.2 - Draft for Review</w:t>
      </w:r>
    </w:p>
    <w:p>
      <w:pPr>
        <w:spacing w:after="120" w:line="276"/>
      </w:pPr>
      <w:r>
        <w:rPr>
          <w:sz w:val="21"/>
          <w:szCs w:val="21"/>
        </w:rPr>
        <w:t xml:space="preserve">Author: Rafif Muhammad Ransi Anargya</w:t>
      </w:r>
    </w:p>
    <w:p>
      <w:pPr>
        <w:spacing w:after="260" w:line="276"/>
      </w:pPr>
      <w:r>
        <w:rPr>
          <w:sz w:val="21"/>
          <w:szCs w:val="21"/>
        </w:rPr>
        <w:t xml:space="preserve">Date: 21 September 2026</w:t>
      </w:r>
    </w:p>
    <w:p>
      <w:pPr>
        <w:pStyle w:val="Heading1"/>
        <w:spacing w:after="140" w:before="280"/>
      </w:pPr>
      <w:r>
        <w:rPr>
          <w:b/>
          <w:bCs/>
          <w:sz w:val="26"/>
          <w:szCs w:val="26"/>
        </w:rPr>
        <w:t xml:space="preserve">1. Purpose</w:t>
      </w:r>
    </w:p>
    <w:p>
      <w:pPr>
        <w:spacing w:after="120" w:line="276"/>
      </w:pPr>
      <w:r>
        <w:rPr>
          <w:sz w:val="22"/>
          <w:szCs w:val="22"/>
        </w:rPr>
        <w:t xml:space="preserve">This document identifies what Clara must protect, the realistic ways it could be attacked or misused, and the mitigation in place or planned for each.</w:t>
      </w:r>
    </w:p>
    <w:p>
      <w:pPr>
        <w:spacing w:after="120" w:line="276"/>
      </w:pPr>
      <w:r>
        <w:rPr>
          <w:sz w:val="22"/>
          <w:szCs w:val="22"/>
        </w:rPr>
        <w:t xml:space="preserve">It differs substantially from the equivalent document in the withdrawn StellarStream direction, and the difference should be understood before reading further. StellarStream relayed already-public ledger data, which meant a compromise had limited blast radius. Clara sits in the payment path. It decides whether a payment is valid and it submits the transaction. That is a meaningfully larger surface, and this document is written against it rather than inheriting the earlier, more comfortable framing.</w:t>
      </w:r>
    </w:p>
    <w:p>
      <w:pPr>
        <w:pStyle w:val="Heading1"/>
        <w:spacing w:after="140" w:before="280"/>
      </w:pPr>
      <w:r>
        <w:rPr>
          <w:b/>
          <w:bCs/>
          <w:sz w:val="26"/>
          <w:szCs w:val="26"/>
        </w:rPr>
        <w:t xml:space="preserve">2. Assets</w:t>
      </w:r>
    </w:p>
    <w:p>
      <w:pPr>
        <w:pStyle w:val="ListParagraph"/>
        <w:numPr>
          <w:ilvl w:val="0"/>
          <w:numId w:val="1"/>
        </w:numPr>
        <w:spacing w:after="90" w:line="276"/>
      </w:pPr>
      <w:r>
        <w:rPr>
          <w:sz w:val="22"/>
          <w:szCs w:val="22"/>
        </w:rPr>
        <w:t xml:space="preserve">The integrity of the validation decision: an invalid payment must never be accepted, and a valid one must never be silently rejected.</w:t>
      </w:r>
    </w:p>
    <w:p>
      <w:pPr>
        <w:pStyle w:val="ListParagraph"/>
        <w:numPr>
          <w:ilvl w:val="0"/>
          <w:numId w:val="1"/>
        </w:numPr>
        <w:spacing w:after="90" w:line="276"/>
      </w:pPr>
      <w:r>
        <w:rPr>
          <w:sz w:val="22"/>
          <w:szCs w:val="22"/>
        </w:rPr>
        <w:t xml:space="preserve">The operational key used to submit transactions and pay sponsored network fees.</w:t>
      </w:r>
    </w:p>
    <w:p>
      <w:pPr>
        <w:pStyle w:val="ListParagraph"/>
        <w:numPr>
          <w:ilvl w:val="0"/>
          <w:numId w:val="1"/>
        </w:numPr>
        <w:spacing w:after="90" w:line="276"/>
      </w:pPr>
      <w:r>
        <w:rPr>
          <w:sz w:val="22"/>
          <w:szCs w:val="22"/>
        </w:rPr>
        <w:t xml:space="preserve">The integrity of the catalogue: an agent must be able to trust that a listing describes the service it claims to describe and pays the recipient it claims to pay.</w:t>
      </w:r>
    </w:p>
    <w:p>
      <w:pPr>
        <w:pStyle w:val="ListParagraph"/>
        <w:numPr>
          <w:ilvl w:val="0"/>
          <w:numId w:val="1"/>
        </w:numPr>
        <w:spacing w:after="90" w:line="276"/>
      </w:pPr>
      <w:r>
        <w:rPr>
          <w:sz w:val="22"/>
          <w:szCs w:val="22"/>
        </w:rPr>
        <w:t xml:space="preserve">Seller API keys and account data.</w:t>
      </w:r>
    </w:p>
    <w:p>
      <w:pPr>
        <w:pStyle w:val="ListParagraph"/>
        <w:numPr>
          <w:ilvl w:val="0"/>
          <w:numId w:val="1"/>
        </w:numPr>
        <w:spacing w:after="90" w:line="276"/>
      </w:pPr>
      <w:r>
        <w:rPr>
          <w:sz w:val="22"/>
          <w:szCs w:val="22"/>
        </w:rPr>
        <w:t xml:space="preserve">The availability of the settlement path.</w:t>
      </w:r>
    </w:p>
    <w:p>
      <w:pPr>
        <w:pStyle w:val="ListParagraph"/>
        <w:numPr>
          <w:ilvl w:val="0"/>
          <w:numId w:val="1"/>
        </w:numPr>
        <w:spacing w:after="90" w:line="276"/>
      </w:pPr>
      <w:r>
        <w:rPr>
          <w:sz w:val="22"/>
          <w:szCs w:val="22"/>
        </w:rPr>
        <w:t xml:space="preserve">Clara's own reputation as infrastructure other teams route money through.</w:t>
      </w:r>
    </w:p>
    <w:p>
      <w:pPr>
        <w:pStyle w:val="Heading1"/>
        <w:spacing w:after="140" w:before="280"/>
      </w:pPr>
      <w:r>
        <w:rPr>
          <w:b/>
          <w:bCs/>
          <w:sz w:val="26"/>
          <w:szCs w:val="26"/>
        </w:rPr>
        <w:t xml:space="preserve">3. Explicit Non-Assets</w:t>
      </w:r>
    </w:p>
    <w:p>
      <w:pPr>
        <w:spacing w:after="120" w:line="276"/>
      </w:pPr>
      <w:r>
        <w:rPr>
          <w:sz w:val="22"/>
          <w:szCs w:val="22"/>
        </w:rPr>
        <w:t xml:space="preserve">Clara never holds a payer's funds, never holds a payer's private key, and never signs a payment on a payer's behalf. Every payment is authorised by the payer before Clara sees it. No compromise of Clara can create an authorisation that a payer did not sign, which bounds the worst case considerably.</w:t>
      </w:r>
    </w:p>
    <w:p>
      <w:pPr>
        <w:spacing w:after="120" w:line="276"/>
      </w:pPr>
      <w:r>
        <w:rPr>
          <w:sz w:val="22"/>
          <w:szCs w:val="22"/>
        </w:rPr>
        <w:t xml:space="preserve">That bound should not be overstated internally. Clara can be made to reject valid payments, to accept payments that should have been rejected, to submit transactions the operator did not intend, or to have its fee-paying account drained. The non-custodial property limits the damage; it does not eliminate it.</w:t>
      </w:r>
    </w:p>
    <w:p>
      <w:pPr>
        <w:pStyle w:val="Heading1"/>
        <w:spacing w:after="140" w:before="280"/>
      </w:pPr>
      <w:r>
        <w:rPr>
          <w:b/>
          <w:bCs/>
          <w:sz w:val="26"/>
          <w:szCs w:val="26"/>
        </w:rPr>
        <w:t xml:space="preserve">4. Threats and Mitigations</w:t>
      </w:r>
    </w:p>
    <w:tbl>
      <w:tblPr>
        <w:tblW w:type="dxa" w:w="9360"/>
        <w:tblBorders>
          <w:top w:val="single" w:color="BFC9C3" w:sz="4"/>
          <w:left w:val="single" w:color="BFC9C3" w:sz="4"/>
          <w:bottom w:val="single" w:color="BFC9C3" w:sz="4"/>
          <w:right w:val="single" w:color="BFC9C3" w:sz="4"/>
          <w:insideH w:val="single" w:color="D7DED9" w:sz="4"/>
          <w:insideV w:val="single" w:color="D7DED9" w:sz="4"/>
        </w:tblBorders>
      </w:tblPr>
      <w:tblGrid>
        <w:gridCol w:w="2000"/>
        <w:gridCol w:w="3400"/>
        <w:gridCol w:w="3960"/>
      </w:tblGrid>
      <w:tr>
        <w:trPr>
          <w:tblHeader/>
        </w:trPr>
        <w:tc>
          <w:tcPr>
            <w:tcW w:type="dxa" w:w="2000"/>
            <w:shd w:fill="E7ECE6" w:val="clear"/>
            <w:tcMar>
              <w:top w:type="dxa" w:w="80"/>
              <w:left w:type="dxa" w:w="110"/>
              <w:bottom w:type="dxa" w:w="80"/>
              <w:right w:type="dxa" w:w="110"/>
            </w:tcMar>
          </w:tcPr>
          <w:p>
            <w:pPr>
              <w:spacing w:after="0" w:line="260"/>
            </w:pPr>
            <w:r>
              <w:rPr>
                <w:b/>
                <w:bCs/>
                <w:sz w:val="19"/>
                <w:szCs w:val="19"/>
              </w:rPr>
              <w:t xml:space="preserve">Threat</w:t>
            </w:r>
          </w:p>
        </w:tc>
        <w:tc>
          <w:tcPr>
            <w:tcW w:type="dxa" w:w="3400"/>
            <w:shd w:fill="E7ECE6" w:val="clear"/>
            <w:tcMar>
              <w:top w:type="dxa" w:w="80"/>
              <w:left w:type="dxa" w:w="110"/>
              <w:bottom w:type="dxa" w:w="80"/>
              <w:right w:type="dxa" w:w="110"/>
            </w:tcMar>
          </w:tcPr>
          <w:p>
            <w:pPr>
              <w:spacing w:after="0" w:line="260"/>
            </w:pPr>
            <w:r>
              <w:rPr>
                <w:b/>
                <w:bCs/>
                <w:sz w:val="19"/>
                <w:szCs w:val="19"/>
              </w:rPr>
              <w:t xml:space="preserve">Description</w:t>
            </w:r>
          </w:p>
        </w:tc>
        <w:tc>
          <w:tcPr>
            <w:tcW w:type="dxa" w:w="3960"/>
            <w:shd w:fill="E7ECE6" w:val="clear"/>
            <w:tcMar>
              <w:top w:type="dxa" w:w="80"/>
              <w:left w:type="dxa" w:w="110"/>
              <w:bottom w:type="dxa" w:w="80"/>
              <w:right w:type="dxa" w:w="110"/>
            </w:tcMar>
          </w:tcPr>
          <w:p>
            <w:pPr>
              <w:spacing w:after="0" w:line="260"/>
            </w:pPr>
            <w:r>
              <w:rPr>
                <w:b/>
                <w:bCs/>
                <w:sz w:val="19"/>
                <w:szCs w:val="19"/>
              </w:rPr>
              <w:t xml:space="preserve">Mitigation</w:t>
            </w:r>
          </w:p>
        </w:tc>
      </w:tr>
      <w:tr>
        <w:tc>
          <w:tcPr>
            <w:tcW w:type="dxa" w:w="2000"/>
            <w:tcMar>
              <w:top w:type="dxa" w:w="80"/>
              <w:left w:type="dxa" w:w="110"/>
              <w:bottom w:type="dxa" w:w="80"/>
              <w:right w:type="dxa" w:w="110"/>
            </w:tcMar>
          </w:tcPr>
          <w:p>
            <w:pPr>
              <w:spacing w:after="0" w:line="260"/>
            </w:pPr>
            <w:r>
              <w:rPr>
                <w:b w:val="false"/>
                <w:bCs w:val="false"/>
                <w:sz w:val="19"/>
                <w:szCs w:val="19"/>
              </w:rPr>
              <w:t xml:space="preserve">Amount or recipient substitution</w:t>
            </w:r>
          </w:p>
        </w:tc>
        <w:tc>
          <w:tcPr>
            <w:tcW w:type="dxa" w:w="3400"/>
            <w:tcMar>
              <w:top w:type="dxa" w:w="80"/>
              <w:left w:type="dxa" w:w="110"/>
              <w:bottom w:type="dxa" w:w="80"/>
              <w:right w:type="dxa" w:w="110"/>
            </w:tcMar>
          </w:tcPr>
          <w:p>
            <w:pPr>
              <w:spacing w:after="0" w:line="260"/>
            </w:pPr>
            <w:r>
              <w:rPr>
                <w:b w:val="false"/>
                <w:bCs w:val="false"/>
                <w:sz w:val="19"/>
                <w:szCs w:val="19"/>
              </w:rPr>
              <w:t xml:space="preserve">A payload is crafted so the authorization entry pays a smaller amount, or a different recipient, than the seller's stated requirements.</w:t>
            </w:r>
          </w:p>
        </w:tc>
        <w:tc>
          <w:tcPr>
            <w:tcW w:type="dxa" w:w="3960"/>
            <w:tcMar>
              <w:top w:type="dxa" w:w="80"/>
              <w:left w:type="dxa" w:w="110"/>
              <w:bottom w:type="dxa" w:w="80"/>
              <w:right w:type="dxa" w:w="110"/>
            </w:tcMar>
          </w:tcPr>
          <w:p>
            <w:pPr>
              <w:spacing w:after="0" w:line="260"/>
            </w:pPr>
            <w:r>
              <w:rPr>
                <w:b w:val="false"/>
                <w:bCs w:val="false"/>
                <w:sz w:val="19"/>
                <w:szCs w:val="19"/>
              </w:rPr>
              <w:t xml:space="preserve">Exact-match validation on every field, per the API and Protocol Specification; no tolerance band on amount; recipient compared by exact address equality.</w:t>
            </w:r>
          </w:p>
        </w:tc>
      </w:tr>
      <w:tr>
        <w:tc>
          <w:tcPr>
            <w:tcW w:type="dxa" w:w="2000"/>
            <w:tcMar>
              <w:top w:type="dxa" w:w="80"/>
              <w:left w:type="dxa" w:w="110"/>
              <w:bottom w:type="dxa" w:w="80"/>
              <w:right w:type="dxa" w:w="110"/>
            </w:tcMar>
          </w:tcPr>
          <w:p>
            <w:pPr>
              <w:spacing w:after="0" w:line="260"/>
            </w:pPr>
            <w:r>
              <w:rPr>
                <w:b w:val="false"/>
                <w:bCs w:val="false"/>
                <w:sz w:val="19"/>
                <w:szCs w:val="19"/>
              </w:rPr>
              <w:t xml:space="preserve">Authorization-entry replay</w:t>
            </w:r>
          </w:p>
        </w:tc>
        <w:tc>
          <w:tcPr>
            <w:tcW w:type="dxa" w:w="3400"/>
            <w:tcMar>
              <w:top w:type="dxa" w:w="80"/>
              <w:left w:type="dxa" w:w="110"/>
              <w:bottom w:type="dxa" w:w="80"/>
              <w:right w:type="dxa" w:w="110"/>
            </w:tcMar>
          </w:tcPr>
          <w:p>
            <w:pPr>
              <w:spacing w:after="0" w:line="260"/>
            </w:pPr>
            <w:r>
              <w:rPr>
                <w:b w:val="false"/>
                <w:bCs w:val="false"/>
                <w:sz w:val="19"/>
                <w:szCs w:val="19"/>
              </w:rPr>
              <w:t xml:space="preserve">A previously settled payload is resubmitted to obtain the resource a second time without paying again.</w:t>
            </w:r>
          </w:p>
        </w:tc>
        <w:tc>
          <w:tcPr>
            <w:tcW w:type="dxa" w:w="3960"/>
            <w:tcMar>
              <w:top w:type="dxa" w:w="80"/>
              <w:left w:type="dxa" w:w="110"/>
              <w:bottom w:type="dxa" w:w="80"/>
              <w:right w:type="dxa" w:w="110"/>
            </w:tcMar>
          </w:tcPr>
          <w:p>
            <w:pPr>
              <w:spacing w:after="0" w:line="260"/>
            </w:pPr>
            <w:r>
              <w:rPr>
                <w:b w:val="false"/>
                <w:bCs w:val="false"/>
                <w:sz w:val="19"/>
                <w:szCs w:val="19"/>
              </w:rPr>
              <w:t xml:space="preserve">Every validated payload is recorded by digest and rejected on second presentation; entries additionally carry a ledger-based expiration bounding the replay window.</w:t>
            </w:r>
          </w:p>
        </w:tc>
      </w:tr>
      <w:tr>
        <w:tc>
          <w:tcPr>
            <w:tcW w:type="dxa" w:w="2000"/>
            <w:tcMar>
              <w:top w:type="dxa" w:w="80"/>
              <w:left w:type="dxa" w:w="110"/>
              <w:bottom w:type="dxa" w:w="80"/>
              <w:right w:type="dxa" w:w="110"/>
            </w:tcMar>
          </w:tcPr>
          <w:p>
            <w:pPr>
              <w:spacing w:after="0" w:line="260"/>
            </w:pPr>
            <w:r>
              <w:rPr>
                <w:b w:val="false"/>
                <w:bCs w:val="false"/>
                <w:sz w:val="19"/>
                <w:szCs w:val="19"/>
              </w:rPr>
              <w:t xml:space="preserve">Decimal-handling error exploited</w:t>
            </w:r>
          </w:p>
        </w:tc>
        <w:tc>
          <w:tcPr>
            <w:tcW w:type="dxa" w:w="3400"/>
            <w:tcMar>
              <w:top w:type="dxa" w:w="80"/>
              <w:left w:type="dxa" w:w="110"/>
              <w:bottom w:type="dxa" w:w="80"/>
              <w:right w:type="dxa" w:w="110"/>
            </w:tcMar>
          </w:tcPr>
          <w:p>
            <w:pPr>
              <w:spacing w:after="0" w:line="260"/>
            </w:pPr>
            <w:r>
              <w:rPr>
                <w:b w:val="false"/>
                <w:bCs w:val="false"/>
                <w:sz w:val="19"/>
                <w:szCs w:val="19"/>
              </w:rPr>
              <w:t xml:space="preserve">A payment appears to satisfy a price but is short by orders of magnitude because the asset's decimals were applied incorrectly. USDC on Stellar uses seven decimals, not the six common elsewhere.</w:t>
            </w:r>
          </w:p>
        </w:tc>
        <w:tc>
          <w:tcPr>
            <w:tcW w:type="dxa" w:w="3960"/>
            <w:tcMar>
              <w:top w:type="dxa" w:w="80"/>
              <w:left w:type="dxa" w:w="110"/>
              <w:bottom w:type="dxa" w:w="80"/>
              <w:right w:type="dxa" w:w="110"/>
            </w:tcMar>
          </w:tcPr>
          <w:p>
            <w:pPr>
              <w:spacing w:after="0" w:line="260"/>
            </w:pPr>
            <w:r>
              <w:rPr>
                <w:b w:val="false"/>
                <w:bCs w:val="false"/>
                <w:sz w:val="19"/>
                <w:szCs w:val="19"/>
              </w:rPr>
              <w:t xml:space="preserve">Decimals are read from the asset contract rather than assumed; amounts are handled as integer base units in string form, never floating point; a dedicated negative test covers the seven-versus-six case.</w:t>
            </w:r>
          </w:p>
        </w:tc>
      </w:tr>
      <w:tr>
        <w:tc>
          <w:tcPr>
            <w:tcW w:type="dxa" w:w="2000"/>
            <w:tcMar>
              <w:top w:type="dxa" w:w="80"/>
              <w:left w:type="dxa" w:w="110"/>
              <w:bottom w:type="dxa" w:w="80"/>
              <w:right w:type="dxa" w:w="110"/>
            </w:tcMar>
          </w:tcPr>
          <w:p>
            <w:pPr>
              <w:spacing w:after="0" w:line="260"/>
            </w:pPr>
            <w:r>
              <w:rPr>
                <w:b w:val="false"/>
                <w:bCs w:val="false"/>
                <w:sz w:val="19"/>
                <w:szCs w:val="19"/>
              </w:rPr>
              <w:t xml:space="preserve">Forged catalogue listing</w:t>
            </w:r>
          </w:p>
        </w:tc>
        <w:tc>
          <w:tcPr>
            <w:tcW w:type="dxa" w:w="3400"/>
            <w:tcMar>
              <w:top w:type="dxa" w:w="80"/>
              <w:left w:type="dxa" w:w="110"/>
              <w:bottom w:type="dxa" w:w="80"/>
              <w:right w:type="dxa" w:w="110"/>
            </w:tcMar>
          </w:tcPr>
          <w:p>
            <w:pPr>
              <w:spacing w:after="0" w:line="260"/>
            </w:pPr>
            <w:r>
              <w:rPr>
                <w:b w:val="false"/>
                <w:bCs w:val="false"/>
                <w:sz w:val="19"/>
                <w:szCs w:val="19"/>
              </w:rPr>
              <w:t xml:space="preserve">An attacker publishes a listing that impersonates a legitimate service, or declares a route template inconsistent with the URL it serves, to divert agent payments to an attacker-controlled address.</w:t>
            </w:r>
          </w:p>
        </w:tc>
        <w:tc>
          <w:tcPr>
            <w:tcW w:type="dxa" w:w="3960"/>
            <w:tcMar>
              <w:top w:type="dxa" w:w="80"/>
              <w:left w:type="dxa" w:w="110"/>
              <w:bottom w:type="dxa" w:w="80"/>
              <w:right w:type="dxa" w:w="110"/>
            </w:tcMar>
          </w:tcPr>
          <w:p>
            <w:pPr>
              <w:spacing w:after="0" w:line="260"/>
            </w:pPr>
            <w:r>
              <w:rPr>
                <w:b w:val="false"/>
                <w:bCs w:val="false"/>
                <w:sz w:val="19"/>
                <w:szCs w:val="19"/>
              </w:rPr>
              <w:t xml:space="preserve">Route-template validation at ingestion; listings failing integrity checks enter quarantine rather than the live catalogue; periodic revalidation of live listings, with last_verified_at exposed to clients so staleness is visible.</w:t>
            </w:r>
          </w:p>
        </w:tc>
      </w:tr>
      <w:tr>
        <w:tc>
          <w:tcPr>
            <w:tcW w:type="dxa" w:w="2000"/>
            <w:tcMar>
              <w:top w:type="dxa" w:w="80"/>
              <w:left w:type="dxa" w:w="110"/>
              <w:bottom w:type="dxa" w:w="80"/>
              <w:right w:type="dxa" w:w="110"/>
            </w:tcMar>
          </w:tcPr>
          <w:p>
            <w:pPr>
              <w:spacing w:after="0" w:line="260"/>
            </w:pPr>
            <w:r>
              <w:rPr>
                <w:b w:val="false"/>
                <w:bCs w:val="false"/>
                <w:sz w:val="19"/>
                <w:szCs w:val="19"/>
              </w:rPr>
              <w:t xml:space="preserve">Catalogue content directed at the consuming agent</w:t>
            </w:r>
          </w:p>
        </w:tc>
        <w:tc>
          <w:tcPr>
            <w:tcW w:type="dxa" w:w="3400"/>
            <w:tcMar>
              <w:top w:type="dxa" w:w="80"/>
              <w:left w:type="dxa" w:w="110"/>
              <w:bottom w:type="dxa" w:w="80"/>
              <w:right w:type="dxa" w:w="110"/>
            </w:tcMar>
          </w:tcPr>
          <w:p>
            <w:pPr>
              <w:spacing w:after="0" w:line="260"/>
            </w:pPr>
            <w:r>
              <w:rPr>
                <w:b w:val="false"/>
                <w:bCs w:val="false"/>
                <w:sz w:val="19"/>
                <w:szCs w:val="19"/>
              </w:rPr>
              <w:t xml:space="preserve">A listing's description field is written to manipulate the agent reading it rather than to describe a service. See section 5.</w:t>
            </w:r>
          </w:p>
        </w:tc>
        <w:tc>
          <w:tcPr>
            <w:tcW w:type="dxa" w:w="3960"/>
            <w:tcMar>
              <w:top w:type="dxa" w:w="80"/>
              <w:left w:type="dxa" w:w="110"/>
              <w:bottom w:type="dxa" w:w="80"/>
              <w:right w:type="dxa" w:w="110"/>
            </w:tcMar>
          </w:tcPr>
          <w:p>
            <w:pPr>
              <w:spacing w:after="0" w:line="260"/>
            </w:pPr>
            <w:r>
              <w:rPr>
                <w:b w:val="false"/>
                <w:bCs w:val="false"/>
                <w:sz w:val="19"/>
                <w:szCs w:val="19"/>
              </w:rPr>
              <w:t xml:space="preserve">Descriptions are treated as untrusted data throughout, sanitised at ingestion, and delivered to agents in a form that does not invite execution; see section 5 for the full position.</w:t>
            </w:r>
          </w:p>
        </w:tc>
      </w:tr>
      <w:tr>
        <w:tc>
          <w:tcPr>
            <w:tcW w:type="dxa" w:w="2000"/>
            <w:tcMar>
              <w:top w:type="dxa" w:w="80"/>
              <w:left w:type="dxa" w:w="110"/>
              <w:bottom w:type="dxa" w:w="80"/>
              <w:right w:type="dxa" w:w="110"/>
            </w:tcMar>
          </w:tcPr>
          <w:p>
            <w:pPr>
              <w:spacing w:after="0" w:line="260"/>
            </w:pPr>
            <w:r>
              <w:rPr>
                <w:b w:val="false"/>
                <w:bCs w:val="false"/>
                <w:sz w:val="19"/>
                <w:szCs w:val="19"/>
              </w:rPr>
              <w:t xml:space="preserve">Operational key compromise</w:t>
            </w:r>
          </w:p>
        </w:tc>
        <w:tc>
          <w:tcPr>
            <w:tcW w:type="dxa" w:w="3400"/>
            <w:tcMar>
              <w:top w:type="dxa" w:w="80"/>
              <w:left w:type="dxa" w:w="110"/>
              <w:bottom w:type="dxa" w:w="80"/>
              <w:right w:type="dxa" w:w="110"/>
            </w:tcMar>
          </w:tcPr>
          <w:p>
            <w:pPr>
              <w:spacing w:after="0" w:line="260"/>
            </w:pPr>
            <w:r>
              <w:rPr>
                <w:b w:val="false"/>
                <w:bCs w:val="false"/>
                <w:sz w:val="19"/>
                <w:szCs w:val="19"/>
              </w:rPr>
              <w:t xml:space="preserve">The key used to submit transactions and pay sponsored fees is obtained.</w:t>
            </w:r>
          </w:p>
        </w:tc>
        <w:tc>
          <w:tcPr>
            <w:tcW w:type="dxa" w:w="3960"/>
            <w:tcMar>
              <w:top w:type="dxa" w:w="80"/>
              <w:left w:type="dxa" w:w="110"/>
              <w:bottom w:type="dxa" w:w="80"/>
              <w:right w:type="dxa" w:w="110"/>
            </w:tcMar>
          </w:tcPr>
          <w:p>
            <w:pPr>
              <w:spacing w:after="0" w:line="260"/>
            </w:pPr>
            <w:r>
              <w:rPr>
                <w:b w:val="false"/>
                <w:bCs w:val="false"/>
                <w:sz w:val="19"/>
                <w:szCs w:val="19"/>
              </w:rPr>
              <w:t xml:space="preserve">Key held in a managed secret store, never in configuration or source; rotation procedure defined in the Runbook and Operations Manual; the sponsorship account is funded to an operating float rather than a large balance, capping loss.</w:t>
            </w:r>
          </w:p>
        </w:tc>
      </w:tr>
      <w:tr>
        <w:tc>
          <w:tcPr>
            <w:tcW w:type="dxa" w:w="2000"/>
            <w:tcMar>
              <w:top w:type="dxa" w:w="80"/>
              <w:left w:type="dxa" w:w="110"/>
              <w:bottom w:type="dxa" w:w="80"/>
              <w:right w:type="dxa" w:w="110"/>
            </w:tcMar>
          </w:tcPr>
          <w:p>
            <w:pPr>
              <w:spacing w:after="0" w:line="260"/>
            </w:pPr>
            <w:r>
              <w:rPr>
                <w:b w:val="false"/>
                <w:bCs w:val="false"/>
                <w:sz w:val="19"/>
                <w:szCs w:val="19"/>
              </w:rPr>
              <w:t xml:space="preserve">Fee-sponsorship abuse</w:t>
            </w:r>
          </w:p>
        </w:tc>
        <w:tc>
          <w:tcPr>
            <w:tcW w:type="dxa" w:w="3400"/>
            <w:tcMar>
              <w:top w:type="dxa" w:w="80"/>
              <w:left w:type="dxa" w:w="110"/>
              <w:bottom w:type="dxa" w:w="80"/>
              <w:right w:type="dxa" w:w="110"/>
            </w:tcMar>
          </w:tcPr>
          <w:p>
            <w:pPr>
              <w:spacing w:after="0" w:line="260"/>
            </w:pPr>
            <w:r>
              <w:rPr>
                <w:b w:val="false"/>
                <w:bCs w:val="false"/>
                <w:sz w:val="19"/>
                <w:szCs w:val="19"/>
              </w:rPr>
              <w:t xml:space="preserve">An attacker submits large volumes of valid but worthless payments purely to drain Clara's sponsored fee balance.</w:t>
            </w:r>
          </w:p>
        </w:tc>
        <w:tc>
          <w:tcPr>
            <w:tcW w:type="dxa" w:w="3960"/>
            <w:tcMar>
              <w:top w:type="dxa" w:w="80"/>
              <w:left w:type="dxa" w:w="110"/>
              <w:bottom w:type="dxa" w:w="80"/>
              <w:right w:type="dxa" w:w="110"/>
            </w:tcMar>
          </w:tcPr>
          <w:p>
            <w:pPr>
              <w:spacing w:after="0" w:line="260"/>
            </w:pPr>
            <w:r>
              <w:rPr>
                <w:b w:val="false"/>
                <w:bCs w:val="false"/>
                <w:sz w:val="19"/>
                <w:szCs w:val="19"/>
              </w:rPr>
              <w:t xml:space="preserve">Per-key and per-source rate limiting on settlement; sponsorship balance alerting well above exhaustion; sponsorship can be withdrawn per key or globally without taking settlement offline.</w:t>
            </w:r>
          </w:p>
        </w:tc>
      </w:tr>
      <w:tr>
        <w:tc>
          <w:tcPr>
            <w:tcW w:type="dxa" w:w="2000"/>
            <w:tcMar>
              <w:top w:type="dxa" w:w="80"/>
              <w:left w:type="dxa" w:w="110"/>
              <w:bottom w:type="dxa" w:w="80"/>
              <w:right w:type="dxa" w:w="110"/>
            </w:tcMar>
          </w:tcPr>
          <w:p>
            <w:pPr>
              <w:spacing w:after="0" w:line="260"/>
            </w:pPr>
            <w:r>
              <w:rPr>
                <w:b w:val="false"/>
                <w:bCs w:val="false"/>
                <w:sz w:val="19"/>
                <w:szCs w:val="19"/>
              </w:rPr>
              <w:t xml:space="preserve">Seller API key compromise</w:t>
            </w:r>
          </w:p>
        </w:tc>
        <w:tc>
          <w:tcPr>
            <w:tcW w:type="dxa" w:w="3400"/>
            <w:tcMar>
              <w:top w:type="dxa" w:w="80"/>
              <w:left w:type="dxa" w:w="110"/>
              <w:bottom w:type="dxa" w:w="80"/>
              <w:right w:type="dxa" w:w="110"/>
            </w:tcMar>
          </w:tcPr>
          <w:p>
            <w:pPr>
              <w:spacing w:after="0" w:line="260"/>
            </w:pPr>
            <w:r>
              <w:rPr>
                <w:b w:val="false"/>
                <w:bCs w:val="false"/>
                <w:sz w:val="19"/>
                <w:szCs w:val="19"/>
              </w:rPr>
              <w:t xml:space="preserve">A stolen key is used to consume quota or publish catalogue entries as that seller.</w:t>
            </w:r>
          </w:p>
        </w:tc>
        <w:tc>
          <w:tcPr>
            <w:tcW w:type="dxa" w:w="3960"/>
            <w:tcMar>
              <w:top w:type="dxa" w:w="80"/>
              <w:left w:type="dxa" w:w="110"/>
              <w:bottom w:type="dxa" w:w="80"/>
              <w:right w:type="dxa" w:w="110"/>
            </w:tcMar>
          </w:tcPr>
          <w:p>
            <w:pPr>
              <w:spacing w:after="0" w:line="260"/>
            </w:pPr>
            <w:r>
              <w:rPr>
                <w:b w:val="false"/>
                <w:bCs w:val="false"/>
                <w:sz w:val="19"/>
                <w:szCs w:val="19"/>
              </w:rPr>
              <w:t xml:space="preserve">Keys stored hashed and revocable on demand; catalogue writes attributable per key, so entries published by a compromised key can be quarantined as a set.</w:t>
            </w:r>
          </w:p>
        </w:tc>
      </w:tr>
      <w:tr>
        <w:tc>
          <w:tcPr>
            <w:tcW w:type="dxa" w:w="2000"/>
            <w:tcMar>
              <w:top w:type="dxa" w:w="80"/>
              <w:left w:type="dxa" w:w="110"/>
              <w:bottom w:type="dxa" w:w="80"/>
              <w:right w:type="dxa" w:w="110"/>
            </w:tcMar>
          </w:tcPr>
          <w:p>
            <w:pPr>
              <w:spacing w:after="0" w:line="260"/>
            </w:pPr>
            <w:r>
              <w:rPr>
                <w:b w:val="false"/>
                <w:bCs w:val="false"/>
                <w:sz w:val="19"/>
                <w:szCs w:val="19"/>
              </w:rPr>
              <w:t xml:space="preserve">Denial of service</w:t>
            </w:r>
          </w:p>
        </w:tc>
        <w:tc>
          <w:tcPr>
            <w:tcW w:type="dxa" w:w="3400"/>
            <w:tcMar>
              <w:top w:type="dxa" w:w="80"/>
              <w:left w:type="dxa" w:w="110"/>
              <w:bottom w:type="dxa" w:w="80"/>
              <w:right w:type="dxa" w:w="110"/>
            </w:tcMar>
          </w:tcPr>
          <w:p>
            <w:pPr>
              <w:spacing w:after="0" w:line="260"/>
            </w:pPr>
            <w:r>
              <w:rPr>
                <w:b w:val="false"/>
                <w:bCs w:val="false"/>
                <w:sz w:val="19"/>
                <w:szCs w:val="19"/>
              </w:rPr>
              <w:t xml:space="preserve">Request flooding degrades settlement for legitimate sellers.</w:t>
            </w:r>
          </w:p>
        </w:tc>
        <w:tc>
          <w:tcPr>
            <w:tcW w:type="dxa" w:w="3960"/>
            <w:tcMar>
              <w:top w:type="dxa" w:w="80"/>
              <w:left w:type="dxa" w:w="110"/>
              <w:bottom w:type="dxa" w:w="80"/>
              <w:right w:type="dxa" w:w="110"/>
            </w:tcMar>
          </w:tcPr>
          <w:p>
            <w:pPr>
              <w:spacing w:after="0" w:line="260"/>
            </w:pPr>
            <w:r>
              <w:rPr>
                <w:b w:val="false"/>
                <w:bCs w:val="false"/>
                <w:sz w:val="19"/>
                <w:szCs w:val="19"/>
              </w:rPr>
              <w:t xml:space="preserve">Rate limiting at the edge and per key; discovery and settlement isolated so discovery load cannot starve settlement.</w:t>
            </w:r>
          </w:p>
        </w:tc>
      </w:tr>
      <w:tr>
        <w:tc>
          <w:tcPr>
            <w:tcW w:type="dxa" w:w="2000"/>
            <w:tcMar>
              <w:top w:type="dxa" w:w="80"/>
              <w:left w:type="dxa" w:w="110"/>
              <w:bottom w:type="dxa" w:w="80"/>
              <w:right w:type="dxa" w:w="110"/>
            </w:tcMar>
          </w:tcPr>
          <w:p>
            <w:pPr>
              <w:spacing w:after="0" w:line="260"/>
            </w:pPr>
            <w:r>
              <w:rPr>
                <w:b w:val="false"/>
                <w:bCs w:val="false"/>
                <w:sz w:val="19"/>
                <w:szCs w:val="19"/>
              </w:rPr>
              <w:t xml:space="preserve">Dependency licence contamination</w:t>
            </w:r>
          </w:p>
        </w:tc>
        <w:tc>
          <w:tcPr>
            <w:tcW w:type="dxa" w:w="3400"/>
            <w:tcMar>
              <w:top w:type="dxa" w:w="80"/>
              <w:left w:type="dxa" w:w="110"/>
              <w:bottom w:type="dxa" w:w="80"/>
              <w:right w:type="dxa" w:w="110"/>
            </w:tcMar>
          </w:tcPr>
          <w:p>
            <w:pPr>
              <w:spacing w:after="0" w:line="260"/>
            </w:pPr>
            <w:r>
              <w:rPr>
                <w:b w:val="false"/>
                <w:bCs w:val="false"/>
                <w:sz w:val="19"/>
                <w:szCs w:val="19"/>
              </w:rPr>
              <w:t xml:space="preserve">An AGPL-licensed package enters the dependency tree transitively and disqualifies the grant.</w:t>
            </w:r>
          </w:p>
        </w:tc>
        <w:tc>
          <w:tcPr>
            <w:tcW w:type="dxa" w:w="3960"/>
            <w:tcMar>
              <w:top w:type="dxa" w:w="80"/>
              <w:left w:type="dxa" w:w="110"/>
              <w:bottom w:type="dxa" w:w="80"/>
              <w:right w:type="dxa" w:w="110"/>
            </w:tcMar>
          </w:tcPr>
          <w:p>
            <w:pPr>
              <w:spacing w:after="0" w:line="260"/>
            </w:pPr>
            <w:r>
              <w:rPr>
                <w:b w:val="false"/>
                <w:bCs w:val="false"/>
                <w:sz w:val="19"/>
                <w:szCs w:val="19"/>
              </w:rPr>
              <w:t xml:space="preserve">Automated licence scanning of the full transitive tree in continuous integration, failing the build on any AGPL match; treated as a release blocker, not a warning.</w:t>
            </w:r>
          </w:p>
        </w:tc>
      </w:tr>
    </w:tbl>
    <w:p>
      <w:pPr>
        <w:pStyle w:val="Heading1"/>
        <w:spacing w:after="140" w:before="280"/>
      </w:pPr>
      <w:r>
        <w:rPr>
          <w:b/>
          <w:bCs/>
          <w:sz w:val="26"/>
          <w:szCs w:val="26"/>
        </w:rPr>
        <w:t xml:space="preserve">5. Catalogue Content Directed at Consuming Agents</w:t>
      </w:r>
    </w:p>
    <w:p>
      <w:pPr>
        <w:spacing w:after="120" w:line="276"/>
      </w:pPr>
      <w:r>
        <w:rPr>
          <w:sz w:val="22"/>
          <w:szCs w:val="22"/>
        </w:rPr>
        <w:t xml:space="preserve">This threat has no equivalent in the withdrawn StellarStream direction and deserves to be stated separately, because it is specific to building a catalogue whose primary readers are autonomous agents rather than humans.</w:t>
      </w:r>
    </w:p>
    <w:p>
      <w:pPr>
        <w:spacing w:after="120" w:line="276"/>
      </w:pPr>
      <w:r>
        <w:rPr>
          <w:sz w:val="22"/>
          <w:szCs w:val="22"/>
        </w:rPr>
        <w:t xml:space="preserve">A catalogue entry's description exists to be read by an agent deciding which service to call. That makes the description field an input channel from an untrusted party directly into the decision loop of a system that can spend money. A listing could be written to persuade an agent to select it over better matches, to call it with data it should not send, or to disregard its operator's constraints.</w:t>
      </w:r>
    </w:p>
    <w:p>
      <w:pPr>
        <w:spacing w:after="120" w:line="276"/>
      </w:pPr>
      <w:r>
        <w:rPr>
          <w:sz w:val="22"/>
          <w:szCs w:val="22"/>
        </w:rPr>
        <w:t xml:space="preserve">Clara's position is that catalogue content is data, never instruction. Three commitments follow from that, and they constrain design rather than merely describing intent:</w:t>
      </w:r>
    </w:p>
    <w:p>
      <w:pPr>
        <w:pStyle w:val="ListParagraph"/>
        <w:numPr>
          <w:ilvl w:val="0"/>
          <w:numId w:val="1"/>
        </w:numPr>
        <w:spacing w:after="90" w:line="276"/>
      </w:pPr>
      <w:r>
        <w:rPr>
          <w:sz w:val="22"/>
          <w:szCs w:val="22"/>
        </w:rPr>
        <w:t xml:space="preserve">Descriptions are sanitised at ingestion and stored as inert text. Listings whose description attempts to impersonate system or operator instruction are quarantined for review rather than published.</w:t>
      </w:r>
    </w:p>
    <w:p>
      <w:pPr>
        <w:pStyle w:val="ListParagraph"/>
        <w:numPr>
          <w:ilvl w:val="0"/>
          <w:numId w:val="1"/>
        </w:numPr>
        <w:spacing w:after="90" w:line="276"/>
      </w:pPr>
      <w:r>
        <w:rPr>
          <w:sz w:val="22"/>
          <w:szCs w:val="22"/>
        </w:rPr>
        <w:t xml:space="preserve">Search ranking is computed from semantic and lexical similarity to the query and from listing metadata. It is never influenced by claims made inside a listing about its own quality, priority, or trustworthiness.</w:t>
      </w:r>
    </w:p>
    <w:p>
      <w:pPr>
        <w:pStyle w:val="ListParagraph"/>
        <w:numPr>
          <w:ilvl w:val="0"/>
          <w:numId w:val="1"/>
        </w:numPr>
        <w:spacing w:after="90" w:line="276"/>
      </w:pPr>
      <w:r>
        <w:rPr>
          <w:sz w:val="22"/>
          <w:szCs w:val="22"/>
        </w:rPr>
        <w:t xml:space="preserve">Discovery responses deliver descriptions in a clearly delimited, attributed form, so a consuming agent can distinguish catalogue content from its own operator's instructions. Clara cannot enforce how an agent treats that content, but it can refuse to blur the boundary.</w:t>
      </w:r>
    </w:p>
    <w:p>
      <w:pPr>
        <w:spacing w:after="120" w:line="276"/>
      </w:pPr>
      <w:r>
        <w:rPr>
          <w:sz w:val="22"/>
          <w:szCs w:val="22"/>
        </w:rPr>
        <w:t xml:space="preserve">Clara does not, and does not claim to, verify that a catalogued service is honest or competent. It verifies that a listing is internally consistent and that payment flows to the address the listing declares. That distinction is stated to sellers and agents alike in the Customer-Facing Service Level Agreement, so it is never mistaken for an endorsement.</w:t>
      </w:r>
    </w:p>
    <w:p>
      <w:pPr>
        <w:pStyle w:val="Heading1"/>
        <w:spacing w:after="140" w:before="280"/>
      </w:pPr>
      <w:r>
        <w:rPr>
          <w:b/>
          <w:bCs/>
          <w:sz w:val="26"/>
          <w:szCs w:val="26"/>
        </w:rPr>
        <w:t xml:space="preserve">6. Key and Secret Management</w:t>
      </w:r>
    </w:p>
    <w:p>
      <w:pPr>
        <w:spacing w:after="120" w:line="276"/>
      </w:pPr>
      <w:r>
        <w:rPr>
          <w:sz w:val="22"/>
          <w:szCs w:val="22"/>
        </w:rPr>
        <w:t xml:space="preserve">Seller API keys are generated server-side, presented once at creation, and thereafter stored only as a salted hash; a seller may rotate or revoke a key at any time without a new integration. The operational submission key lives in a managed secret store with access logged, is rotatable without redeployment, and is never written to configuration files, environment files under version control, or logs.</w:t>
      </w:r>
    </w:p>
    <w:p>
      <w:pPr>
        <w:pStyle w:val="Heading1"/>
        <w:spacing w:after="140" w:before="280"/>
      </w:pPr>
      <w:r>
        <w:rPr>
          <w:b/>
          <w:bCs/>
          <w:sz w:val="26"/>
          <w:szCs w:val="26"/>
        </w:rPr>
        <w:t xml:space="preserve">7. Independent Security Review</w:t>
      </w:r>
    </w:p>
    <w:p>
      <w:pPr>
        <w:spacing w:after="120" w:line="276"/>
      </w:pPr>
      <w:r>
        <w:rPr>
          <w:sz w:val="22"/>
          <w:szCs w:val="22"/>
        </w:rPr>
        <w:t xml:space="preserve">A third-party review through the Audit Bank is a required deliverable of the funded work and a gate on the mainnet production tag, not an optional follow-up. Its scope is fixed in advance: the settlement path, authorization-entry validation, and the discovery trust boundary. No pubnet production release occurs before that review is complete and its findings addressed.</w:t>
      </w:r>
    </w:p>
    <w:p>
      <w:pPr>
        <w:pStyle w:val="Heading1"/>
        <w:spacing w:after="140" w:before="280"/>
      </w:pPr>
      <w:r>
        <w:rPr>
          <w:b/>
          <w:bCs/>
          <w:sz w:val="26"/>
          <w:szCs w:val="26"/>
        </w:rPr>
        <w:t xml:space="preserve">8. Incident Response</w:t>
      </w:r>
    </w:p>
    <w:p>
      <w:pPr>
        <w:spacing w:after="120" w:line="276"/>
      </w:pPr>
      <w:r>
        <w:rPr>
          <w:sz w:val="22"/>
          <w:szCs w:val="22"/>
        </w:rPr>
        <w:t xml:space="preserve">The operational procedure for responding to a security incident, including catalogue takedown and key rotation under pressure, follows the process defined in the Runbook and Operations Manual.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and Threat Model - Clara</dc:title>
  <dc:creator>Rafif Muhammad Ransi Anargya</dc:creator>
  <dc:description>Clara: Document 7 of 13</dc:description>
  <cp:lastModifiedBy>Un-named</cp:lastModifiedBy>
  <cp:revision>1</cp:revision>
  <dcterms:created xsi:type="dcterms:W3CDTF">2026-09-21T00:29:08.992Z</dcterms:created>
  <dcterms:modified xsi:type="dcterms:W3CDTF">2026-09-21T00:29:08.992Z</dcterms:modified>
</cp:coreProperties>
</file>

<file path=docProps/custom.xml><?xml version="1.0" encoding="utf-8"?>
<Properties xmlns="http://schemas.openxmlformats.org/officeDocument/2006/custom-properties" xmlns:vt="http://schemas.openxmlformats.org/officeDocument/2006/docPropsVTypes"/>
</file>