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Data Privacy and Compliance Note</w:t>
      </w:r>
    </w:p>
    <w:p>
      <w:pPr>
        <w:spacing w:after="180"/>
      </w:pPr>
      <w:r>
        <w:rPr>
          <w:b/>
          <w:bCs/>
          <w:color w:val="1F6F63"/>
          <w:sz w:val="24"/>
          <w:szCs w:val="24"/>
        </w:rPr>
        <w:t xml:space="preserve">Clara</w:t>
      </w:r>
    </w:p>
    <w:p>
      <w:pPr>
        <w:spacing w:after="120" w:line="276"/>
      </w:pPr>
      <w:r>
        <w:rPr>
          <w:sz w:val="21"/>
          <w:szCs w:val="21"/>
        </w:rPr>
        <w:t xml:space="preserve">Document 8 of 13: Data Privacy and Compliance Note</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states plainly what personal data, if any, Clara processes, what its position is relative to financial regulation, and where formal compliance work remains outstanding. It marks open questions as open rather than resolving them by assertion.</w:t>
      </w:r>
    </w:p>
    <w:p>
      <w:pPr>
        <w:pStyle w:val="Heading1"/>
        <w:spacing w:after="140" w:before="280"/>
      </w:pPr>
      <w:r>
        <w:rPr>
          <w:b/>
          <w:bCs/>
          <w:sz w:val="26"/>
          <w:szCs w:val="26"/>
        </w:rPr>
        <w:t xml:space="preserve">2. Data Categories</w:t>
      </w:r>
    </w:p>
    <w:p>
      <w:pPr>
        <w:pStyle w:val="Heading2"/>
        <w:spacing w:after="110" w:before="200"/>
      </w:pPr>
      <w:r>
        <w:rPr>
          <w:b/>
          <w:bCs/>
          <w:sz w:val="23"/>
          <w:szCs w:val="23"/>
        </w:rPr>
        <w:t xml:space="preserve">2.1 On-chain settlement data</w:t>
      </w:r>
    </w:p>
    <w:p>
      <w:pPr>
        <w:spacing w:after="120" w:line="276"/>
      </w:pPr>
      <w:r>
        <w:rPr>
          <w:sz w:val="22"/>
          <w:szCs w:val="22"/>
        </w:rPr>
        <w:t xml:space="preserve">Payments Clara submits become public record on the Stellar network, as all on-chain activity does. Clara does not create that exposure; it is inherent to settling on a public ledger, and payers should understand that a payment's amount, recipient, and timing are publicly visible.</w:t>
      </w:r>
    </w:p>
    <w:p>
      <w:pPr>
        <w:pStyle w:val="Heading2"/>
        <w:spacing w:after="110" w:before="200"/>
      </w:pPr>
      <w:r>
        <w:rPr>
          <w:b/>
          <w:bCs/>
          <w:sz w:val="23"/>
          <w:szCs w:val="23"/>
        </w:rPr>
        <w:t xml:space="preserve">2.2 Seller account data</w:t>
      </w:r>
    </w:p>
    <w:p>
      <w:pPr>
        <w:spacing w:after="120" w:line="276"/>
      </w:pPr>
      <w:r>
        <w:rPr>
          <w:sz w:val="22"/>
          <w:szCs w:val="22"/>
        </w:rPr>
        <w:t xml:space="preserve">To operate the service, Clara collects a seller's name or organisation, an email address, and API key metadata, and records usage for billing and rate-limiting purposes.</w:t>
      </w:r>
    </w:p>
    <w:p>
      <w:pPr>
        <w:pStyle w:val="Heading2"/>
        <w:spacing w:after="110" w:before="200"/>
      </w:pPr>
      <w:r>
        <w:rPr>
          <w:b/>
          <w:bCs/>
          <w:sz w:val="23"/>
          <w:szCs w:val="23"/>
        </w:rPr>
        <w:t xml:space="preserve">2.3 Payment metadata</w:t>
      </w:r>
    </w:p>
    <w:p>
      <w:pPr>
        <w:spacing w:after="120" w:line="276"/>
      </w:pPr>
      <w:r>
        <w:rPr>
          <w:sz w:val="22"/>
          <w:szCs w:val="22"/>
        </w:rPr>
        <w:t xml:space="preserve">Clara retains settlement records containing amounts, recipient addresses, transaction hashes, and timing, as defined in the Data Model and Event Schema Document. It does not retain full payment payloads beyond validation; only the digest needed for replay protection is kept. Clara does not collect the identity of the human or organisation behind a paying account, and does not attempt to.</w:t>
      </w:r>
    </w:p>
    <w:p>
      <w:pPr>
        <w:pStyle w:val="Heading2"/>
        <w:spacing w:after="110" w:before="200"/>
      </w:pPr>
      <w:r>
        <w:rPr>
          <w:b/>
          <w:bCs/>
          <w:sz w:val="23"/>
          <w:szCs w:val="23"/>
        </w:rPr>
        <w:t xml:space="preserve">2.4 Catalogue content</w:t>
      </w:r>
    </w:p>
    <w:p>
      <w:pPr>
        <w:spacing w:after="120" w:line="276"/>
      </w:pPr>
      <w:r>
        <w:rPr>
          <w:sz w:val="22"/>
          <w:szCs w:val="22"/>
        </w:rPr>
        <w:t xml:space="preserve">Listing descriptions are seller-supplied and published to agents. Sellers are responsible for ensuring their listings contain no personal data; Clara treats catalogue content as public from the moment it is accepted.</w:t>
      </w:r>
    </w:p>
    <w:p>
      <w:pPr>
        <w:pStyle w:val="Heading1"/>
        <w:spacing w:after="140" w:before="280"/>
      </w:pPr>
      <w:r>
        <w:rPr>
          <w:b/>
          <w:bCs/>
          <w:sz w:val="26"/>
          <w:szCs w:val="26"/>
        </w:rPr>
        <w:t xml:space="preserve">3. Custody and Regulatory Position</w:t>
      </w:r>
    </w:p>
    <w:p>
      <w:pPr>
        <w:spacing w:after="120" w:line="276"/>
      </w:pPr>
      <w:r>
        <w:rPr>
          <w:sz w:val="22"/>
          <w:szCs w:val="22"/>
        </w:rPr>
        <w:t xml:space="preserve">Clara is non-custodial. It never holds a payer's funds, never holds a payer's private key, and never signs a payment on a payer's behalf. Every payment is authorised by the payer before Clara sees it. Clara validates that authorisation and submits the resulting transaction to the network.</w:t>
      </w:r>
    </w:p>
    <w:p>
      <w:pPr>
        <w:spacing w:after="120" w:line="276"/>
      </w:pPr>
      <w:r>
        <w:rPr>
          <w:sz w:val="22"/>
          <w:szCs w:val="22"/>
        </w:rPr>
        <w:t xml:space="preserve">That said, the honest description of Clara's role is that it sits in the payment path rather than outside it, and the earlier StellarStream framing of relaying already-public data does not apply here. Whether submitting a payer-authorised transaction on a public network constitutes a regulated activity in any given jurisdiction is a question this document does not attempt to answer, because answering it correctly requires qualified legal advice rather than an engineering judgement. It is recorded in section 5 as outstanding work and in the Risk Register as a tracked risk.</w:t>
      </w:r>
    </w:p>
    <w:p>
      <w:pPr>
        <w:pStyle w:val="Heading1"/>
        <w:spacing w:after="140" w:before="280"/>
      </w:pPr>
      <w:r>
        <w:rPr>
          <w:b/>
          <w:bCs/>
          <w:sz w:val="26"/>
          <w:szCs w:val="26"/>
        </w:rPr>
        <w:t xml:space="preserve">4. Data Retention</w:t>
      </w:r>
    </w:p>
    <w:p>
      <w:pPr>
        <w:spacing w:after="120" w:line="276"/>
      </w:pPr>
      <w:r>
        <w:rPr>
          <w:sz w:val="22"/>
          <w:szCs w:val="22"/>
        </w:rPr>
        <w:t xml:space="preserve">Seller account data is retained while the account remains active, plus a standard interval after closure for billing records. Settlement records are retained for operational and audit purposes. Payment payloads are not retained after validation. Delisted catalogue entries are retained in a delisted state rather than deleted, so that stale agent references resolve to an explicit response rather than an ambiguous absence.</w:t>
      </w:r>
    </w:p>
    <w:p>
      <w:pPr>
        <w:pStyle w:val="Heading1"/>
        <w:spacing w:after="140" w:before="280"/>
      </w:pPr>
      <w:r>
        <w:rPr>
          <w:b/>
          <w:bCs/>
          <w:sz w:val="26"/>
          <w:szCs w:val="26"/>
        </w:rPr>
        <w:t xml:space="preserve">5. Outstanding Compliance Work</w:t>
      </w:r>
    </w:p>
    <w:p>
      <w:pPr>
        <w:spacing w:after="120" w:line="276"/>
      </w:pPr>
      <w:r>
        <w:rPr>
          <w:sz w:val="22"/>
          <w:szCs w:val="22"/>
        </w:rPr>
        <w:t xml:space="preserve">The following are open as of this draft and are recorded here rather than deferred silently:</w:t>
      </w:r>
    </w:p>
    <w:p>
      <w:pPr>
        <w:pStyle w:val="ListParagraph"/>
        <w:numPr>
          <w:ilvl w:val="0"/>
          <w:numId w:val="1"/>
        </w:numPr>
        <w:spacing w:after="90" w:line="276"/>
      </w:pPr>
      <w:r>
        <w:rPr>
          <w:sz w:val="22"/>
          <w:szCs w:val="22"/>
        </w:rPr>
        <w:t xml:space="preserve">No qualified legal analysis has been obtained on whether operating a non-custodial facilitator constitutes money transmission or an equivalent regulated activity in the jurisdictions where Clara would operate. This should be resolved before any pubnet launch that carries third-party payment volume, not after.</w:t>
      </w:r>
    </w:p>
    <w:p>
      <w:pPr>
        <w:pStyle w:val="ListParagraph"/>
        <w:numPr>
          <w:ilvl w:val="0"/>
          <w:numId w:val="1"/>
        </w:numPr>
        <w:spacing w:after="90" w:line="276"/>
      </w:pPr>
      <w:r>
        <w:rPr>
          <w:sz w:val="22"/>
          <w:szCs w:val="22"/>
        </w:rPr>
        <w:t xml:space="preserve">No formal regulatory certification, such as SOC 2, has been pursued. This is a material gap for any institutional seller and should be revisited before an enterprise-tier contracting conversation.</w:t>
      </w:r>
    </w:p>
    <w:p>
      <w:pPr>
        <w:pStyle w:val="ListParagraph"/>
        <w:numPr>
          <w:ilvl w:val="0"/>
          <w:numId w:val="1"/>
        </w:numPr>
        <w:spacing w:after="90" w:line="276"/>
      </w:pPr>
      <w:r>
        <w:rPr>
          <w:sz w:val="22"/>
          <w:szCs w:val="22"/>
        </w:rPr>
        <w:t xml:space="preserve">The third-party security review through the Audit Bank is scheduled as a Phase 2 deliverable and gates the mainnet production tag. Until it is complete, Clara should not be described to prospective sellers as audited.</w:t>
      </w:r>
    </w:p>
    <w:p>
      <w:pPr>
        <w:pStyle w:val="ListParagraph"/>
        <w:numPr>
          <w:ilvl w:val="0"/>
          <w:numId w:val="1"/>
        </w:numPr>
        <w:spacing w:after="90" w:line="276"/>
      </w:pPr>
      <w:r>
        <w:rPr>
          <w:sz w:val="22"/>
          <w:szCs w:val="22"/>
        </w:rPr>
        <w:t xml:space="preserve">Licence compliance is a continuous obligation rather than a one-time check. The exclusion of AGPL-licensed components from the dependency path is a condition of the grant, and is enforced by automated scanning in continuous integration, as described in the Security and Threat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Privacy and Compliance Note - Clara</dc:title>
  <dc:creator>Rafif Muhammad Ransi Anargya</dc:creator>
  <dc:description>Clara: Document 8 of 13</dc:description>
  <cp:lastModifiedBy>Un-named</cp:lastModifiedBy>
  <cp:revision>1</cp:revision>
  <dcterms:created xsi:type="dcterms:W3CDTF">2026-09-21T00:29:09.008Z</dcterms:created>
  <dcterms:modified xsi:type="dcterms:W3CDTF">2026-09-21T00:29:09.008Z</dcterms:modified>
</cp:coreProperties>
</file>

<file path=docProps/custom.xml><?xml version="1.0" encoding="utf-8"?>
<Properties xmlns="http://schemas.openxmlformats.org/officeDocument/2006/custom-properties" xmlns:vt="http://schemas.openxmlformats.org/officeDocument/2006/docPropsVTypes"/>
</file>