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Runbook and Operations Manual</w:t>
      </w:r>
    </w:p>
    <w:p>
      <w:pPr>
        <w:spacing w:after="180"/>
      </w:pPr>
      <w:r>
        <w:rPr>
          <w:b/>
          <w:bCs/>
          <w:color w:val="1F6F63"/>
          <w:sz w:val="24"/>
          <w:szCs w:val="24"/>
        </w:rPr>
        <w:t xml:space="preserve">Clara</w:t>
      </w:r>
    </w:p>
    <w:p>
      <w:pPr>
        <w:spacing w:after="120" w:line="276"/>
      </w:pPr>
      <w:r>
        <w:rPr>
          <w:sz w:val="21"/>
          <w:szCs w:val="21"/>
        </w:rPr>
        <w:t xml:space="preserve">Document 10 of 13: Runbook and Operations Manual</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is the procedure to follow when something goes wrong in production. It is written to be followed directly during an incident, not studied in advance.</w:t>
      </w:r>
    </w:p>
    <w:p>
      <w:pPr>
        <w:pStyle w:val="Heading1"/>
        <w:spacing w:after="140" w:before="280"/>
      </w:pPr>
      <w:r>
        <w:rPr>
          <w:b/>
          <w:bCs/>
          <w:sz w:val="26"/>
          <w:szCs w:val="26"/>
        </w:rPr>
        <w:t xml:space="preserve">2. Roles</w:t>
      </w:r>
    </w:p>
    <w:p>
      <w:pPr>
        <w:spacing w:after="120" w:line="276"/>
      </w:pPr>
      <w:r>
        <w:rPr>
          <w:sz w:val="22"/>
          <w:szCs w:val="22"/>
        </w:rPr>
        <w:t xml:space="preserve">At Phase 0 and Phase 1, one person holds the combined role of primary operator, responsible for responding to every alert. This role should be formally split as the team grows; the key-person dependency it creates is tracked in the Risk Register.</w:t>
      </w:r>
    </w:p>
    <w:p>
      <w:pPr>
        <w:pStyle w:val="Heading1"/>
        <w:spacing w:after="140" w:before="280"/>
      </w:pPr>
      <w:r>
        <w:rPr>
          <w:b/>
          <w:bCs/>
          <w:sz w:val="26"/>
          <w:szCs w:val="26"/>
        </w:rPr>
        <w:t xml:space="preserve">3. The One Rule That Overrides Urgency</w:t>
      </w:r>
    </w:p>
    <w:p>
      <w:pPr>
        <w:spacing w:after="120" w:line="276"/>
      </w:pPr>
      <w:r>
        <w:rPr>
          <w:sz w:val="22"/>
          <w:szCs w:val="22"/>
        </w:rPr>
        <w:t xml:space="preserve">A settlement stuck in submitted status is never resubmitted. Resolve it by querying its transaction hash on the network. Resubmitting under time pressure is the single most expensive mistake available in this system, because it can charge a payer twice for one resource, and it cannot be undone by Clara. If uncertain, wait and query; the transaction either settled or it did not, and the network is the authority.</w:t>
      </w:r>
    </w:p>
    <w:p>
      <w:pPr>
        <w:pStyle w:val="Heading1"/>
        <w:spacing w:after="140" w:before="280"/>
      </w:pPr>
      <w:r>
        <w:rPr>
          <w:b/>
          <w:bCs/>
          <w:sz w:val="26"/>
          <w:szCs w:val="26"/>
        </w:rPr>
        <w:t xml:space="preserve">4. Incident Types and Response</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2300"/>
        <w:gridCol w:w="2700"/>
        <w:gridCol w:w="4360"/>
      </w:tblGrid>
      <w:tr>
        <w:trPr>
          <w:tblHeader/>
        </w:trPr>
        <w:tc>
          <w:tcPr>
            <w:tcW w:type="dxa" w:w="2300"/>
            <w:shd w:fill="E7ECE6" w:val="clear"/>
            <w:tcMar>
              <w:top w:type="dxa" w:w="80"/>
              <w:left w:type="dxa" w:w="110"/>
              <w:bottom w:type="dxa" w:w="80"/>
              <w:right w:type="dxa" w:w="110"/>
            </w:tcMar>
          </w:tcPr>
          <w:p>
            <w:pPr>
              <w:spacing w:after="0" w:line="260"/>
            </w:pPr>
            <w:r>
              <w:rPr>
                <w:b/>
                <w:bCs/>
                <w:sz w:val="19"/>
                <w:szCs w:val="19"/>
              </w:rPr>
              <w:t xml:space="preserve">Symptom</w:t>
            </w:r>
          </w:p>
        </w:tc>
        <w:tc>
          <w:tcPr>
            <w:tcW w:type="dxa" w:w="2700"/>
            <w:shd w:fill="E7ECE6" w:val="clear"/>
            <w:tcMar>
              <w:top w:type="dxa" w:w="80"/>
              <w:left w:type="dxa" w:w="110"/>
              <w:bottom w:type="dxa" w:w="80"/>
              <w:right w:type="dxa" w:w="110"/>
            </w:tcMar>
          </w:tcPr>
          <w:p>
            <w:pPr>
              <w:spacing w:after="0" w:line="260"/>
            </w:pPr>
            <w:r>
              <w:rPr>
                <w:b/>
                <w:bCs/>
                <w:sz w:val="19"/>
                <w:szCs w:val="19"/>
              </w:rPr>
              <w:t xml:space="preserve">Likely cause</w:t>
            </w:r>
          </w:p>
        </w:tc>
        <w:tc>
          <w:tcPr>
            <w:tcW w:type="dxa" w:w="4360"/>
            <w:shd w:fill="E7ECE6" w:val="clear"/>
            <w:tcMar>
              <w:top w:type="dxa" w:w="80"/>
              <w:left w:type="dxa" w:w="110"/>
              <w:bottom w:type="dxa" w:w="80"/>
              <w:right w:type="dxa" w:w="110"/>
            </w:tcMar>
          </w:tcPr>
          <w:p>
            <w:pPr>
              <w:spacing w:after="0" w:line="260"/>
            </w:pPr>
            <w:r>
              <w:rPr>
                <w:b/>
                <w:bCs/>
                <w:sz w:val="19"/>
                <w:szCs w:val="19"/>
              </w:rPr>
              <w:t xml:space="preserve">Immediate action</w:t>
            </w:r>
          </w:p>
        </w:tc>
      </w:tr>
      <w:tr>
        <w:tc>
          <w:tcPr>
            <w:tcW w:type="dxa" w:w="2300"/>
            <w:tcMar>
              <w:top w:type="dxa" w:w="80"/>
              <w:left w:type="dxa" w:w="110"/>
              <w:bottom w:type="dxa" w:w="80"/>
              <w:right w:type="dxa" w:w="110"/>
            </w:tcMar>
          </w:tcPr>
          <w:p>
            <w:pPr>
              <w:spacing w:after="0" w:line="260"/>
            </w:pPr>
            <w:r>
              <w:rPr>
                <w:b w:val="false"/>
                <w:bCs w:val="false"/>
                <w:sz w:val="19"/>
                <w:szCs w:val="19"/>
              </w:rPr>
              <w:t xml:space="preserve">Settlement success rate drops</w:t>
            </w:r>
          </w:p>
        </w:tc>
        <w:tc>
          <w:tcPr>
            <w:tcW w:type="dxa" w:w="2700"/>
            <w:tcMar>
              <w:top w:type="dxa" w:w="80"/>
              <w:left w:type="dxa" w:w="110"/>
              <w:bottom w:type="dxa" w:w="80"/>
              <w:right w:type="dxa" w:w="110"/>
            </w:tcMar>
          </w:tcPr>
          <w:p>
            <w:pPr>
              <w:spacing w:after="0" w:line="260"/>
            </w:pPr>
            <w:r>
              <w:rPr>
                <w:b w:val="false"/>
                <w:bCs w:val="false"/>
                <w:sz w:val="19"/>
                <w:szCs w:val="19"/>
              </w:rPr>
              <w:t xml:space="preserve">Soroban RPC degradation, or fee-sponsorship balance exhausted</w:t>
            </w:r>
          </w:p>
        </w:tc>
        <w:tc>
          <w:tcPr>
            <w:tcW w:type="dxa" w:w="4360"/>
            <w:tcMar>
              <w:top w:type="dxa" w:w="80"/>
              <w:left w:type="dxa" w:w="110"/>
              <w:bottom w:type="dxa" w:w="80"/>
              <w:right w:type="dxa" w:w="110"/>
            </w:tcMar>
          </w:tcPr>
          <w:p>
            <w:pPr>
              <w:spacing w:after="0" w:line="260"/>
            </w:pPr>
            <w:r>
              <w:rPr>
                <w:b w:val="false"/>
                <w:bCs w:val="false"/>
                <w:sz w:val="19"/>
                <w:szCs w:val="19"/>
              </w:rPr>
              <w:t xml:space="preserve">Check RPC error rate and sponsorship balance first, in that order; both fail in ways that look like a Clara defect but are not</w:t>
            </w:r>
          </w:p>
        </w:tc>
      </w:tr>
      <w:tr>
        <w:tc>
          <w:tcPr>
            <w:tcW w:type="dxa" w:w="2300"/>
            <w:tcMar>
              <w:top w:type="dxa" w:w="80"/>
              <w:left w:type="dxa" w:w="110"/>
              <w:bottom w:type="dxa" w:w="80"/>
              <w:right w:type="dxa" w:w="110"/>
            </w:tcMar>
          </w:tcPr>
          <w:p>
            <w:pPr>
              <w:spacing w:after="0" w:line="260"/>
            </w:pPr>
            <w:r>
              <w:rPr>
                <w:b w:val="false"/>
                <w:bCs w:val="false"/>
                <w:sz w:val="19"/>
                <w:szCs w:val="19"/>
              </w:rPr>
              <w:t xml:space="preserve">Verification rejection rate spikes</w:t>
            </w:r>
          </w:p>
        </w:tc>
        <w:tc>
          <w:tcPr>
            <w:tcW w:type="dxa" w:w="2700"/>
            <w:tcMar>
              <w:top w:type="dxa" w:w="80"/>
              <w:left w:type="dxa" w:w="110"/>
              <w:bottom w:type="dxa" w:w="80"/>
              <w:right w:type="dxa" w:w="110"/>
            </w:tcMar>
          </w:tcPr>
          <w:p>
            <w:pPr>
              <w:spacing w:after="0" w:line="260"/>
            </w:pPr>
            <w:r>
              <w:rPr>
                <w:b w:val="false"/>
                <w:bCs w:val="false"/>
                <w:sz w:val="19"/>
                <w:szCs w:val="19"/>
              </w:rPr>
              <w:t xml:space="preserve">An upstream x402 specification change, a seller misconfiguration, or an attack</w:t>
            </w:r>
          </w:p>
        </w:tc>
        <w:tc>
          <w:tcPr>
            <w:tcW w:type="dxa" w:w="4360"/>
            <w:tcMar>
              <w:top w:type="dxa" w:w="80"/>
              <w:left w:type="dxa" w:w="110"/>
              <w:bottom w:type="dxa" w:w="80"/>
              <w:right w:type="dxa" w:w="110"/>
            </w:tcMar>
          </w:tcPr>
          <w:p>
            <w:pPr>
              <w:spacing w:after="0" w:line="260"/>
            </w:pPr>
            <w:r>
              <w:rPr>
                <w:b w:val="false"/>
                <w:bCs w:val="false"/>
                <w:sz w:val="19"/>
                <w:szCs w:val="19"/>
              </w:rPr>
              <w:t xml:space="preserve">Read the rejection breakdown by machine code, never the aggregate; a spike concentrated in one code is diagnostic, a spike spread evenly across codes suggests load or dependency failure</w:t>
            </w:r>
          </w:p>
        </w:tc>
      </w:tr>
      <w:tr>
        <w:tc>
          <w:tcPr>
            <w:tcW w:type="dxa" w:w="2300"/>
            <w:tcMar>
              <w:top w:type="dxa" w:w="80"/>
              <w:left w:type="dxa" w:w="110"/>
              <w:bottom w:type="dxa" w:w="80"/>
              <w:right w:type="dxa" w:w="110"/>
            </w:tcMar>
          </w:tcPr>
          <w:p>
            <w:pPr>
              <w:spacing w:after="0" w:line="260"/>
            </w:pPr>
            <w:r>
              <w:rPr>
                <w:b w:val="false"/>
                <w:bCs w:val="false"/>
                <w:sz w:val="19"/>
                <w:szCs w:val="19"/>
              </w:rPr>
              <w:t xml:space="preserve">Settlements stuck in submitted</w:t>
            </w:r>
          </w:p>
        </w:tc>
        <w:tc>
          <w:tcPr>
            <w:tcW w:type="dxa" w:w="2700"/>
            <w:tcMar>
              <w:top w:type="dxa" w:w="80"/>
              <w:left w:type="dxa" w:w="110"/>
              <w:bottom w:type="dxa" w:w="80"/>
              <w:right w:type="dxa" w:w="110"/>
            </w:tcMar>
          </w:tcPr>
          <w:p>
            <w:pPr>
              <w:spacing w:after="0" w:line="260"/>
            </w:pPr>
            <w:r>
              <w:rPr>
                <w:b w:val="false"/>
                <w:bCs w:val="false"/>
                <w:sz w:val="19"/>
                <w:szCs w:val="19"/>
              </w:rPr>
              <w:t xml:space="preserve">Submission succeeded but confirmation was not observed</w:t>
            </w:r>
          </w:p>
        </w:tc>
        <w:tc>
          <w:tcPr>
            <w:tcW w:type="dxa" w:w="4360"/>
            <w:tcMar>
              <w:top w:type="dxa" w:w="80"/>
              <w:left w:type="dxa" w:w="110"/>
              <w:bottom w:type="dxa" w:w="80"/>
              <w:right w:type="dxa" w:w="110"/>
            </w:tcMar>
          </w:tcPr>
          <w:p>
            <w:pPr>
              <w:spacing w:after="0" w:line="260"/>
            </w:pPr>
            <w:r>
              <w:rPr>
                <w:b w:val="false"/>
                <w:bCs w:val="false"/>
                <w:sz w:val="19"/>
                <w:szCs w:val="19"/>
              </w:rPr>
              <w:t xml:space="preserve">Resolve each by transaction hash. Do not resubmit. See section 3</w:t>
            </w:r>
          </w:p>
        </w:tc>
      </w:tr>
      <w:tr>
        <w:tc>
          <w:tcPr>
            <w:tcW w:type="dxa" w:w="2300"/>
            <w:tcMar>
              <w:top w:type="dxa" w:w="80"/>
              <w:left w:type="dxa" w:w="110"/>
              <w:bottom w:type="dxa" w:w="80"/>
              <w:right w:type="dxa" w:w="110"/>
            </w:tcMar>
          </w:tcPr>
          <w:p>
            <w:pPr>
              <w:spacing w:after="0" w:line="260"/>
            </w:pPr>
            <w:r>
              <w:rPr>
                <w:b w:val="false"/>
                <w:bCs w:val="false"/>
                <w:sz w:val="19"/>
                <w:szCs w:val="19"/>
              </w:rPr>
              <w:t xml:space="preserve">Fee-sponsorship balance falling rapidly</w:t>
            </w:r>
          </w:p>
        </w:tc>
        <w:tc>
          <w:tcPr>
            <w:tcW w:type="dxa" w:w="2700"/>
            <w:tcMar>
              <w:top w:type="dxa" w:w="80"/>
              <w:left w:type="dxa" w:w="110"/>
              <w:bottom w:type="dxa" w:w="80"/>
              <w:right w:type="dxa" w:w="110"/>
            </w:tcMar>
          </w:tcPr>
          <w:p>
            <w:pPr>
              <w:spacing w:after="0" w:line="260"/>
            </w:pPr>
            <w:r>
              <w:rPr>
                <w:b w:val="false"/>
                <w:bCs w:val="false"/>
                <w:sz w:val="19"/>
                <w:szCs w:val="19"/>
              </w:rPr>
              <w:t xml:space="preserve">Legitimate volume growth, or sponsorship abuse</w:t>
            </w:r>
          </w:p>
        </w:tc>
        <w:tc>
          <w:tcPr>
            <w:tcW w:type="dxa" w:w="4360"/>
            <w:tcMar>
              <w:top w:type="dxa" w:w="80"/>
              <w:left w:type="dxa" w:w="110"/>
              <w:bottom w:type="dxa" w:w="80"/>
              <w:right w:type="dxa" w:w="110"/>
            </w:tcMar>
          </w:tcPr>
          <w:p>
            <w:pPr>
              <w:spacing w:after="0" w:line="260"/>
            </w:pPr>
            <w:r>
              <w:rPr>
                <w:b w:val="false"/>
                <w:bCs w:val="false"/>
                <w:sz w:val="19"/>
                <w:szCs w:val="19"/>
              </w:rPr>
              <w:t xml:space="preserve">Compare settlement volume against balance drain; if disproportionate, rate-limit or withdraw sponsorship per key rather than taking settlement offline</w:t>
            </w:r>
          </w:p>
        </w:tc>
      </w:tr>
      <w:tr>
        <w:tc>
          <w:tcPr>
            <w:tcW w:type="dxa" w:w="2300"/>
            <w:tcMar>
              <w:top w:type="dxa" w:w="80"/>
              <w:left w:type="dxa" w:w="110"/>
              <w:bottom w:type="dxa" w:w="80"/>
              <w:right w:type="dxa" w:w="110"/>
            </w:tcMar>
          </w:tcPr>
          <w:p>
            <w:pPr>
              <w:spacing w:after="0" w:line="260"/>
            </w:pPr>
            <w:r>
              <w:rPr>
                <w:b w:val="false"/>
                <w:bCs w:val="false"/>
                <w:sz w:val="19"/>
                <w:szCs w:val="19"/>
              </w:rPr>
              <w:t xml:space="preserve">Soroban RPC unavailable</w:t>
            </w:r>
          </w:p>
        </w:tc>
        <w:tc>
          <w:tcPr>
            <w:tcW w:type="dxa" w:w="2700"/>
            <w:tcMar>
              <w:top w:type="dxa" w:w="80"/>
              <w:left w:type="dxa" w:w="110"/>
              <w:bottom w:type="dxa" w:w="80"/>
              <w:right w:type="dxa" w:w="110"/>
            </w:tcMar>
          </w:tcPr>
          <w:p>
            <w:pPr>
              <w:spacing w:after="0" w:line="260"/>
            </w:pPr>
            <w:r>
              <w:rPr>
                <w:b w:val="false"/>
                <w:bCs w:val="false"/>
                <w:sz w:val="19"/>
                <w:szCs w:val="19"/>
              </w:rPr>
              <w:t xml:space="preserve">Provider outage</w:t>
            </w:r>
          </w:p>
        </w:tc>
        <w:tc>
          <w:tcPr>
            <w:tcW w:type="dxa" w:w="4360"/>
            <w:tcMar>
              <w:top w:type="dxa" w:w="80"/>
              <w:left w:type="dxa" w:w="110"/>
              <w:bottom w:type="dxa" w:w="80"/>
              <w:right w:type="dxa" w:w="110"/>
            </w:tcMar>
          </w:tcPr>
          <w:p>
            <w:pPr>
              <w:spacing w:after="0" w:line="260"/>
            </w:pPr>
            <w:r>
              <w:rPr>
                <w:b w:val="false"/>
                <w:bCs w:val="false"/>
                <w:sz w:val="19"/>
                <w:szCs w:val="19"/>
              </w:rPr>
              <w:t xml:space="preserve">Fail over to the secondary RPC endpoint; return chain_unavailable while unavailable so sellers back off rather than retry aggressively</w:t>
            </w:r>
          </w:p>
        </w:tc>
      </w:tr>
      <w:tr>
        <w:tc>
          <w:tcPr>
            <w:tcW w:type="dxa" w:w="2300"/>
            <w:tcMar>
              <w:top w:type="dxa" w:w="80"/>
              <w:left w:type="dxa" w:w="110"/>
              <w:bottom w:type="dxa" w:w="80"/>
              <w:right w:type="dxa" w:w="110"/>
            </w:tcMar>
          </w:tcPr>
          <w:p>
            <w:pPr>
              <w:spacing w:after="0" w:line="260"/>
            </w:pPr>
            <w:r>
              <w:rPr>
                <w:b w:val="false"/>
                <w:bCs w:val="false"/>
                <w:sz w:val="19"/>
                <w:szCs w:val="19"/>
              </w:rPr>
              <w:t xml:space="preserve">Forged or impersonating listing reported</w:t>
            </w:r>
          </w:p>
        </w:tc>
        <w:tc>
          <w:tcPr>
            <w:tcW w:type="dxa" w:w="2700"/>
            <w:tcMar>
              <w:top w:type="dxa" w:w="80"/>
              <w:left w:type="dxa" w:w="110"/>
              <w:bottom w:type="dxa" w:w="80"/>
              <w:right w:type="dxa" w:w="110"/>
            </w:tcMar>
          </w:tcPr>
          <w:p>
            <w:pPr>
              <w:spacing w:after="0" w:line="260"/>
            </w:pPr>
            <w:r>
              <w:rPr>
                <w:b w:val="false"/>
                <w:bCs w:val="false"/>
                <w:sz w:val="19"/>
                <w:szCs w:val="19"/>
              </w:rPr>
              <w:t xml:space="preserve">Catalogue integrity failure or a novel evasion of ingestion checks</w:t>
            </w:r>
          </w:p>
        </w:tc>
        <w:tc>
          <w:tcPr>
            <w:tcW w:type="dxa" w:w="4360"/>
            <w:tcMar>
              <w:top w:type="dxa" w:w="80"/>
              <w:left w:type="dxa" w:w="110"/>
              <w:bottom w:type="dxa" w:w="80"/>
              <w:right w:type="dxa" w:w="110"/>
            </w:tcMar>
          </w:tcPr>
          <w:p>
            <w:pPr>
              <w:spacing w:after="0" w:line="260"/>
            </w:pPr>
            <w:r>
              <w:rPr>
                <w:b w:val="false"/>
                <w:bCs w:val="false"/>
                <w:sz w:val="19"/>
                <w:szCs w:val="19"/>
              </w:rPr>
              <w:t xml:space="preserve">Delist immediately, then investigate; follow section 7</w:t>
            </w:r>
          </w:p>
        </w:tc>
      </w:tr>
      <w:tr>
        <w:tc>
          <w:tcPr>
            <w:tcW w:type="dxa" w:w="2300"/>
            <w:tcMar>
              <w:top w:type="dxa" w:w="80"/>
              <w:left w:type="dxa" w:w="110"/>
              <w:bottom w:type="dxa" w:w="80"/>
              <w:right w:type="dxa" w:w="110"/>
            </w:tcMar>
          </w:tcPr>
          <w:p>
            <w:pPr>
              <w:spacing w:after="0" w:line="260"/>
            </w:pPr>
            <w:r>
              <w:rPr>
                <w:b w:val="false"/>
                <w:bCs w:val="false"/>
                <w:sz w:val="19"/>
                <w:szCs w:val="19"/>
              </w:rPr>
              <w:t xml:space="preserve">Seller reports a payment charged but resource not delivered</w:t>
            </w:r>
          </w:p>
        </w:tc>
        <w:tc>
          <w:tcPr>
            <w:tcW w:type="dxa" w:w="2700"/>
            <w:tcMar>
              <w:top w:type="dxa" w:w="80"/>
              <w:left w:type="dxa" w:w="110"/>
              <w:bottom w:type="dxa" w:w="80"/>
              <w:right w:type="dxa" w:w="110"/>
            </w:tcMar>
          </w:tcPr>
          <w:p>
            <w:pPr>
              <w:spacing w:after="0" w:line="260"/>
            </w:pPr>
            <w:r>
              <w:rPr>
                <w:b w:val="false"/>
                <w:bCs w:val="false"/>
                <w:sz w:val="19"/>
                <w:szCs w:val="19"/>
              </w:rPr>
              <w:t xml:space="preserve">Could be a genuine settlement-without-delivery, or a seller-side integration fault</w:t>
            </w:r>
          </w:p>
        </w:tc>
        <w:tc>
          <w:tcPr>
            <w:tcW w:type="dxa" w:w="4360"/>
            <w:tcMar>
              <w:top w:type="dxa" w:w="80"/>
              <w:left w:type="dxa" w:w="110"/>
              <w:bottom w:type="dxa" w:w="80"/>
              <w:right w:type="dxa" w:w="110"/>
            </w:tcMar>
          </w:tcPr>
          <w:p>
            <w:pPr>
              <w:spacing w:after="0" w:line="260"/>
            </w:pPr>
            <w:r>
              <w:rPr>
                <w:b w:val="false"/>
                <w:bCs w:val="false"/>
                <w:sz w:val="19"/>
                <w:szCs w:val="19"/>
              </w:rPr>
              <w:t xml:space="preserve">Confirm the transaction hash on-chain first; only escalate as a Clara defect once an on-chain settlement without a corresponding successful verify-settle pair is confirmed</w:t>
            </w:r>
          </w:p>
        </w:tc>
      </w:tr>
      <w:tr>
        <w:tc>
          <w:tcPr>
            <w:tcW w:type="dxa" w:w="2300"/>
            <w:tcMar>
              <w:top w:type="dxa" w:w="80"/>
              <w:left w:type="dxa" w:w="110"/>
              <w:bottom w:type="dxa" w:w="80"/>
              <w:right w:type="dxa" w:w="110"/>
            </w:tcMar>
          </w:tcPr>
          <w:p>
            <w:pPr>
              <w:spacing w:after="0" w:line="260"/>
            </w:pPr>
            <w:r>
              <w:rPr>
                <w:b w:val="false"/>
                <w:bCs w:val="false"/>
                <w:sz w:val="19"/>
                <w:szCs w:val="19"/>
              </w:rPr>
              <w:t xml:space="preserve">Operational submission key suspected compromised</w:t>
            </w:r>
          </w:p>
        </w:tc>
        <w:tc>
          <w:tcPr>
            <w:tcW w:type="dxa" w:w="2700"/>
            <w:tcMar>
              <w:top w:type="dxa" w:w="80"/>
              <w:left w:type="dxa" w:w="110"/>
              <w:bottom w:type="dxa" w:w="80"/>
              <w:right w:type="dxa" w:w="110"/>
            </w:tcMar>
          </w:tcPr>
          <w:p>
            <w:pPr>
              <w:spacing w:after="0" w:line="260"/>
            </w:pPr>
            <w:r>
              <w:rPr>
                <w:b w:val="false"/>
                <w:bCs w:val="false"/>
                <w:sz w:val="19"/>
                <w:szCs w:val="19"/>
              </w:rPr>
              <w:t xml:space="preserve">Secret exposure</w:t>
            </w:r>
          </w:p>
        </w:tc>
        <w:tc>
          <w:tcPr>
            <w:tcW w:type="dxa" w:w="4360"/>
            <w:tcMar>
              <w:top w:type="dxa" w:w="80"/>
              <w:left w:type="dxa" w:w="110"/>
              <w:bottom w:type="dxa" w:w="80"/>
              <w:right w:type="dxa" w:w="110"/>
            </w:tcMar>
          </w:tcPr>
          <w:p>
            <w:pPr>
              <w:spacing w:after="0" w:line="260"/>
            </w:pPr>
            <w:r>
              <w:rPr>
                <w:b w:val="false"/>
                <w:bCs w:val="false"/>
                <w:sz w:val="19"/>
                <w:szCs w:val="19"/>
              </w:rPr>
              <w:t xml:space="preserve">Rotate immediately per section 8; do not wait for confirmation of exploitation</w:t>
            </w:r>
          </w:p>
        </w:tc>
      </w:tr>
    </w:tbl>
    <w:p>
      <w:pPr>
        <w:pStyle w:val="Heading1"/>
        <w:spacing w:after="140" w:before="280"/>
      </w:pPr>
      <w:r>
        <w:rPr>
          <w:b/>
          <w:bCs/>
          <w:sz w:val="26"/>
          <w:szCs w:val="26"/>
        </w:rPr>
        <w:t xml:space="preserve">5. Deployment Procedure</w:t>
      </w:r>
    </w:p>
    <w:p>
      <w:pPr>
        <w:spacing w:after="120" w:line="276"/>
      </w:pPr>
      <w:r>
        <w:rPr>
          <w:sz w:val="22"/>
          <w:szCs w:val="22"/>
        </w:rPr>
        <w:t xml:space="preserve">Deploy to testnet staging first and run the release criteria defined in the Test Plan and QA Strategy, including the licence scan. Only after those pass, deploy the same build artifact to production, one instance at a time behind the load balancer, monitoring settlement success rate and verification rejection breakdown after each instance before proceeding to the next.</w:t>
      </w:r>
    </w:p>
    <w:p>
      <w:pPr>
        <w:pStyle w:val="Heading1"/>
        <w:spacing w:after="140" w:before="280"/>
      </w:pPr>
      <w:r>
        <w:rPr>
          <w:b/>
          <w:bCs/>
          <w:sz w:val="26"/>
          <w:szCs w:val="26"/>
        </w:rPr>
        <w:t xml:space="preserve">6. Rollback Procedure</w:t>
      </w:r>
    </w:p>
    <w:p>
      <w:pPr>
        <w:spacing w:after="120" w:line="276"/>
      </w:pPr>
      <w:r>
        <w:rPr>
          <w:sz w:val="22"/>
          <w:szCs w:val="22"/>
        </w:rPr>
        <w:t xml:space="preserve">Every production deployment retains the immediately prior build artifact. If settlement success rate or rejection rates degrade after a deployment, redeploy the prior artifact before investigating the cause, rather than attempting a forward fix under incident pressure. Rolling back the facilitator does not roll back the catalogue; catalogue state is data and is handled by section 7.</w:t>
      </w:r>
    </w:p>
    <w:p>
      <w:pPr>
        <w:pStyle w:val="Heading1"/>
        <w:spacing w:after="140" w:before="280"/>
      </w:pPr>
      <w:r>
        <w:rPr>
          <w:b/>
          <w:bCs/>
          <w:sz w:val="26"/>
          <w:szCs w:val="26"/>
        </w:rPr>
        <w:t xml:space="preserve">7. Catalogue Takedown Procedure</w:t>
      </w:r>
    </w:p>
    <w:p>
      <w:pPr>
        <w:spacing w:after="120" w:line="276"/>
      </w:pPr>
      <w:r>
        <w:rPr>
          <w:sz w:val="22"/>
          <w:szCs w:val="22"/>
        </w:rPr>
        <w:t xml:space="preserve">When a listing is reported or detected as forged, impersonating, or hostile to consuming agents:</w:t>
      </w:r>
    </w:p>
    <w:p>
      <w:pPr>
        <w:pStyle w:val="ListParagraph"/>
        <w:numPr>
          <w:ilvl w:val="0"/>
          <w:numId w:val="1"/>
        </w:numPr>
        <w:spacing w:after="90" w:line="276"/>
      </w:pPr>
      <w:r>
        <w:rPr>
          <w:sz w:val="22"/>
          <w:szCs w:val="22"/>
        </w:rPr>
        <w:t xml:space="preserve">Set the listing to delisted immediately. Delisting is reversible; agent payments diverted to an attacker are not.</w:t>
      </w:r>
    </w:p>
    <w:p>
      <w:pPr>
        <w:pStyle w:val="ListParagraph"/>
        <w:numPr>
          <w:ilvl w:val="0"/>
          <w:numId w:val="1"/>
        </w:numPr>
        <w:spacing w:after="90" w:line="276"/>
      </w:pPr>
      <w:r>
        <w:rPr>
          <w:sz w:val="22"/>
          <w:szCs w:val="22"/>
        </w:rPr>
        <w:t xml:space="preserve">Query for other listings published by the same API key and quarantine them as a set, since a compromised or malicious key rarely publishes only one.</w:t>
      </w:r>
    </w:p>
    <w:p>
      <w:pPr>
        <w:pStyle w:val="ListParagraph"/>
        <w:numPr>
          <w:ilvl w:val="0"/>
          <w:numId w:val="1"/>
        </w:numPr>
        <w:spacing w:after="90" w:line="276"/>
      </w:pPr>
      <w:r>
        <w:rPr>
          <w:sz w:val="22"/>
          <w:szCs w:val="22"/>
        </w:rPr>
        <w:t xml:space="preserve">Preserve the original listing record for investigation rather than deleting it.</w:t>
      </w:r>
    </w:p>
    <w:p>
      <w:pPr>
        <w:pStyle w:val="ListParagraph"/>
        <w:numPr>
          <w:ilvl w:val="0"/>
          <w:numId w:val="1"/>
        </w:numPr>
        <w:spacing w:after="90" w:line="276"/>
      </w:pPr>
      <w:r>
        <w:rPr>
          <w:sz w:val="22"/>
          <w:szCs w:val="22"/>
        </w:rPr>
        <w:t xml:space="preserve">Check settlement records referencing the listing to determine whether payments were diverted, and notify affected sellers directly.</w:t>
      </w:r>
    </w:p>
    <w:p>
      <w:pPr>
        <w:pStyle w:val="ListParagraph"/>
        <w:numPr>
          <w:ilvl w:val="0"/>
          <w:numId w:val="1"/>
        </w:numPr>
        <w:spacing w:after="90" w:line="276"/>
      </w:pPr>
      <w:r>
        <w:rPr>
          <w:sz w:val="22"/>
          <w:szCs w:val="22"/>
        </w:rPr>
        <w:t xml:space="preserve">Only then investigate how the listing passed ingestion validation, and add a regression test reproducing it before closing the incident.</w:t>
      </w:r>
    </w:p>
    <w:p>
      <w:pPr>
        <w:pStyle w:val="Heading1"/>
        <w:spacing w:after="140" w:before="280"/>
      </w:pPr>
      <w:r>
        <w:rPr>
          <w:b/>
          <w:bCs/>
          <w:sz w:val="26"/>
          <w:szCs w:val="26"/>
        </w:rPr>
        <w:t xml:space="preserve">8. Key Rotation Under Incident</w:t>
      </w:r>
    </w:p>
    <w:p>
      <w:pPr>
        <w:spacing w:after="120" w:line="276"/>
      </w:pPr>
      <w:r>
        <w:rPr>
          <w:sz w:val="22"/>
          <w:szCs w:val="22"/>
        </w:rPr>
        <w:t xml:space="preserve">The operational submission key is rotatable without redeployment. On suspected compromise: generate and install the replacement, verify a canary payment settles with the new key, revoke the old key, then move the sponsorship float to a new account if the old account was exposed. Rotate first and investigate afterwards; the float is deliberately sized so that the cost of acting early is small.</w:t>
      </w:r>
    </w:p>
    <w:p>
      <w:pPr>
        <w:pStyle w:val="Heading1"/>
        <w:spacing w:after="140" w:before="280"/>
      </w:pPr>
      <w:r>
        <w:rPr>
          <w:b/>
          <w:bCs/>
          <w:sz w:val="26"/>
          <w:szCs w:val="26"/>
        </w:rPr>
        <w:t xml:space="preserve">9. Disaster Recovery</w:t>
      </w:r>
    </w:p>
    <w:p>
      <w:pPr>
        <w:spacing w:after="120" w:line="276"/>
      </w:pPr>
      <w:r>
        <w:rPr>
          <w:sz w:val="22"/>
          <w:szCs w:val="22"/>
        </w:rPr>
        <w:t xml:space="preserve">Clara holds no irreplaceable on-chain state; settlement history lives on the Stellar network and can be reconstructed from transaction hashes. The recoverable state that matters is the catalogue and the accounts database, which are backed up daily with point-in-time recovery enabled.</w:t>
      </w:r>
    </w:p>
    <w:p>
      <w:pPr>
        <w:spacing w:after="120" w:line="276"/>
      </w:pPr>
      <w:r>
        <w:rPr>
          <w:sz w:val="22"/>
          <w:szCs w:val="22"/>
        </w:rPr>
        <w:t xml:space="preserve">The worst-case procedure is to provision new compute, restore the database from backup, install the operational key from the secret store, and resume. This should be rehearsed at least once before Phase 1 launch so the actual recovery time is known rather than assumed. Embeddings are recomputable from catalogue records and are therefore excluded from the critical restore path.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and Operations Manual - Clara</dc:title>
  <dc:creator>Rafif Muhammad Ransi Anargya</dc:creator>
  <dc:description>Clara: Document 10 of 13</dc:description>
  <cp:lastModifiedBy>Un-named</cp:lastModifiedBy>
  <cp:revision>1</cp:revision>
  <dcterms:created xsi:type="dcterms:W3CDTF">2026-09-21T00:29:09.036Z</dcterms:created>
  <dcterms:modified xsi:type="dcterms:W3CDTF">2026-09-21T00:29:09.036Z</dcterms:modified>
</cp:coreProperties>
</file>

<file path=docProps/custom.xml><?xml version="1.0" encoding="utf-8"?>
<Properties xmlns="http://schemas.openxmlformats.org/officeDocument/2006/custom-properties" xmlns:vt="http://schemas.openxmlformats.org/officeDocument/2006/docPropsVTypes"/>
</file>