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4"/>
          <w:szCs w:val="34"/>
        </w:rPr>
        <w:t xml:space="preserve">Customer-Facing Service Level Agreement</w:t>
      </w:r>
    </w:p>
    <w:p>
      <w:pPr>
        <w:spacing w:after="180"/>
      </w:pPr>
      <w:r>
        <w:rPr>
          <w:b/>
          <w:bCs/>
          <w:color w:val="1F6F63"/>
          <w:sz w:val="24"/>
          <w:szCs w:val="24"/>
        </w:rPr>
        <w:t xml:space="preserve">Clara</w:t>
      </w:r>
    </w:p>
    <w:p>
      <w:pPr>
        <w:spacing w:after="120" w:line="276"/>
      </w:pPr>
      <w:r>
        <w:rPr>
          <w:sz w:val="21"/>
          <w:szCs w:val="21"/>
        </w:rPr>
        <w:t xml:space="preserve">Document 11 of 13: Customer-Facing Service Level Agreement</w:t>
      </w:r>
    </w:p>
    <w:p>
      <w:pPr>
        <w:spacing w:after="120" w:line="276"/>
      </w:pPr>
      <w:r>
        <w:rPr>
          <w:sz w:val="21"/>
          <w:szCs w:val="21"/>
        </w:rPr>
        <w:t xml:space="preserve">Version 0.2 - Draft for Review</w:t>
      </w:r>
    </w:p>
    <w:p>
      <w:pPr>
        <w:spacing w:after="120" w:line="276"/>
      </w:pPr>
      <w:r>
        <w:rPr>
          <w:sz w:val="21"/>
          <w:szCs w:val="21"/>
        </w:rPr>
        <w:t xml:space="preserve">Author: Rafif Muhammad Ransi Anargya</w:t>
      </w:r>
    </w:p>
    <w:p>
      <w:pPr>
        <w:spacing w:after="260" w:line="276"/>
      </w:pPr>
      <w:r>
        <w:rPr>
          <w:sz w:val="21"/>
          <w:szCs w:val="21"/>
        </w:rPr>
        <w:t xml:space="preserve">Date: 21 September 2026</w:t>
      </w:r>
    </w:p>
    <w:p>
      <w:pPr>
        <w:pStyle w:val="Heading1"/>
        <w:spacing w:after="140" w:before="280"/>
      </w:pPr>
      <w:r>
        <w:rPr>
          <w:b/>
          <w:bCs/>
          <w:sz w:val="26"/>
          <w:szCs w:val="26"/>
        </w:rPr>
        <w:t xml:space="preserve">1. Purpose</w:t>
      </w:r>
    </w:p>
    <w:p>
      <w:pPr>
        <w:spacing w:after="120" w:line="276"/>
      </w:pPr>
      <w:r>
        <w:rPr>
          <w:sz w:val="22"/>
          <w:szCs w:val="22"/>
        </w:rPr>
        <w:t xml:space="preserve">This document states what Clara commits to for sellers and agent platforms that depend on it, and, equally important, what it explicitly does not yet commit to. It is intended to be shared directly with them.</w:t>
      </w:r>
    </w:p>
    <w:p>
      <w:pPr>
        <w:pStyle w:val="Heading1"/>
        <w:spacing w:after="140" w:before="280"/>
      </w:pPr>
      <w:r>
        <w:rPr>
          <w:b/>
          <w:bCs/>
          <w:sz w:val="26"/>
          <w:szCs w:val="26"/>
        </w:rPr>
        <w:t xml:space="preserve">2. Service Tiers</w:t>
      </w:r>
    </w:p>
    <w:tbl>
      <w:tblPr>
        <w:tblW w:type="dxa" w:w="9360"/>
        <w:tblBorders>
          <w:top w:val="single" w:color="BFC9C3" w:sz="4"/>
          <w:left w:val="single" w:color="BFC9C3" w:sz="4"/>
          <w:bottom w:val="single" w:color="BFC9C3" w:sz="4"/>
          <w:right w:val="single" w:color="BFC9C3" w:sz="4"/>
          <w:insideH w:val="single" w:color="D7DED9" w:sz="4"/>
          <w:insideV w:val="single" w:color="D7DED9" w:sz="4"/>
        </w:tblBorders>
      </w:tblPr>
      <w:tblGrid>
        <w:gridCol w:w="1300"/>
        <w:gridCol w:w="3200"/>
        <w:gridCol w:w="4860"/>
      </w:tblGrid>
      <w:tr>
        <w:trPr>
          <w:tblHeader/>
        </w:trPr>
        <w:tc>
          <w:tcPr>
            <w:tcW w:type="dxa" w:w="1300"/>
            <w:shd w:fill="E7ECE6" w:val="clear"/>
            <w:tcMar>
              <w:top w:type="dxa" w:w="80"/>
              <w:left w:type="dxa" w:w="110"/>
              <w:bottom w:type="dxa" w:w="80"/>
              <w:right w:type="dxa" w:w="110"/>
            </w:tcMar>
          </w:tcPr>
          <w:p>
            <w:pPr>
              <w:spacing w:after="0" w:line="260"/>
            </w:pPr>
            <w:r>
              <w:rPr>
                <w:b/>
                <w:bCs/>
                <w:sz w:val="19"/>
                <w:szCs w:val="19"/>
              </w:rPr>
              <w:t xml:space="preserve">Tier</w:t>
            </w:r>
          </w:p>
        </w:tc>
        <w:tc>
          <w:tcPr>
            <w:tcW w:type="dxa" w:w="3200"/>
            <w:shd w:fill="E7ECE6" w:val="clear"/>
            <w:tcMar>
              <w:top w:type="dxa" w:w="80"/>
              <w:left w:type="dxa" w:w="110"/>
              <w:bottom w:type="dxa" w:w="80"/>
              <w:right w:type="dxa" w:w="110"/>
            </w:tcMar>
          </w:tcPr>
          <w:p>
            <w:pPr>
              <w:spacing w:after="0" w:line="260"/>
            </w:pPr>
            <w:r>
              <w:rPr>
                <w:b/>
                <w:bCs/>
                <w:sz w:val="19"/>
                <w:szCs w:val="19"/>
              </w:rPr>
              <w:t xml:space="preserve">Intended for</w:t>
            </w:r>
          </w:p>
        </w:tc>
        <w:tc>
          <w:tcPr>
            <w:tcW w:type="dxa" w:w="4860"/>
            <w:shd w:fill="E7ECE6" w:val="clear"/>
            <w:tcMar>
              <w:top w:type="dxa" w:w="80"/>
              <w:left w:type="dxa" w:w="110"/>
              <w:bottom w:type="dxa" w:w="80"/>
              <w:right w:type="dxa" w:w="110"/>
            </w:tcMar>
          </w:tcPr>
          <w:p>
            <w:pPr>
              <w:spacing w:after="0" w:line="260"/>
            </w:pPr>
            <w:r>
              <w:rPr>
                <w:b/>
                <w:bCs/>
                <w:sz w:val="19"/>
                <w:szCs w:val="19"/>
              </w:rPr>
              <w:t xml:space="preserve">Commitments</w:t>
            </w:r>
          </w:p>
        </w:tc>
      </w:tr>
      <w:tr>
        <w:tc>
          <w:tcPr>
            <w:tcW w:type="dxa" w:w="1300"/>
            <w:tcMar>
              <w:top w:type="dxa" w:w="80"/>
              <w:left w:type="dxa" w:w="110"/>
              <w:bottom w:type="dxa" w:w="80"/>
              <w:right w:type="dxa" w:w="110"/>
            </w:tcMar>
          </w:tcPr>
          <w:p>
            <w:pPr>
              <w:spacing w:after="0" w:line="260"/>
            </w:pPr>
            <w:r>
              <w:rPr>
                <w:b w:val="false"/>
                <w:bCs w:val="false"/>
                <w:sz w:val="19"/>
                <w:szCs w:val="19"/>
              </w:rPr>
              <w:t xml:space="preserve">Free</w:t>
            </w:r>
          </w:p>
        </w:tc>
        <w:tc>
          <w:tcPr>
            <w:tcW w:type="dxa" w:w="3200"/>
            <w:tcMar>
              <w:top w:type="dxa" w:w="80"/>
              <w:left w:type="dxa" w:w="110"/>
              <w:bottom w:type="dxa" w:w="80"/>
              <w:right w:type="dxa" w:w="110"/>
            </w:tcMar>
          </w:tcPr>
          <w:p>
            <w:pPr>
              <w:spacing w:after="0" w:line="260"/>
            </w:pPr>
            <w:r>
              <w:rPr>
                <w:b w:val="false"/>
                <w:bCs w:val="false"/>
                <w:sz w:val="19"/>
                <w:szCs w:val="19"/>
              </w:rPr>
              <w:t xml:space="preserve">Evaluation, early design partners, testnet integration</w:t>
            </w:r>
          </w:p>
        </w:tc>
        <w:tc>
          <w:tcPr>
            <w:tcW w:type="dxa" w:w="4860"/>
            <w:tcMar>
              <w:top w:type="dxa" w:w="80"/>
              <w:left w:type="dxa" w:w="110"/>
              <w:bottom w:type="dxa" w:w="80"/>
              <w:right w:type="dxa" w:w="110"/>
            </w:tcMar>
          </w:tcPr>
          <w:p>
            <w:pPr>
              <w:spacing w:after="0" w:line="260"/>
            </w:pPr>
            <w:r>
              <w:rPr>
                <w:b w:val="false"/>
                <w:bCs w:val="false"/>
                <w:sz w:val="19"/>
                <w:szCs w:val="19"/>
              </w:rPr>
              <w:t xml:space="preserve">Testnet settlement and discovery read access; best effort, with no uptime or latency commitment and subject to rate limiting under load</w:t>
            </w:r>
          </w:p>
        </w:tc>
      </w:tr>
      <w:tr>
        <w:tc>
          <w:tcPr>
            <w:tcW w:type="dxa" w:w="1300"/>
            <w:tcMar>
              <w:top w:type="dxa" w:w="80"/>
              <w:left w:type="dxa" w:w="110"/>
              <w:bottom w:type="dxa" w:w="80"/>
              <w:right w:type="dxa" w:w="110"/>
            </w:tcMar>
          </w:tcPr>
          <w:p>
            <w:pPr>
              <w:spacing w:after="0" w:line="260"/>
            </w:pPr>
            <w:r>
              <w:rPr>
                <w:b w:val="false"/>
                <w:bCs w:val="false"/>
                <w:sz w:val="19"/>
                <w:szCs w:val="19"/>
              </w:rPr>
              <w:t xml:space="preserve">Production</w:t>
            </w:r>
          </w:p>
        </w:tc>
        <w:tc>
          <w:tcPr>
            <w:tcW w:type="dxa" w:w="3200"/>
            <w:tcMar>
              <w:top w:type="dxa" w:w="80"/>
              <w:left w:type="dxa" w:w="110"/>
              <w:bottom w:type="dxa" w:w="80"/>
              <w:right w:type="dxa" w:w="110"/>
            </w:tcMar>
          </w:tcPr>
          <w:p>
            <w:pPr>
              <w:spacing w:after="0" w:line="260"/>
            </w:pPr>
            <w:r>
              <w:rPr>
                <w:b w:val="false"/>
                <w:bCs w:val="false"/>
                <w:sz w:val="19"/>
                <w:szCs w:val="19"/>
              </w:rPr>
              <w:t xml:space="preserve">Sellers and agent platforms in live use</w:t>
            </w:r>
          </w:p>
        </w:tc>
        <w:tc>
          <w:tcPr>
            <w:tcW w:type="dxa" w:w="4860"/>
            <w:tcMar>
              <w:top w:type="dxa" w:w="80"/>
              <w:left w:type="dxa" w:w="110"/>
              <w:bottom w:type="dxa" w:w="80"/>
              <w:right w:type="dxa" w:w="110"/>
            </w:tcMar>
          </w:tcPr>
          <w:p>
            <w:pPr>
              <w:spacing w:after="0" w:line="260"/>
            </w:pPr>
            <w:r>
              <w:rPr>
                <w:b w:val="false"/>
                <w:bCs w:val="false"/>
                <w:sz w:val="19"/>
                <w:szCs w:val="19"/>
              </w:rPr>
              <w:t xml:space="preserve">Settlement and discovery on both networks; uptime and latency targets as defined for the current phase in the Non-Functional Requirements Document</w:t>
            </w:r>
          </w:p>
        </w:tc>
      </w:tr>
      <w:tr>
        <w:tc>
          <w:tcPr>
            <w:tcW w:type="dxa" w:w="1300"/>
            <w:tcMar>
              <w:top w:type="dxa" w:w="80"/>
              <w:left w:type="dxa" w:w="110"/>
              <w:bottom w:type="dxa" w:w="80"/>
              <w:right w:type="dxa" w:w="110"/>
            </w:tcMar>
          </w:tcPr>
          <w:p>
            <w:pPr>
              <w:spacing w:after="0" w:line="260"/>
            </w:pPr>
            <w:r>
              <w:rPr>
                <w:b w:val="false"/>
                <w:bCs w:val="false"/>
                <w:sz w:val="19"/>
                <w:szCs w:val="19"/>
              </w:rPr>
              <w:t xml:space="preserve">Enterprise</w:t>
            </w:r>
          </w:p>
        </w:tc>
        <w:tc>
          <w:tcPr>
            <w:tcW w:type="dxa" w:w="3200"/>
            <w:tcMar>
              <w:top w:type="dxa" w:w="80"/>
              <w:left w:type="dxa" w:w="110"/>
              <w:bottom w:type="dxa" w:w="80"/>
              <w:right w:type="dxa" w:w="110"/>
            </w:tcMar>
          </w:tcPr>
          <w:p>
            <w:pPr>
              <w:spacing w:after="0" w:line="260"/>
            </w:pPr>
            <w:r>
              <w:rPr>
                <w:b w:val="false"/>
                <w:bCs w:val="false"/>
                <w:sz w:val="19"/>
                <w:szCs w:val="19"/>
              </w:rPr>
              <w:t xml:space="preserve">Institutional sellers with bespoke requirements</w:t>
            </w:r>
          </w:p>
        </w:tc>
        <w:tc>
          <w:tcPr>
            <w:tcW w:type="dxa" w:w="4860"/>
            <w:tcMar>
              <w:top w:type="dxa" w:w="80"/>
              <w:left w:type="dxa" w:w="110"/>
              <w:bottom w:type="dxa" w:w="80"/>
              <w:right w:type="dxa" w:w="110"/>
            </w:tcMar>
          </w:tcPr>
          <w:p>
            <w:pPr>
              <w:spacing w:after="0" w:line="260"/>
            </w:pPr>
            <w:r>
              <w:rPr>
                <w:b w:val="false"/>
                <w:bCs w:val="false"/>
                <w:sz w:val="19"/>
                <w:szCs w:val="19"/>
              </w:rPr>
              <w:t xml:space="preserve">Individually negotiated, which may include dedicated capacity, higher rate limits, and agreed support response times</w:t>
            </w:r>
          </w:p>
        </w:tc>
      </w:tr>
    </w:tbl>
    <w:p>
      <w:pPr>
        <w:pStyle w:val="Heading1"/>
        <w:spacing w:after="140" w:before="280"/>
      </w:pPr>
      <w:r>
        <w:rPr>
          <w:b/>
          <w:bCs/>
          <w:sz w:val="26"/>
          <w:szCs w:val="26"/>
        </w:rPr>
        <w:t xml:space="preserve">3. What Is Committed</w:t>
      </w:r>
    </w:p>
    <w:p>
      <w:pPr>
        <w:pStyle w:val="ListParagraph"/>
        <w:numPr>
          <w:ilvl w:val="0"/>
          <w:numId w:val="1"/>
        </w:numPr>
        <w:spacing w:after="90" w:line="276"/>
      </w:pPr>
      <w:r>
        <w:rPr>
          <w:sz w:val="22"/>
          <w:szCs w:val="22"/>
        </w:rPr>
        <w:t xml:space="preserve">Payments that are correctly signed and match their stated requirements will settle, or will fail with an enumerated machine-readable reason. Silent failure is never acceptable behaviour.</w:t>
      </w:r>
    </w:p>
    <w:p>
      <w:pPr>
        <w:pStyle w:val="ListParagraph"/>
        <w:numPr>
          <w:ilvl w:val="0"/>
          <w:numId w:val="1"/>
        </w:numPr>
        <w:spacing w:after="90" w:line="276"/>
      </w:pPr>
      <w:r>
        <w:rPr>
          <w:sz w:val="22"/>
          <w:szCs w:val="22"/>
        </w:rPr>
        <w:t xml:space="preserve">A payment is never settled more than once for the same payload; replay protection is a guarantee, not a best effort.</w:t>
      </w:r>
    </w:p>
    <w:p>
      <w:pPr>
        <w:pStyle w:val="ListParagraph"/>
        <w:numPr>
          <w:ilvl w:val="0"/>
          <w:numId w:val="1"/>
        </w:numPr>
        <w:spacing w:after="90" w:line="276"/>
      </w:pPr>
      <w:r>
        <w:rPr>
          <w:sz w:val="22"/>
          <w:szCs w:val="22"/>
        </w:rPr>
        <w:t xml:space="preserve">Clara never holds a payer's funds or private keys, and never signs a payment on a payer's behalf.</w:t>
      </w:r>
    </w:p>
    <w:p>
      <w:pPr>
        <w:pStyle w:val="ListParagraph"/>
        <w:numPr>
          <w:ilvl w:val="0"/>
          <w:numId w:val="1"/>
        </w:numPr>
        <w:spacing w:after="90" w:line="276"/>
      </w:pPr>
      <w:r>
        <w:rPr>
          <w:sz w:val="22"/>
          <w:szCs w:val="22"/>
        </w:rPr>
        <w:t xml:space="preserve">Discovery results carry complete payment requirements, so an agent never has to guess a price, an asset, or a recipient.</w:t>
      </w:r>
    </w:p>
    <w:p>
      <w:pPr>
        <w:pStyle w:val="ListParagraph"/>
        <w:numPr>
          <w:ilvl w:val="0"/>
          <w:numId w:val="1"/>
        </w:numPr>
        <w:spacing w:after="90" w:line="276"/>
      </w:pPr>
      <w:r>
        <w:rPr>
          <w:sz w:val="22"/>
          <w:szCs w:val="22"/>
        </w:rPr>
        <w:t xml:space="preserve">Breaking API changes are announced in advance, per the Change Management Policy.</w:t>
      </w:r>
    </w:p>
    <w:p>
      <w:pPr>
        <w:pStyle w:val="Heading1"/>
        <w:spacing w:after="140" w:before="280"/>
      </w:pPr>
      <w:r>
        <w:rPr>
          <w:b/>
          <w:bCs/>
          <w:sz w:val="26"/>
          <w:szCs w:val="26"/>
        </w:rPr>
        <w:t xml:space="preserve">4. What Is Not Committed</w:t>
      </w:r>
    </w:p>
    <w:p>
      <w:pPr>
        <w:pStyle w:val="ListParagraph"/>
        <w:numPr>
          <w:ilvl w:val="0"/>
          <w:numId w:val="1"/>
        </w:numPr>
        <w:spacing w:after="90" w:line="276"/>
      </w:pPr>
      <w:r>
        <w:rPr>
          <w:sz w:val="22"/>
          <w:szCs w:val="22"/>
        </w:rPr>
        <w:t xml:space="preserve">No warranty of any kind regarding catalogued services themselves. Clara verifies that a listing is internally consistent and that payment flows to the address the listing declares. It does not verify that a service is honest, competent, available, or fit for any purpose. A listing is not an endorsement.</w:t>
      </w:r>
    </w:p>
    <w:p>
      <w:pPr>
        <w:pStyle w:val="ListParagraph"/>
        <w:numPr>
          <w:ilvl w:val="0"/>
          <w:numId w:val="1"/>
        </w:numPr>
        <w:spacing w:after="90" w:line="276"/>
      </w:pPr>
      <w:r>
        <w:rPr>
          <w:sz w:val="22"/>
          <w:szCs w:val="22"/>
        </w:rPr>
        <w:t xml:space="preserve">No pubnet availability commitment before the third-party audit described in the Security and Threat Model is complete.</w:t>
      </w:r>
    </w:p>
    <w:p>
      <w:pPr>
        <w:pStyle w:val="ListParagraph"/>
        <w:numPr>
          <w:ilvl w:val="0"/>
          <w:numId w:val="1"/>
        </w:numPr>
        <w:spacing w:after="90" w:line="276"/>
      </w:pPr>
      <w:r>
        <w:rPr>
          <w:sz w:val="22"/>
          <w:szCs w:val="22"/>
        </w:rPr>
        <w:t xml:space="preserve">No commitment to network confirmation time, which is a property of Stellar ledger close rather than of Clara. Commitments cover submission, not confirmation.</w:t>
      </w:r>
    </w:p>
    <w:p>
      <w:pPr>
        <w:pStyle w:val="ListParagraph"/>
        <w:numPr>
          <w:ilvl w:val="0"/>
          <w:numId w:val="1"/>
        </w:numPr>
        <w:spacing w:after="90" w:line="276"/>
      </w:pPr>
      <w:r>
        <w:rPr>
          <w:sz w:val="22"/>
          <w:szCs w:val="22"/>
        </w:rPr>
        <w:t xml:space="preserve">No formal regulatory certification, as stated in the Data Privacy and Compliance Note.</w:t>
      </w:r>
    </w:p>
    <w:p>
      <w:pPr>
        <w:pStyle w:val="ListParagraph"/>
        <w:numPr>
          <w:ilvl w:val="0"/>
          <w:numId w:val="1"/>
        </w:numPr>
        <w:spacing w:after="90" w:line="276"/>
      </w:pPr>
      <w:r>
        <w:rPr>
          <w:sz w:val="22"/>
          <w:szCs w:val="22"/>
        </w:rPr>
        <w:t xml:space="preserve">No guarantee that the catalogue contains any particular service, or that a previously listed service remains listed.</w:t>
      </w:r>
    </w:p>
    <w:p>
      <w:pPr>
        <w:pStyle w:val="ListParagraph"/>
        <w:numPr>
          <w:ilvl w:val="0"/>
          <w:numId w:val="1"/>
        </w:numPr>
        <w:spacing w:after="90" w:line="276"/>
      </w:pPr>
      <w:r>
        <w:rPr>
          <w:sz w:val="22"/>
          <w:szCs w:val="22"/>
        </w:rPr>
        <w:t xml:space="preserve">No commitment to indefinite stability of discovery endpoints while the upstream x402 discovery conventions continue to evolve; see the Change Management Policy.</w:t>
      </w:r>
    </w:p>
    <w:p>
      <w:pPr>
        <w:pStyle w:val="Heading1"/>
        <w:spacing w:after="140" w:before="280"/>
      </w:pPr>
      <w:r>
        <w:rPr>
          <w:b/>
          <w:bCs/>
          <w:sz w:val="26"/>
          <w:szCs w:val="26"/>
        </w:rPr>
        <w:t xml:space="preserve">5. Fee Sponsorship</w:t>
      </w:r>
    </w:p>
    <w:p>
      <w:pPr>
        <w:spacing w:after="120" w:line="276"/>
      </w:pPr>
      <w:r>
        <w:rPr>
          <w:sz w:val="22"/>
          <w:szCs w:val="22"/>
        </w:rPr>
        <w:t xml:space="preserve">Where Clara advertises sponsored network fees through the supported endpoint, it pays the network fee for settlement. Sponsorship is a service characteristic rather than a contractual commitment, and may be withdrawn per key or globally, with notice where circumstances allow and without notice where withdrawal is necessary to prevent abuse. Sponsorship status is always machine-readable in advance, so a client can determine before paying whether it must fund its own fees.</w:t>
      </w:r>
    </w:p>
    <w:p>
      <w:pPr>
        <w:pStyle w:val="Heading1"/>
        <w:spacing w:after="140" w:before="280"/>
      </w:pPr>
      <w:r>
        <w:rPr>
          <w:b/>
          <w:bCs/>
          <w:sz w:val="26"/>
          <w:szCs w:val="26"/>
        </w:rPr>
        <w:t xml:space="preserve">6. Support</w:t>
      </w:r>
    </w:p>
    <w:p>
      <w:pPr>
        <w:spacing w:after="120" w:line="276"/>
      </w:pPr>
      <w:r>
        <w:rPr>
          <w:sz w:val="22"/>
          <w:szCs w:val="22"/>
        </w:rPr>
        <w:t xml:space="preserve">At Phase 0 and Phase 1, support is best effort with no fixed response-time commitment. A formal response-time commitment is introduced no earlier than Phase 2, once the primary operator role described in the Runbook and Operations Manual is no longer held by a single individual. Security reports are the exception and are acknowledged as a priority at every phase.</w:t>
      </w:r>
    </w:p>
    <w:p>
      <w:pPr>
        <w:pStyle w:val="Heading1"/>
        <w:spacing w:after="140" w:before="280"/>
      </w:pPr>
      <w:r>
        <w:rPr>
          <w:b/>
          <w:bCs/>
          <w:sz w:val="26"/>
          <w:szCs w:val="26"/>
        </w:rPr>
        <w:t xml:space="preserve">7. Notice of Breaking Changes</w:t>
      </w:r>
    </w:p>
    <w:p>
      <w:pPr>
        <w:spacing w:after="120" w:line="276"/>
      </w:pPr>
      <w:r>
        <w:rPr>
          <w:sz w:val="22"/>
          <w:szCs w:val="22"/>
        </w:rPr>
        <w:t xml:space="preserve">Any breaking change to a published API is announced in advance according to the notice period in the Change Management Policy, regardless of tier. The one circumstance in which that period may be shortened is a change forced by the upstream x402 specification, which is disclosed here rather than buried: the funded work commits to tracking a specification that is still moving, and where upstream moves faster than the standard window, affected integrators are notified directly and individually.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Customer-Facing Service Level Agreement - Clara</dc:title>
  <dc:creator>Rafif Muhammad Ransi Anargya</dc:creator>
  <dc:description>Clara: Document 11 of 13</dc:description>
  <cp:lastModifiedBy>Un-named</cp:lastModifiedBy>
  <cp:revision>1</cp:revision>
  <dcterms:created xsi:type="dcterms:W3CDTF">2026-09-21T00:29:09.052Z</dcterms:created>
  <dcterms:modified xsi:type="dcterms:W3CDTF">2026-09-21T00:29:09.052Z</dcterms:modified>
</cp:coreProperties>
</file>

<file path=docProps/custom.xml><?xml version="1.0" encoding="utf-8"?>
<Properties xmlns="http://schemas.openxmlformats.org/officeDocument/2006/custom-properties" xmlns:vt="http://schemas.openxmlformats.org/officeDocument/2006/docPropsVTypes"/>
</file>