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Risk Register</w:t>
      </w:r>
    </w:p>
    <w:p>
      <w:pPr>
        <w:spacing w:after="180"/>
      </w:pPr>
      <w:r>
        <w:rPr>
          <w:b/>
          <w:bCs/>
          <w:color w:val="1F6F63"/>
          <w:sz w:val="24"/>
          <w:szCs w:val="24"/>
        </w:rPr>
        <w:t xml:space="preserve">Clara</w:t>
      </w:r>
    </w:p>
    <w:p>
      <w:pPr>
        <w:spacing w:after="120" w:line="276"/>
      </w:pPr>
      <w:r>
        <w:rPr>
          <w:sz w:val="21"/>
          <w:szCs w:val="21"/>
        </w:rPr>
        <w:t xml:space="preserve">Document 12 of 13: Risk Register</w:t>
      </w:r>
    </w:p>
    <w:p>
      <w:pPr>
        <w:spacing w:after="120" w:line="276"/>
      </w:pPr>
      <w:r>
        <w:rPr>
          <w:sz w:val="21"/>
          <w:szCs w:val="21"/>
        </w:rPr>
        <w:t xml:space="preserve">Version 0.2 - Draft for Review</w:t>
      </w:r>
    </w:p>
    <w:p>
      <w:pPr>
        <w:spacing w:after="120" w:line="276"/>
      </w:pPr>
      <w:r>
        <w:rPr>
          <w:sz w:val="21"/>
          <w:szCs w:val="21"/>
        </w:rPr>
        <w:t xml:space="preserve">Author: Rafif Muhammad Ransi Anargya</w:t>
      </w:r>
    </w:p>
    <w:p>
      <w:pPr>
        <w:spacing w:after="260" w:line="276"/>
      </w:pPr>
      <w:r>
        <w:rPr>
          <w:sz w:val="21"/>
          <w:szCs w:val="21"/>
        </w:rPr>
        <w:t xml:space="preserve">Date: 21 September 2026</w:t>
      </w:r>
    </w:p>
    <w:p>
      <w:pPr>
        <w:pStyle w:val="Heading1"/>
        <w:spacing w:after="140" w:before="280"/>
      </w:pPr>
      <w:r>
        <w:rPr>
          <w:b/>
          <w:bCs/>
          <w:sz w:val="26"/>
          <w:szCs w:val="26"/>
        </w:rPr>
        <w:t xml:space="preserve">1. Purpose</w:t>
      </w:r>
    </w:p>
    <w:p>
      <w:pPr>
        <w:spacing w:after="120" w:line="276"/>
      </w:pPr>
      <w:r>
        <w:rPr>
          <w:sz w:val="22"/>
          <w:szCs w:val="22"/>
        </w:rPr>
        <w:t xml:space="preserve">This document tracks the specific risks identified during planning, so that each has a named owner and a review date rather than existing only as a paragraph in a strategy document. It replaces the register drafted for the withdrawn StellarStream direction; risks specific to that product have been removed rather than carried over for appearance.</w:t>
      </w:r>
    </w:p>
    <w:p>
      <w:pPr>
        <w:spacing w:after="140"/>
      </w:pPr>
      <w:r>
        <w:t xml:space="preserve"/>
      </w:r>
    </w:p>
    <w:tbl>
      <w:tblPr>
        <w:tblW w:type="dxa" w:w="9360"/>
        <w:tblBorders>
          <w:top w:val="single" w:color="BFC9C3" w:sz="4"/>
          <w:left w:val="single" w:color="BFC9C3" w:sz="4"/>
          <w:bottom w:val="single" w:color="BFC9C3" w:sz="4"/>
          <w:right w:val="single" w:color="BFC9C3" w:sz="4"/>
          <w:insideH w:val="single" w:color="D7DED9" w:sz="4"/>
          <w:insideV w:val="single" w:color="D7DED9" w:sz="4"/>
        </w:tblBorders>
      </w:tblPr>
      <w:tblGrid>
        <w:gridCol w:w="500"/>
        <w:gridCol w:w="2200"/>
        <w:gridCol w:w="900"/>
        <w:gridCol w:w="750"/>
        <w:gridCol w:w="2900"/>
        <w:gridCol w:w="800"/>
        <w:gridCol w:w="1310"/>
      </w:tblGrid>
      <w:tr>
        <w:trPr>
          <w:tblHeader/>
        </w:trPr>
        <w:tc>
          <w:tcPr>
            <w:tcW w:type="dxa" w:w="500"/>
            <w:shd w:fill="E7ECE6" w:val="clear"/>
            <w:tcMar>
              <w:top w:type="dxa" w:w="80"/>
              <w:left w:type="dxa" w:w="110"/>
              <w:bottom w:type="dxa" w:w="80"/>
              <w:right w:type="dxa" w:w="110"/>
            </w:tcMar>
          </w:tcPr>
          <w:p>
            <w:pPr>
              <w:spacing w:after="0" w:line="260"/>
            </w:pPr>
            <w:r>
              <w:rPr>
                <w:b/>
                <w:bCs/>
                <w:sz w:val="19"/>
                <w:szCs w:val="19"/>
              </w:rPr>
              <w:t xml:space="preserve">ID</w:t>
            </w:r>
          </w:p>
        </w:tc>
        <w:tc>
          <w:tcPr>
            <w:tcW w:type="dxa" w:w="2200"/>
            <w:shd w:fill="E7ECE6" w:val="clear"/>
            <w:tcMar>
              <w:top w:type="dxa" w:w="80"/>
              <w:left w:type="dxa" w:w="110"/>
              <w:bottom w:type="dxa" w:w="80"/>
              <w:right w:type="dxa" w:w="110"/>
            </w:tcMar>
          </w:tcPr>
          <w:p>
            <w:pPr>
              <w:spacing w:after="0" w:line="260"/>
            </w:pPr>
            <w:r>
              <w:rPr>
                <w:b/>
                <w:bCs/>
                <w:sz w:val="19"/>
                <w:szCs w:val="19"/>
              </w:rPr>
              <w:t xml:space="preserve">Risk</w:t>
            </w:r>
          </w:p>
        </w:tc>
        <w:tc>
          <w:tcPr>
            <w:tcW w:type="dxa" w:w="900"/>
            <w:shd w:fill="E7ECE6" w:val="clear"/>
            <w:tcMar>
              <w:top w:type="dxa" w:w="80"/>
              <w:left w:type="dxa" w:w="110"/>
              <w:bottom w:type="dxa" w:w="80"/>
              <w:right w:type="dxa" w:w="110"/>
            </w:tcMar>
          </w:tcPr>
          <w:p>
            <w:pPr>
              <w:spacing w:after="0" w:line="260"/>
            </w:pPr>
            <w:r>
              <w:rPr>
                <w:b/>
                <w:bCs/>
                <w:sz w:val="19"/>
                <w:szCs w:val="19"/>
              </w:rPr>
              <w:t xml:space="preserve">Likelihood</w:t>
            </w:r>
          </w:p>
        </w:tc>
        <w:tc>
          <w:tcPr>
            <w:tcW w:type="dxa" w:w="750"/>
            <w:shd w:fill="E7ECE6" w:val="clear"/>
            <w:tcMar>
              <w:top w:type="dxa" w:w="80"/>
              <w:left w:type="dxa" w:w="110"/>
              <w:bottom w:type="dxa" w:w="80"/>
              <w:right w:type="dxa" w:w="110"/>
            </w:tcMar>
          </w:tcPr>
          <w:p>
            <w:pPr>
              <w:spacing w:after="0" w:line="260"/>
            </w:pPr>
            <w:r>
              <w:rPr>
                <w:b/>
                <w:bCs/>
                <w:sz w:val="19"/>
                <w:szCs w:val="19"/>
              </w:rPr>
              <w:t xml:space="preserve">Impact</w:t>
            </w:r>
          </w:p>
        </w:tc>
        <w:tc>
          <w:tcPr>
            <w:tcW w:type="dxa" w:w="2900"/>
            <w:shd w:fill="E7ECE6" w:val="clear"/>
            <w:tcMar>
              <w:top w:type="dxa" w:w="80"/>
              <w:left w:type="dxa" w:w="110"/>
              <w:bottom w:type="dxa" w:w="80"/>
              <w:right w:type="dxa" w:w="110"/>
            </w:tcMar>
          </w:tcPr>
          <w:p>
            <w:pPr>
              <w:spacing w:after="0" w:line="260"/>
            </w:pPr>
            <w:r>
              <w:rPr>
                <w:b/>
                <w:bCs/>
                <w:sz w:val="19"/>
                <w:szCs w:val="19"/>
              </w:rPr>
              <w:t xml:space="preserve">Mitigation</w:t>
            </w:r>
          </w:p>
        </w:tc>
        <w:tc>
          <w:tcPr>
            <w:tcW w:type="dxa" w:w="800"/>
            <w:shd w:fill="E7ECE6" w:val="clear"/>
            <w:tcMar>
              <w:top w:type="dxa" w:w="80"/>
              <w:left w:type="dxa" w:w="110"/>
              <w:bottom w:type="dxa" w:w="80"/>
              <w:right w:type="dxa" w:w="110"/>
            </w:tcMar>
          </w:tcPr>
          <w:p>
            <w:pPr>
              <w:spacing w:after="0" w:line="260"/>
            </w:pPr>
            <w:r>
              <w:rPr>
                <w:b/>
                <w:bCs/>
                <w:sz w:val="19"/>
                <w:szCs w:val="19"/>
              </w:rPr>
              <w:t xml:space="preserve">Owner</w:t>
            </w:r>
          </w:p>
        </w:tc>
        <w:tc>
          <w:tcPr>
            <w:tcW w:type="dxa" w:w="1310"/>
            <w:shd w:fill="E7ECE6" w:val="clear"/>
            <w:tcMar>
              <w:top w:type="dxa" w:w="80"/>
              <w:left w:type="dxa" w:w="110"/>
              <w:bottom w:type="dxa" w:w="80"/>
              <w:right w:type="dxa" w:w="110"/>
            </w:tcMar>
          </w:tcPr>
          <w:p>
            <w:pPr>
              <w:spacing w:after="0" w:line="260"/>
            </w:pPr>
            <w:r>
              <w:rPr>
                <w:b/>
                <w:bCs/>
                <w:sz w:val="19"/>
                <w:szCs w:val="19"/>
              </w:rPr>
              <w:t xml:space="preserve">Next review</w:t>
            </w:r>
          </w:p>
        </w:tc>
      </w:tr>
      <w:tr>
        <w:tc>
          <w:tcPr>
            <w:tcW w:type="dxa" w:w="500"/>
            <w:tcMar>
              <w:top w:type="dxa" w:w="80"/>
              <w:left w:type="dxa" w:w="110"/>
              <w:bottom w:type="dxa" w:w="80"/>
              <w:right w:type="dxa" w:w="110"/>
            </w:tcMar>
          </w:tcPr>
          <w:p>
            <w:pPr>
              <w:spacing w:after="0" w:line="260"/>
            </w:pPr>
            <w:r>
              <w:rPr>
                <w:b w:val="false"/>
                <w:bCs w:val="false"/>
                <w:sz w:val="19"/>
                <w:szCs w:val="19"/>
              </w:rPr>
              <w:t xml:space="preserve">R1</w:t>
            </w:r>
          </w:p>
        </w:tc>
        <w:tc>
          <w:tcPr>
            <w:tcW w:type="dxa" w:w="2200"/>
            <w:tcMar>
              <w:top w:type="dxa" w:w="80"/>
              <w:left w:type="dxa" w:w="110"/>
              <w:bottom w:type="dxa" w:w="80"/>
              <w:right w:type="dxa" w:w="110"/>
            </w:tcMar>
          </w:tcPr>
          <w:p>
            <w:pPr>
              <w:spacing w:after="0" w:line="260"/>
            </w:pPr>
            <w:r>
              <w:rPr>
                <w:b w:val="false"/>
                <w:bCs w:val="false"/>
                <w:sz w:val="19"/>
                <w:szCs w:val="19"/>
              </w:rPr>
              <w:t xml:space="preserve">The upstream x402 discovery conventions change during the grant period, invalidating catalogue schema or endpoint design.</w:t>
            </w:r>
          </w:p>
        </w:tc>
        <w:tc>
          <w:tcPr>
            <w:tcW w:type="dxa" w:w="900"/>
            <w:tcMar>
              <w:top w:type="dxa" w:w="80"/>
              <w:left w:type="dxa" w:w="110"/>
              <w:bottom w:type="dxa" w:w="80"/>
              <w:right w:type="dxa" w:w="110"/>
            </w:tcMar>
          </w:tcPr>
          <w:p>
            <w:pPr>
              <w:spacing w:after="0" w:line="260"/>
            </w:pPr>
            <w:r>
              <w:rPr>
                <w:b w:val="false"/>
                <w:bCs w:val="false"/>
                <w:sz w:val="19"/>
                <w:szCs w:val="19"/>
              </w:rPr>
              <w:t xml:space="preserve">High</w:t>
            </w:r>
          </w:p>
        </w:tc>
        <w:tc>
          <w:tcPr>
            <w:tcW w:type="dxa" w:w="750"/>
            <w:tcMar>
              <w:top w:type="dxa" w:w="80"/>
              <w:left w:type="dxa" w:w="110"/>
              <w:bottom w:type="dxa" w:w="80"/>
              <w:right w:type="dxa" w:w="110"/>
            </w:tcMar>
          </w:tcPr>
          <w:p>
            <w:pPr>
              <w:spacing w:after="0" w:line="260"/>
            </w:pPr>
            <w:r>
              <w:rPr>
                <w:b w:val="false"/>
                <w:bCs w:val="false"/>
                <w:sz w:val="19"/>
                <w:szCs w:val="19"/>
              </w:rPr>
              <w:t xml:space="preserve">Medium</w:t>
            </w:r>
          </w:p>
        </w:tc>
        <w:tc>
          <w:tcPr>
            <w:tcW w:type="dxa" w:w="2900"/>
            <w:tcMar>
              <w:top w:type="dxa" w:w="80"/>
              <w:left w:type="dxa" w:w="110"/>
              <w:bottom w:type="dxa" w:w="80"/>
              <w:right w:type="dxa" w:w="110"/>
            </w:tcMar>
          </w:tcPr>
          <w:p>
            <w:pPr>
              <w:spacing w:after="0" w:line="260"/>
            </w:pPr>
            <w:r>
              <w:rPr>
                <w:b w:val="false"/>
                <w:bCs w:val="false"/>
                <w:sz w:val="19"/>
                <w:szCs w:val="19"/>
              </w:rPr>
              <w:t xml:space="preserve">Treated as expected rather than exceptional: the request for proposals requires tracking it. Isolate specification-dependent code behind an adapter; the Change Management Policy carries an explicit upstream-tracking clause.</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Monthly</w:t>
            </w:r>
          </w:p>
        </w:tc>
      </w:tr>
      <w:tr>
        <w:tc>
          <w:tcPr>
            <w:tcW w:type="dxa" w:w="500"/>
            <w:tcMar>
              <w:top w:type="dxa" w:w="80"/>
              <w:left w:type="dxa" w:w="110"/>
              <w:bottom w:type="dxa" w:w="80"/>
              <w:right w:type="dxa" w:w="110"/>
            </w:tcMar>
          </w:tcPr>
          <w:p>
            <w:pPr>
              <w:spacing w:after="0" w:line="260"/>
            </w:pPr>
            <w:r>
              <w:rPr>
                <w:b w:val="false"/>
                <w:bCs w:val="false"/>
                <w:sz w:val="19"/>
                <w:szCs w:val="19"/>
              </w:rPr>
              <w:t xml:space="preserve">R2</w:t>
            </w:r>
          </w:p>
        </w:tc>
        <w:tc>
          <w:tcPr>
            <w:tcW w:type="dxa" w:w="2200"/>
            <w:tcMar>
              <w:top w:type="dxa" w:w="80"/>
              <w:left w:type="dxa" w:w="110"/>
              <w:bottom w:type="dxa" w:w="80"/>
              <w:right w:type="dxa" w:w="110"/>
            </w:tcMar>
          </w:tcPr>
          <w:p>
            <w:pPr>
              <w:spacing w:after="0" w:line="260"/>
            </w:pPr>
            <w:r>
              <w:rPr>
                <w:b w:val="false"/>
                <w:bCs w:val="false"/>
                <w:sz w:val="19"/>
                <w:szCs w:val="19"/>
              </w:rPr>
              <w:t xml:space="preserve">An adjacent team ships a competing Stellar facilitator or discovery layer first.</w:t>
            </w:r>
          </w:p>
        </w:tc>
        <w:tc>
          <w:tcPr>
            <w:tcW w:type="dxa" w:w="900"/>
            <w:tcMar>
              <w:top w:type="dxa" w:w="80"/>
              <w:left w:type="dxa" w:w="110"/>
              <w:bottom w:type="dxa" w:w="80"/>
              <w:right w:type="dxa" w:w="110"/>
            </w:tcMar>
          </w:tcPr>
          <w:p>
            <w:pPr>
              <w:spacing w:after="0" w:line="260"/>
            </w:pPr>
            <w:r>
              <w:rPr>
                <w:b w:val="false"/>
                <w:bCs w:val="false"/>
                <w:sz w:val="19"/>
                <w:szCs w:val="19"/>
              </w:rPr>
              <w:t xml:space="preserve">Medium</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Confirm current scope of publicly active x402 work, specifically the TKCollective x402 research repository, before submission; prefer partnership over collision if scopes overlap.</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Before submission, then monthly</w:t>
            </w:r>
          </w:p>
        </w:tc>
      </w:tr>
      <w:tr>
        <w:tc>
          <w:tcPr>
            <w:tcW w:type="dxa" w:w="500"/>
            <w:tcMar>
              <w:top w:type="dxa" w:w="80"/>
              <w:left w:type="dxa" w:w="110"/>
              <w:bottom w:type="dxa" w:w="80"/>
              <w:right w:type="dxa" w:w="110"/>
            </w:tcMar>
          </w:tcPr>
          <w:p>
            <w:pPr>
              <w:spacing w:after="0" w:line="260"/>
            </w:pPr>
            <w:r>
              <w:rPr>
                <w:b w:val="false"/>
                <w:bCs w:val="false"/>
                <w:sz w:val="19"/>
                <w:szCs w:val="19"/>
              </w:rPr>
              <w:t xml:space="preserve">R3</w:t>
            </w:r>
          </w:p>
        </w:tc>
        <w:tc>
          <w:tcPr>
            <w:tcW w:type="dxa" w:w="2200"/>
            <w:tcMar>
              <w:top w:type="dxa" w:w="80"/>
              <w:left w:type="dxa" w:w="110"/>
              <w:bottom w:type="dxa" w:w="80"/>
              <w:right w:type="dxa" w:w="110"/>
            </w:tcMar>
          </w:tcPr>
          <w:p>
            <w:pPr>
              <w:spacing w:after="0" w:line="260"/>
            </w:pPr>
            <w:r>
              <w:rPr>
                <w:b w:val="false"/>
                <w:bCs w:val="false"/>
                <w:sz w:val="19"/>
                <w:szCs w:val="19"/>
              </w:rPr>
              <w:t xml:space="preserve">An AGPL-licensed component enters the dependency tree transitively and disqualifies the grant.</w:t>
            </w:r>
          </w:p>
        </w:tc>
        <w:tc>
          <w:tcPr>
            <w:tcW w:type="dxa" w:w="900"/>
            <w:tcMar>
              <w:top w:type="dxa" w:w="80"/>
              <w:left w:type="dxa" w:w="110"/>
              <w:bottom w:type="dxa" w:w="80"/>
              <w:right w:type="dxa" w:w="110"/>
            </w:tcMar>
          </w:tcPr>
          <w:p>
            <w:pPr>
              <w:spacing w:after="0" w:line="260"/>
            </w:pPr>
            <w:r>
              <w:rPr>
                <w:b w:val="false"/>
                <w:bCs w:val="false"/>
                <w:sz w:val="19"/>
                <w:szCs w:val="19"/>
              </w:rPr>
              <w:t xml:space="preserve">Medium</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Automated licence scanning of the full transitive tree in continuous integration, failing the build on any match; treated as a release blocker per the Test Plan and QA Strategy.</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Every release</w:t>
            </w:r>
          </w:p>
        </w:tc>
      </w:tr>
      <w:tr>
        <w:tc>
          <w:tcPr>
            <w:tcW w:type="dxa" w:w="500"/>
            <w:tcMar>
              <w:top w:type="dxa" w:w="80"/>
              <w:left w:type="dxa" w:w="110"/>
              <w:bottom w:type="dxa" w:w="80"/>
              <w:right w:type="dxa" w:w="110"/>
            </w:tcMar>
          </w:tcPr>
          <w:p>
            <w:pPr>
              <w:spacing w:after="0" w:line="260"/>
            </w:pPr>
            <w:r>
              <w:rPr>
                <w:b w:val="false"/>
                <w:bCs w:val="false"/>
                <w:sz w:val="19"/>
                <w:szCs w:val="19"/>
              </w:rPr>
              <w:t xml:space="preserve">R4</w:t>
            </w:r>
          </w:p>
        </w:tc>
        <w:tc>
          <w:tcPr>
            <w:tcW w:type="dxa" w:w="2200"/>
            <w:tcMar>
              <w:top w:type="dxa" w:w="80"/>
              <w:left w:type="dxa" w:w="110"/>
              <w:bottom w:type="dxa" w:w="80"/>
              <w:right w:type="dxa" w:w="110"/>
            </w:tcMar>
          </w:tcPr>
          <w:p>
            <w:pPr>
              <w:spacing w:after="0" w:line="260"/>
            </w:pPr>
            <w:r>
              <w:rPr>
                <w:b w:val="false"/>
                <w:bCs w:val="false"/>
                <w:sz w:val="19"/>
                <w:szCs w:val="19"/>
              </w:rPr>
              <w:t xml:space="preserve">Search relevance is graded below the acceptance bar, jeopardising the highest-value milestone.</w:t>
            </w:r>
          </w:p>
        </w:tc>
        <w:tc>
          <w:tcPr>
            <w:tcW w:type="dxa" w:w="900"/>
            <w:tcMar>
              <w:top w:type="dxa" w:w="80"/>
              <w:left w:type="dxa" w:w="110"/>
              <w:bottom w:type="dxa" w:w="80"/>
              <w:right w:type="dxa" w:w="110"/>
            </w:tcMar>
          </w:tcPr>
          <w:p>
            <w:pPr>
              <w:spacing w:after="0" w:line="260"/>
            </w:pPr>
            <w:r>
              <w:rPr>
                <w:b w:val="false"/>
                <w:bCs w:val="false"/>
                <w:sz w:val="19"/>
                <w:szCs w:val="19"/>
              </w:rPr>
              <w:t xml:space="preserve">Medium</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Held-out query set and precision-at-five measurement from the start of Phase 1, per the Test Plan and QA Strategy, so quality is known early rather than discovered at review.</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At each Phase 1 checkpoint</w:t>
            </w:r>
          </w:p>
        </w:tc>
      </w:tr>
      <w:tr>
        <w:tc>
          <w:tcPr>
            <w:tcW w:type="dxa" w:w="500"/>
            <w:tcMar>
              <w:top w:type="dxa" w:w="80"/>
              <w:left w:type="dxa" w:w="110"/>
              <w:bottom w:type="dxa" w:w="80"/>
              <w:right w:type="dxa" w:w="110"/>
            </w:tcMar>
          </w:tcPr>
          <w:p>
            <w:pPr>
              <w:spacing w:after="0" w:line="260"/>
            </w:pPr>
            <w:r>
              <w:rPr>
                <w:b w:val="false"/>
                <w:bCs w:val="false"/>
                <w:sz w:val="19"/>
                <w:szCs w:val="19"/>
              </w:rPr>
              <w:t xml:space="preserve">R5</w:t>
            </w:r>
          </w:p>
        </w:tc>
        <w:tc>
          <w:tcPr>
            <w:tcW w:type="dxa" w:w="2200"/>
            <w:tcMar>
              <w:top w:type="dxa" w:w="80"/>
              <w:left w:type="dxa" w:w="110"/>
              <w:bottom w:type="dxa" w:w="80"/>
              <w:right w:type="dxa" w:w="110"/>
            </w:tcMar>
          </w:tcPr>
          <w:p>
            <w:pPr>
              <w:spacing w:after="0" w:line="260"/>
            </w:pPr>
            <w:r>
              <w:rPr>
                <w:b w:val="false"/>
                <w:bCs w:val="false"/>
                <w:sz w:val="19"/>
                <w:szCs w:val="19"/>
              </w:rPr>
              <w:t xml:space="preserve">The third-party audit returns findings that delay the mainnet production tag.</w:t>
            </w:r>
          </w:p>
        </w:tc>
        <w:tc>
          <w:tcPr>
            <w:tcW w:type="dxa" w:w="900"/>
            <w:tcMar>
              <w:top w:type="dxa" w:w="80"/>
              <w:left w:type="dxa" w:w="110"/>
              <w:bottom w:type="dxa" w:w="80"/>
              <w:right w:type="dxa" w:w="110"/>
            </w:tcMar>
          </w:tcPr>
          <w:p>
            <w:pPr>
              <w:spacing w:after="0" w:line="260"/>
            </w:pPr>
            <w:r>
              <w:rPr>
                <w:b w:val="false"/>
                <w:bCs w:val="false"/>
                <w:sz w:val="19"/>
                <w:szCs w:val="19"/>
              </w:rPr>
              <w:t xml:space="preserve">Medium</w:t>
            </w:r>
          </w:p>
        </w:tc>
        <w:tc>
          <w:tcPr>
            <w:tcW w:type="dxa" w:w="750"/>
            <w:tcMar>
              <w:top w:type="dxa" w:w="80"/>
              <w:left w:type="dxa" w:w="110"/>
              <w:bottom w:type="dxa" w:w="80"/>
              <w:right w:type="dxa" w:w="110"/>
            </w:tcMar>
          </w:tcPr>
          <w:p>
            <w:pPr>
              <w:spacing w:after="0" w:line="260"/>
            </w:pPr>
            <w:r>
              <w:rPr>
                <w:b w:val="false"/>
                <w:bCs w:val="false"/>
                <w:sz w:val="19"/>
                <w:szCs w:val="19"/>
              </w:rPr>
              <w:t xml:space="preserve">Medium</w:t>
            </w:r>
          </w:p>
        </w:tc>
        <w:tc>
          <w:tcPr>
            <w:tcW w:type="dxa" w:w="2900"/>
            <w:tcMar>
              <w:top w:type="dxa" w:w="80"/>
              <w:left w:type="dxa" w:w="110"/>
              <w:bottom w:type="dxa" w:w="80"/>
              <w:right w:type="dxa" w:w="110"/>
            </w:tcMar>
          </w:tcPr>
          <w:p>
            <w:pPr>
              <w:spacing w:after="0" w:line="260"/>
            </w:pPr>
            <w:r>
              <w:rPr>
                <w:b w:val="false"/>
                <w:bCs w:val="false"/>
                <w:sz w:val="19"/>
                <w:szCs w:val="19"/>
              </w:rPr>
              <w:t xml:space="preserve">Engage the Audit Bank early rather than at the end of Phase 2; run the validation negative-test suite continuously so that the audit encounters few first-time findings.</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At Phase 2 entry</w:t>
            </w:r>
          </w:p>
        </w:tc>
      </w:tr>
      <w:tr>
        <w:tc>
          <w:tcPr>
            <w:tcW w:type="dxa" w:w="500"/>
            <w:tcMar>
              <w:top w:type="dxa" w:w="80"/>
              <w:left w:type="dxa" w:w="110"/>
              <w:bottom w:type="dxa" w:w="80"/>
              <w:right w:type="dxa" w:w="110"/>
            </w:tcMar>
          </w:tcPr>
          <w:p>
            <w:pPr>
              <w:spacing w:after="0" w:line="260"/>
            </w:pPr>
            <w:r>
              <w:rPr>
                <w:b w:val="false"/>
                <w:bCs w:val="false"/>
                <w:sz w:val="19"/>
                <w:szCs w:val="19"/>
              </w:rPr>
              <w:t xml:space="preserve">R6</w:t>
            </w:r>
          </w:p>
        </w:tc>
        <w:tc>
          <w:tcPr>
            <w:tcW w:type="dxa" w:w="2200"/>
            <w:tcMar>
              <w:top w:type="dxa" w:w="80"/>
              <w:left w:type="dxa" w:w="110"/>
              <w:bottom w:type="dxa" w:w="80"/>
              <w:right w:type="dxa" w:w="110"/>
            </w:tcMar>
          </w:tcPr>
          <w:p>
            <w:pPr>
              <w:spacing w:after="0" w:line="260"/>
            </w:pPr>
            <w:r>
              <w:rPr>
                <w:b w:val="false"/>
                <w:bCs w:val="false"/>
                <w:sz w:val="19"/>
                <w:szCs w:val="19"/>
              </w:rPr>
              <w:t xml:space="preserve">A validation defect accepts an invalid payment, causing a seller to lose money and Clara to lose trust.</w:t>
            </w:r>
          </w:p>
        </w:tc>
        <w:tc>
          <w:tcPr>
            <w:tcW w:type="dxa" w:w="900"/>
            <w:tcMar>
              <w:top w:type="dxa" w:w="80"/>
              <w:left w:type="dxa" w:w="110"/>
              <w:bottom w:type="dxa" w:w="80"/>
              <w:right w:type="dxa" w:w="110"/>
            </w:tcMar>
          </w:tcPr>
          <w:p>
            <w:pPr>
              <w:spacing w:after="0" w:line="260"/>
            </w:pPr>
            <w:r>
              <w:rPr>
                <w:b w:val="false"/>
                <w:bCs w:val="false"/>
                <w:sz w:val="19"/>
                <w:szCs w:val="19"/>
              </w:rPr>
              <w:t xml:space="preserve">Low</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Exact-match validation on every field with no tolerance bands; negative-test-first development of the validator; simulation before submission; independent audit of this specific path.</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Every release</w:t>
            </w:r>
          </w:p>
        </w:tc>
      </w:tr>
      <w:tr>
        <w:tc>
          <w:tcPr>
            <w:tcW w:type="dxa" w:w="500"/>
            <w:tcMar>
              <w:top w:type="dxa" w:w="80"/>
              <w:left w:type="dxa" w:w="110"/>
              <w:bottom w:type="dxa" w:w="80"/>
              <w:right w:type="dxa" w:w="110"/>
            </w:tcMar>
          </w:tcPr>
          <w:p>
            <w:pPr>
              <w:spacing w:after="0" w:line="260"/>
            </w:pPr>
            <w:r>
              <w:rPr>
                <w:b w:val="false"/>
                <w:bCs w:val="false"/>
                <w:sz w:val="19"/>
                <w:szCs w:val="19"/>
              </w:rPr>
              <w:t xml:space="preserve">R7</w:t>
            </w:r>
          </w:p>
        </w:tc>
        <w:tc>
          <w:tcPr>
            <w:tcW w:type="dxa" w:w="2200"/>
            <w:tcMar>
              <w:top w:type="dxa" w:w="80"/>
              <w:left w:type="dxa" w:w="110"/>
              <w:bottom w:type="dxa" w:w="80"/>
              <w:right w:type="dxa" w:w="110"/>
            </w:tcMar>
          </w:tcPr>
          <w:p>
            <w:pPr>
              <w:spacing w:after="0" w:line="260"/>
            </w:pPr>
            <w:r>
              <w:rPr>
                <w:b w:val="false"/>
                <w:bCs w:val="false"/>
                <w:sz w:val="19"/>
                <w:szCs w:val="19"/>
              </w:rPr>
              <w:t xml:space="preserve">Regulatory reclassification: operating a non-custodial facilitator is treated as a regulated activity in a target jurisdiction.</w:t>
            </w:r>
          </w:p>
        </w:tc>
        <w:tc>
          <w:tcPr>
            <w:tcW w:type="dxa" w:w="900"/>
            <w:tcMar>
              <w:top w:type="dxa" w:w="80"/>
              <w:left w:type="dxa" w:w="110"/>
              <w:bottom w:type="dxa" w:w="80"/>
              <w:right w:type="dxa" w:w="110"/>
            </w:tcMar>
          </w:tcPr>
          <w:p>
            <w:pPr>
              <w:spacing w:after="0" w:line="260"/>
            </w:pPr>
            <w:r>
              <w:rPr>
                <w:b w:val="false"/>
                <w:bCs w:val="false"/>
                <w:sz w:val="19"/>
                <w:szCs w:val="19"/>
              </w:rPr>
              <w:t xml:space="preserve">Low</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Obtain qualified legal analysis before any pubnet launch carrying third-party volume, per the Data Privacy and Compliance Note; the non-custodial architecture is a deliberate mitigation but not a legal conclusion.</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Before pubnet launch</w:t>
            </w:r>
          </w:p>
        </w:tc>
      </w:tr>
      <w:tr>
        <w:tc>
          <w:tcPr>
            <w:tcW w:type="dxa" w:w="500"/>
            <w:tcMar>
              <w:top w:type="dxa" w:w="80"/>
              <w:left w:type="dxa" w:w="110"/>
              <w:bottom w:type="dxa" w:w="80"/>
              <w:right w:type="dxa" w:w="110"/>
            </w:tcMar>
          </w:tcPr>
          <w:p>
            <w:pPr>
              <w:spacing w:after="0" w:line="260"/>
            </w:pPr>
            <w:r>
              <w:rPr>
                <w:b w:val="false"/>
                <w:bCs w:val="false"/>
                <w:sz w:val="19"/>
                <w:szCs w:val="19"/>
              </w:rPr>
              <w:t xml:space="preserve">R8</w:t>
            </w:r>
          </w:p>
        </w:tc>
        <w:tc>
          <w:tcPr>
            <w:tcW w:type="dxa" w:w="2200"/>
            <w:tcMar>
              <w:top w:type="dxa" w:w="80"/>
              <w:left w:type="dxa" w:w="110"/>
              <w:bottom w:type="dxa" w:w="80"/>
              <w:right w:type="dxa" w:w="110"/>
            </w:tcMar>
          </w:tcPr>
          <w:p>
            <w:pPr>
              <w:spacing w:after="0" w:line="260"/>
            </w:pPr>
            <w:r>
              <w:rPr>
                <w:b w:val="false"/>
                <w:bCs w:val="false"/>
                <w:sz w:val="19"/>
                <w:szCs w:val="19"/>
              </w:rPr>
              <w:t xml:space="preserve">Catalogue abuse at scale: spam, impersonation, or listings hostile to consuming agents overwhelm integrity checks.</w:t>
            </w:r>
          </w:p>
        </w:tc>
        <w:tc>
          <w:tcPr>
            <w:tcW w:type="dxa" w:w="900"/>
            <w:tcMar>
              <w:top w:type="dxa" w:w="80"/>
              <w:left w:type="dxa" w:w="110"/>
              <w:bottom w:type="dxa" w:w="80"/>
              <w:right w:type="dxa" w:w="110"/>
            </w:tcMar>
          </w:tcPr>
          <w:p>
            <w:pPr>
              <w:spacing w:after="0" w:line="260"/>
            </w:pPr>
            <w:r>
              <w:rPr>
                <w:b w:val="false"/>
                <w:bCs w:val="false"/>
                <w:sz w:val="19"/>
                <w:szCs w:val="19"/>
              </w:rPr>
              <w:t xml:space="preserve">Medium</w:t>
            </w:r>
          </w:p>
        </w:tc>
        <w:tc>
          <w:tcPr>
            <w:tcW w:type="dxa" w:w="750"/>
            <w:tcMar>
              <w:top w:type="dxa" w:w="80"/>
              <w:left w:type="dxa" w:w="110"/>
              <w:bottom w:type="dxa" w:w="80"/>
              <w:right w:type="dxa" w:w="110"/>
            </w:tcMar>
          </w:tcPr>
          <w:p>
            <w:pPr>
              <w:spacing w:after="0" w:line="260"/>
            </w:pPr>
            <w:r>
              <w:rPr>
                <w:b w:val="false"/>
                <w:bCs w:val="false"/>
                <w:sz w:val="19"/>
                <w:szCs w:val="19"/>
              </w:rPr>
              <w:t xml:space="preserve">Medium</w:t>
            </w:r>
          </w:p>
        </w:tc>
        <w:tc>
          <w:tcPr>
            <w:tcW w:type="dxa" w:w="2900"/>
            <w:tcMar>
              <w:top w:type="dxa" w:w="80"/>
              <w:left w:type="dxa" w:w="110"/>
              <w:bottom w:type="dxa" w:w="80"/>
              <w:right w:type="dxa" w:w="110"/>
            </w:tcMar>
          </w:tcPr>
          <w:p>
            <w:pPr>
              <w:spacing w:after="0" w:line="260"/>
            </w:pPr>
            <w:r>
              <w:rPr>
                <w:b w:val="false"/>
                <w:bCs w:val="false"/>
                <w:sz w:val="19"/>
                <w:szCs w:val="19"/>
              </w:rPr>
              <w:t xml:space="preserve">Quarantine-by-default for failed checks, per-key attribution and bulk quarantine, periodic revalidation of live listings, and the takedown procedure in the Runbook and Operations Manual.</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Quarterly</w:t>
            </w:r>
          </w:p>
        </w:tc>
      </w:tr>
      <w:tr>
        <w:tc>
          <w:tcPr>
            <w:tcW w:type="dxa" w:w="500"/>
            <w:tcMar>
              <w:top w:type="dxa" w:w="80"/>
              <w:left w:type="dxa" w:w="110"/>
              <w:bottom w:type="dxa" w:w="80"/>
              <w:right w:type="dxa" w:w="110"/>
            </w:tcMar>
          </w:tcPr>
          <w:p>
            <w:pPr>
              <w:spacing w:after="0" w:line="260"/>
            </w:pPr>
            <w:r>
              <w:rPr>
                <w:b w:val="false"/>
                <w:bCs w:val="false"/>
                <w:sz w:val="19"/>
                <w:szCs w:val="19"/>
              </w:rPr>
              <w:t xml:space="preserve">R9</w:t>
            </w:r>
          </w:p>
        </w:tc>
        <w:tc>
          <w:tcPr>
            <w:tcW w:type="dxa" w:w="2200"/>
            <w:tcMar>
              <w:top w:type="dxa" w:w="80"/>
              <w:left w:type="dxa" w:w="110"/>
              <w:bottom w:type="dxa" w:w="80"/>
              <w:right w:type="dxa" w:w="110"/>
            </w:tcMar>
          </w:tcPr>
          <w:p>
            <w:pPr>
              <w:spacing w:after="0" w:line="260"/>
            </w:pPr>
            <w:r>
              <w:rPr>
                <w:b w:val="false"/>
                <w:bCs w:val="false"/>
                <w:sz w:val="19"/>
                <w:szCs w:val="19"/>
              </w:rPr>
              <w:t xml:space="preserve">Agent-payment demand on Stellar does not materialise at a scale that sustains the service commercially.</w:t>
            </w:r>
          </w:p>
        </w:tc>
        <w:tc>
          <w:tcPr>
            <w:tcW w:type="dxa" w:w="900"/>
            <w:tcMar>
              <w:top w:type="dxa" w:w="80"/>
              <w:left w:type="dxa" w:w="110"/>
              <w:bottom w:type="dxa" w:w="80"/>
              <w:right w:type="dxa" w:w="110"/>
            </w:tcMar>
          </w:tcPr>
          <w:p>
            <w:pPr>
              <w:spacing w:after="0" w:line="260"/>
            </w:pPr>
            <w:r>
              <w:rPr>
                <w:b w:val="false"/>
                <w:bCs w:val="false"/>
                <w:sz w:val="19"/>
                <w:szCs w:val="19"/>
              </w:rPr>
              <w:t xml:space="preserve">Medium</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Track catalogue size, settlement volume, and unique paying agents quarterly against the Business Case assumptions; the grant funds the build, so commercial viability is tested before, not after, operating costs scale.</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Quarterly</w:t>
            </w:r>
          </w:p>
        </w:tc>
      </w:tr>
      <w:tr>
        <w:tc>
          <w:tcPr>
            <w:tcW w:type="dxa" w:w="500"/>
            <w:tcMar>
              <w:top w:type="dxa" w:w="80"/>
              <w:left w:type="dxa" w:w="110"/>
              <w:bottom w:type="dxa" w:w="80"/>
              <w:right w:type="dxa" w:w="110"/>
            </w:tcMar>
          </w:tcPr>
          <w:p>
            <w:pPr>
              <w:spacing w:after="0" w:line="260"/>
            </w:pPr>
            <w:r>
              <w:rPr>
                <w:b w:val="false"/>
                <w:bCs w:val="false"/>
                <w:sz w:val="19"/>
                <w:szCs w:val="19"/>
              </w:rPr>
              <w:t xml:space="preserve">R10</w:t>
            </w:r>
          </w:p>
        </w:tc>
        <w:tc>
          <w:tcPr>
            <w:tcW w:type="dxa" w:w="2200"/>
            <w:tcMar>
              <w:top w:type="dxa" w:w="80"/>
              <w:left w:type="dxa" w:w="110"/>
              <w:bottom w:type="dxa" w:w="80"/>
              <w:right w:type="dxa" w:w="110"/>
            </w:tcMar>
          </w:tcPr>
          <w:p>
            <w:pPr>
              <w:spacing w:after="0" w:line="260"/>
            </w:pPr>
            <w:r>
              <w:rPr>
                <w:b w:val="false"/>
                <w:bCs w:val="false"/>
                <w:sz w:val="19"/>
                <w:szCs w:val="19"/>
              </w:rPr>
              <w:t xml:space="preserve">Grant funding is delayed, reduced, or not renewed beyond the initial tranches.</w:t>
            </w:r>
          </w:p>
        </w:tc>
        <w:tc>
          <w:tcPr>
            <w:tcW w:type="dxa" w:w="900"/>
            <w:tcMar>
              <w:top w:type="dxa" w:w="80"/>
              <w:left w:type="dxa" w:w="110"/>
              <w:bottom w:type="dxa" w:w="80"/>
              <w:right w:type="dxa" w:w="110"/>
            </w:tcMar>
          </w:tcPr>
          <w:p>
            <w:pPr>
              <w:spacing w:after="0" w:line="260"/>
            </w:pPr>
            <w:r>
              <w:rPr>
                <w:b w:val="false"/>
                <w:bCs w:val="false"/>
                <w:sz w:val="19"/>
                <w:szCs w:val="19"/>
              </w:rPr>
              <w:t xml:space="preserve">Low</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Sequence spending to each tranche milestone rather than the full award; treat Phase 2 as conditional on tranche release.</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At each tranche milestone</w:t>
            </w:r>
          </w:p>
        </w:tc>
      </w:tr>
      <w:tr>
        <w:tc>
          <w:tcPr>
            <w:tcW w:type="dxa" w:w="500"/>
            <w:tcMar>
              <w:top w:type="dxa" w:w="80"/>
              <w:left w:type="dxa" w:w="110"/>
              <w:bottom w:type="dxa" w:w="80"/>
              <w:right w:type="dxa" w:w="110"/>
            </w:tcMar>
          </w:tcPr>
          <w:p>
            <w:pPr>
              <w:spacing w:after="0" w:line="260"/>
            </w:pPr>
            <w:r>
              <w:rPr>
                <w:b w:val="false"/>
                <w:bCs w:val="false"/>
                <w:sz w:val="19"/>
                <w:szCs w:val="19"/>
              </w:rPr>
              <w:t xml:space="preserve">R11</w:t>
            </w:r>
          </w:p>
        </w:tc>
        <w:tc>
          <w:tcPr>
            <w:tcW w:type="dxa" w:w="2200"/>
            <w:tcMar>
              <w:top w:type="dxa" w:w="80"/>
              <w:left w:type="dxa" w:w="110"/>
              <w:bottom w:type="dxa" w:w="80"/>
              <w:right w:type="dxa" w:w="110"/>
            </w:tcMar>
          </w:tcPr>
          <w:p>
            <w:pPr>
              <w:spacing w:after="0" w:line="260"/>
            </w:pPr>
            <w:r>
              <w:rPr>
                <w:b w:val="false"/>
                <w:bCs w:val="false"/>
                <w:sz w:val="19"/>
                <w:szCs w:val="19"/>
              </w:rPr>
              <w:t xml:space="preserve">Key-person dependency: the project currently has a single primary contributor.</w:t>
            </w:r>
          </w:p>
        </w:tc>
        <w:tc>
          <w:tcPr>
            <w:tcW w:type="dxa" w:w="900"/>
            <w:tcMar>
              <w:top w:type="dxa" w:w="80"/>
              <w:left w:type="dxa" w:w="110"/>
              <w:bottom w:type="dxa" w:w="80"/>
              <w:right w:type="dxa" w:w="110"/>
            </w:tcMar>
          </w:tcPr>
          <w:p>
            <w:pPr>
              <w:spacing w:after="0" w:line="260"/>
            </w:pPr>
            <w:r>
              <w:rPr>
                <w:b w:val="false"/>
                <w:bCs w:val="false"/>
                <w:sz w:val="19"/>
                <w:szCs w:val="19"/>
              </w:rPr>
              <w:t xml:space="preserve">High</w:t>
            </w:r>
          </w:p>
        </w:tc>
        <w:tc>
          <w:tcPr>
            <w:tcW w:type="dxa" w:w="750"/>
            <w:tcMar>
              <w:top w:type="dxa" w:w="80"/>
              <w:left w:type="dxa" w:w="110"/>
              <w:bottom w:type="dxa" w:w="80"/>
              <w:right w:type="dxa" w:w="110"/>
            </w:tcMar>
          </w:tcPr>
          <w:p>
            <w:pPr>
              <w:spacing w:after="0" w:line="260"/>
            </w:pPr>
            <w:r>
              <w:rPr>
                <w:b w:val="false"/>
                <w:bCs w:val="false"/>
                <w:sz w:val="19"/>
                <w:szCs w:val="19"/>
              </w:rPr>
              <w:t xml:space="preserve">High</w:t>
            </w:r>
          </w:p>
        </w:tc>
        <w:tc>
          <w:tcPr>
            <w:tcW w:type="dxa" w:w="2900"/>
            <w:tcMar>
              <w:top w:type="dxa" w:w="80"/>
              <w:left w:type="dxa" w:w="110"/>
              <w:bottom w:type="dxa" w:w="80"/>
              <w:right w:type="dxa" w:w="110"/>
            </w:tcMar>
          </w:tcPr>
          <w:p>
            <w:pPr>
              <w:spacing w:after="0" w:line="260"/>
            </w:pPr>
            <w:r>
              <w:rPr>
                <w:b w:val="false"/>
                <w:bCs w:val="false"/>
                <w:sz w:val="19"/>
                <w:szCs w:val="19"/>
              </w:rPr>
              <w:t xml:space="preserve">Document architecture and operations thoroughly, as in this document set, specifically so the project is not solely dependent on one person's undocumented knowledge.</w:t>
            </w:r>
          </w:p>
        </w:tc>
        <w:tc>
          <w:tcPr>
            <w:tcW w:type="dxa" w:w="800"/>
            <w:tcMar>
              <w:top w:type="dxa" w:w="80"/>
              <w:left w:type="dxa" w:w="110"/>
              <w:bottom w:type="dxa" w:w="80"/>
              <w:right w:type="dxa" w:w="110"/>
            </w:tcMar>
          </w:tcPr>
          <w:p>
            <w:pPr>
              <w:spacing w:after="0" w:line="260"/>
            </w:pPr>
            <w:r>
              <w:rPr>
                <w:b w:val="false"/>
                <w:bCs w:val="false"/>
                <w:sz w:val="19"/>
                <w:szCs w:val="19"/>
              </w:rPr>
              <w:t xml:space="preserve">Rafif</w:t>
            </w:r>
          </w:p>
        </w:tc>
        <w:tc>
          <w:tcPr>
            <w:tcW w:type="dxa" w:w="1310"/>
            <w:tcMar>
              <w:top w:type="dxa" w:w="80"/>
              <w:left w:type="dxa" w:w="110"/>
              <w:bottom w:type="dxa" w:w="80"/>
              <w:right w:type="dxa" w:w="110"/>
            </w:tcMar>
          </w:tcPr>
          <w:p>
            <w:pPr>
              <w:spacing w:after="0" w:line="260"/>
            </w:pPr>
            <w:r>
              <w:rPr>
                <w:b w:val="false"/>
                <w:bCs w:val="false"/>
                <w:sz w:val="19"/>
                <w:szCs w:val="19"/>
              </w:rPr>
              <w:t xml:space="preserve">Quarterly</w:t>
            </w:r>
          </w:p>
        </w:tc>
      </w:tr>
    </w:tbl>
    <w:p>
      <w:pPr>
        <w:spacing w:after="140"/>
      </w:pPr>
      <w:r>
        <w:t xml:space="preserve"/>
      </w:r>
    </w:p>
    <w:p>
      <w:pPr>
        <w:spacing w:after="120" w:line="276"/>
      </w:pPr>
      <w:r>
        <w:rPr>
          <w:i/>
          <w:iCs/>
          <w:sz w:val="20"/>
          <w:szCs w:val="20"/>
        </w:rPr>
        <w:t xml:space="preserve">Risks carried forward from the StellarStream register with their substance changed: the former R1, concerning SDF extending its own tooling to remove the need for the product, now appears as R2 in the form it actually takes for this product, which is a competing facilitator rather than a first-party streaming feature. The former R3, concerning operational capacity for always-on infrastructure, is retained in substance through the phase sequencing described in the Product Requirements Document, but is no longer listed as a standalone risk because Clara's settlement path is stateless request-response rather than a continuously ingesting process, which materially reduces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Register - Clara</dc:title>
  <dc:creator>Rafif Muhammad Ransi Anargya</dc:creator>
  <dc:description>Clara: Document 12 of 13</dc:description>
  <cp:lastModifiedBy>Un-named</cp:lastModifiedBy>
  <cp:revision>1</cp:revision>
  <dcterms:created xsi:type="dcterms:W3CDTF">2026-09-21T00:29:09.066Z</dcterms:created>
  <dcterms:modified xsi:type="dcterms:W3CDTF">2026-09-21T00:29:09.066Z</dcterms:modified>
</cp:coreProperties>
</file>

<file path=docProps/custom.xml><?xml version="1.0" encoding="utf-8"?>
<Properties xmlns="http://schemas.openxmlformats.org/officeDocument/2006/custom-properties" xmlns:vt="http://schemas.openxmlformats.org/officeDocument/2006/docPropsVTypes"/>
</file>