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44"/>
          <w:szCs w:val="44"/>
        </w:rPr>
        <w:t xml:space="preserve">Business Case</w:t>
      </w:r>
    </w:p>
    <w:p>
      <w:pPr>
        <w:spacing w:after="40" w:line="240" w:lineRule="auto"/>
        <w:jc w:val="center"/>
      </w:pPr>
      <w:r>
        <w:rPr>
          <w:rFonts w:ascii="Calibri" w:cs="Calibri" w:eastAsia="Calibri" w:hAnsi="Calibri"/>
          <w:i/>
          <w:iCs/>
          <w:color w:val="000000"/>
          <w:sz w:val="22"/>
          <w:szCs w:val="22"/>
        </w:rPr>
        <w:t xml:space="preserve">StellarStream (working title)</w:t>
      </w:r>
    </w:p>
    <w:p>
      <w:pPr>
        <w:spacing w:after="40" w:line="240" w:lineRule="auto"/>
        <w:jc w:val="center"/>
      </w:pPr>
      <w:r>
        <w:rPr>
          <w:rFonts w:ascii="Calibri" w:cs="Calibri" w:eastAsia="Calibri" w:hAnsi="Calibri"/>
          <w:i/>
          <w:iCs/>
          <w:color w:val="000000"/>
          <w:sz w:val="22"/>
          <w:szCs w:val="22"/>
        </w:rPr>
        <w:t xml:space="preserve">Document 1 of 13: Business Case</w:t>
      </w:r>
    </w:p>
    <w:p>
      <w:pPr>
        <w:spacing w:after="40" w:line="240" w:lineRule="auto"/>
        <w:jc w:val="center"/>
      </w:pPr>
      <w:r>
        <w:rPr>
          <w:rFonts w:ascii="Calibri" w:cs="Calibri" w:eastAsia="Calibri" w:hAnsi="Calibri"/>
          <w:i/>
          <w:iCs/>
          <w:color w:val="000000"/>
          <w:sz w:val="22"/>
          <w:szCs w:val="22"/>
        </w:rPr>
        <w:t xml:space="preserve">Version 0.1 - Draft for Review</w:t>
      </w:r>
    </w:p>
    <w:p>
      <w:pPr>
        <w:spacing w:after="40" w:line="240" w:lineRule="auto"/>
        <w:jc w:val="center"/>
      </w:pPr>
      <w:r>
        <w:rPr>
          <w:rFonts w:ascii="Calibri" w:cs="Calibri" w:eastAsia="Calibri" w:hAnsi="Calibri"/>
          <w:i/>
          <w:iCs/>
          <w:color w:val="000000"/>
          <w:sz w:val="22"/>
          <w:szCs w:val="22"/>
        </w:rPr>
        <w:t xml:space="preserve">Author: Rafif Muhammad Ransi Anargya</w:t>
      </w:r>
    </w:p>
    <w:p>
      <w:pPr>
        <w:spacing w:after="40" w:line="240" w:lineRule="auto"/>
        <w:jc w:val="center"/>
      </w:pPr>
      <w:r>
        <w:rPr>
          <w:rFonts w:ascii="Calibri" w:cs="Calibri" w:eastAsia="Calibri" w:hAnsi="Calibri"/>
          <w:i/>
          <w:iCs/>
          <w:color w:val="000000"/>
          <w:sz w:val="22"/>
          <w:szCs w:val="22"/>
        </w:rPr>
        <w:t xml:space="preserve">Date: 15 September 2026</w:t>
      </w:r>
    </w:p>
    <w:p>
      <w:pPr>
        <w:spacing w:after="200"/>
      </w:pPr>
      <w:r>
        <w:rPr>
          <w:rFonts w:ascii="Calibri" w:cs="Calibri" w:eastAsia="Calibri" w:hAnsi="Calibri"/>
          <w:sz w:val="24"/>
          <w:szCs w:val="24"/>
        </w:rPr>
        <w:t xml:space="preserve"/>
      </w:r>
    </w:p>
    <w:p>
      <w:pPr>
        <w:pStyle w:val="Heading1"/>
        <w:spacing w:after="160" w:before="320" w:line="240" w:lineRule="auto"/>
      </w:pPr>
      <w:r>
        <w:rPr>
          <w:rFonts w:ascii="Calibri" w:cs="Calibri" w:eastAsia="Calibri" w:hAnsi="Calibri"/>
          <w:b/>
          <w:bCs/>
          <w:color w:val="000000"/>
          <w:sz w:val="30"/>
          <w:szCs w:val="30"/>
        </w:rPr>
        <w:t xml:space="preserve">1. Purpose</w:t>
      </w:r>
    </w:p>
    <w:p>
      <w:pPr>
        <w:spacing w:after="160" w:line="240" w:lineRule="auto"/>
        <w:jc w:val="both"/>
      </w:pPr>
      <w:r>
        <w:rPr>
          <w:rFonts w:ascii="Calibri" w:cs="Calibri" w:eastAsia="Calibri" w:hAnsi="Calibri"/>
          <w:color w:val="000000"/>
          <w:sz w:val="24"/>
          <w:szCs w:val="24"/>
        </w:rPr>
        <w:t xml:space="preserve">This document establishes the business justification for building StellarStream, a real-time event-streaming infrastructure service for the Stellar network, before engineering effort is committed to its design and construction.</w:t>
      </w:r>
    </w:p>
    <w:p>
      <w:pPr>
        <w:pStyle w:val="Heading1"/>
        <w:spacing w:after="160" w:before="320" w:line="240" w:lineRule="auto"/>
      </w:pPr>
      <w:r>
        <w:rPr>
          <w:rFonts w:ascii="Calibri" w:cs="Calibri" w:eastAsia="Calibri" w:hAnsi="Calibri"/>
          <w:b/>
          <w:bCs/>
          <w:color w:val="000000"/>
          <w:sz w:val="30"/>
          <w:szCs w:val="30"/>
        </w:rPr>
        <w:t xml:space="preserve">2. Problem Statement</w:t>
      </w:r>
    </w:p>
    <w:p>
      <w:pPr>
        <w:spacing w:after="160" w:line="240" w:lineRule="auto"/>
        <w:jc w:val="both"/>
      </w:pPr>
      <w:r>
        <w:rPr>
          <w:rFonts w:ascii="Calibri" w:cs="Calibri" w:eastAsia="Calibri" w:hAnsi="Calibri"/>
          <w:color w:val="000000"/>
          <w:sz w:val="24"/>
          <w:szCs w:val="24"/>
        </w:rPr>
        <w:t xml:space="preserve">Stellar's primary RPC interface exposes on-chain events through a poll-based method, getEvents, which requires a client to repeatedly request a ledger range rather than receiving updates as they occur. This method retains events for 24 hours by default and permits queries across a maximum window of 7 days of recent ledgers. No service in the current Stellar ecosystem provides a dedicated, low-latency, filtered push subscription layer comparable to what exists on other networks.</w:t>
      </w:r>
    </w:p>
    <w:p>
      <w:pPr>
        <w:pStyle w:val="Heading2"/>
        <w:spacing w:after="120" w:before="240" w:line="240" w:lineRule="auto"/>
      </w:pPr>
      <w:r>
        <w:rPr>
          <w:rFonts w:ascii="Calibri" w:cs="Calibri" w:eastAsia="Calibri" w:hAnsi="Calibri"/>
          <w:b/>
          <w:bCs/>
          <w:color w:val="000000"/>
          <w:sz w:val="26"/>
          <w:szCs w:val="26"/>
        </w:rPr>
        <w:t xml:space="preserve">2.1 Existing alternatives reviewed</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1800"/>
        <w:gridCol w:w="2900"/>
        <w:gridCol w:w="2826"/>
      </w:tblGrid>
      <w:tr>
        <w:trPr>
          <w:tblHeader/>
        </w:trPr>
        <w:tc>
          <w:tcPr>
            <w:tcW w:type="dxa" w:w="15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Service</w:t>
            </w:r>
          </w:p>
        </w:tc>
        <w:tc>
          <w:tcPr>
            <w:tcW w:type="dxa" w:w="18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Provider</w:t>
            </w:r>
          </w:p>
        </w:tc>
        <w:tc>
          <w:tcPr>
            <w:tcW w:type="dxa" w:w="29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Function</w:t>
            </w:r>
          </w:p>
        </w:tc>
        <w:tc>
          <w:tcPr>
            <w:tcW w:type="dxa" w:w="2826"/>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Gap relative to a push layer</w:t>
            </w:r>
          </w:p>
        </w:tc>
      </w:tr>
      <w:tr>
        <w:tc>
          <w:tcPr>
            <w:tcW w:type="dxa" w:w="15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Galexie</w:t>
            </w:r>
          </w:p>
        </w:tc>
        <w:tc>
          <w:tcPr>
            <w:tcW w:type="dxa" w:w="18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Stellar Development Foundation</w:t>
            </w:r>
          </w:p>
        </w:tc>
        <w:tc>
          <w:tcPr>
            <w:tcW w:type="dxa" w:w="29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Exports ledger data, including a continuous streaming mode, to external storage (BigQuery, GCS) for analytics</w:t>
            </w:r>
          </w:p>
        </w:tc>
        <w:tc>
          <w:tcPr>
            <w:tcW w:type="dxa" w:w="28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Delivers whole ledgers to a data lake; not a filtered, low-latency, per-contract push interface</w:t>
            </w:r>
          </w:p>
        </w:tc>
      </w:tr>
      <w:tr>
        <w:tc>
          <w:tcPr>
            <w:tcW w:type="dxa" w:w="15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Obsrvr</w:t>
            </w:r>
          </w:p>
        </w:tc>
        <w:tc>
          <w:tcPr>
            <w:tcW w:type="dxa" w:w="18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Independent</w:t>
            </w:r>
          </w:p>
        </w:tc>
        <w:tc>
          <w:tcPr>
            <w:tcW w:type="dxa" w:w="29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Validator and network health monitoring</w:t>
            </w:r>
          </w:p>
        </w:tc>
        <w:tc>
          <w:tcPr>
            <w:tcW w:type="dxa" w:w="28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Not related to application-level event delivery</w:t>
            </w:r>
          </w:p>
        </w:tc>
      </w:tr>
      <w:tr>
        <w:tc>
          <w:tcPr>
            <w:tcW w:type="dxa" w:w="15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Quasar</w:t>
            </w:r>
          </w:p>
        </w:tc>
        <w:tc>
          <w:tcPr>
            <w:tcW w:type="dxa" w:w="18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Lightsail Network</w:t>
            </w:r>
          </w:p>
        </w:tc>
        <w:tc>
          <w:tcPr>
            <w:tcW w:type="dxa" w:w="29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RPC gateway and proxy in front of the existing poll-based RPC, plus a Galexie data lake endpoint</w:t>
            </w:r>
          </w:p>
        </w:tc>
        <w:tc>
          <w:tcPr>
            <w:tcW w:type="dxa" w:w="28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Improves access to the existing poll-based method; does not change its polling nature</w:t>
            </w:r>
          </w:p>
        </w:tc>
      </w:tr>
    </w:tbl>
    <w:p>
      <w:pPr>
        <w:pStyle w:val="Heading1"/>
        <w:spacing w:after="160" w:before="320" w:line="240" w:lineRule="auto"/>
      </w:pPr>
      <w:r>
        <w:rPr>
          <w:rFonts w:ascii="Calibri" w:cs="Calibri" w:eastAsia="Calibri" w:hAnsi="Calibri"/>
          <w:b/>
          <w:bCs/>
          <w:color w:val="000000"/>
          <w:sz w:val="30"/>
          <w:szCs w:val="30"/>
        </w:rPr>
        <w:t xml:space="preserve">3. Precedent</w:t>
      </w:r>
    </w:p>
    <w:p>
      <w:pPr>
        <w:spacing w:after="160" w:line="240" w:lineRule="auto"/>
        <w:jc w:val="both"/>
      </w:pPr>
      <w:r>
        <w:rPr>
          <w:rFonts w:ascii="Calibri" w:cs="Calibri" w:eastAsia="Calibri" w:hAnsi="Calibri"/>
          <w:color w:val="000000"/>
          <w:sz w:val="24"/>
          <w:szCs w:val="24"/>
        </w:rPr>
        <w:t xml:space="preserve">The Solana network solved an equivalent problem through Project Yellowstone, operated by Triton One, whose Dragon's Mouth gRPC interface streams filtered, sub-second updates by reading directly from a validator's internal Geyser plugin interface. This infrastructure underlies most latency-sensitive Solana applications, including trading systems, wallets, and indexers. Its commercial pricing, approximately EUR 200 to EUR 900 or more per month depending on tier, demonstrates a proven willingness to pay for this category of infrastructure once a market reaches sufficient scale.</w:t>
      </w:r>
    </w:p>
    <w:p>
      <w:pPr>
        <w:pStyle w:val="Heading1"/>
        <w:spacing w:after="160" w:before="320" w:line="240" w:lineRule="auto"/>
      </w:pPr>
      <w:r>
        <w:rPr>
          <w:rFonts w:ascii="Calibri" w:cs="Calibri" w:eastAsia="Calibri" w:hAnsi="Calibri"/>
          <w:b/>
          <w:bCs/>
          <w:color w:val="000000"/>
          <w:sz w:val="30"/>
          <w:szCs w:val="30"/>
        </w:rPr>
        <w:t xml:space="preserve">4. Market Context</w:t>
      </w:r>
    </w:p>
    <w:p>
      <w:pPr>
        <w:spacing w:after="160" w:line="240" w:lineRule="auto"/>
        <w:jc w:val="both"/>
      </w:pPr>
      <w:r>
        <w:rPr>
          <w:rFonts w:ascii="Calibri" w:cs="Calibri" w:eastAsia="Calibri" w:hAnsi="Calibri"/>
          <w:color w:val="000000"/>
          <w:sz w:val="24"/>
          <w:szCs w:val="24"/>
        </w:rPr>
        <w:t xml:space="preserve">Stellar's total decentralized finance value locked reached a record USD 200 million in April 2026, driven primarily by tokenized real-world assets and institutional participation. For comparison, Solana's decentralized finance value locked is approximately USD 5.9 billion, roughly 30 times larger, and Solana's decentralized exchange trading volume alone is approximately USD 1.96 billion per day, nearly 10 times Stellar's entire locked value. This comparison is presented as a candid sizing reference, not a discouragement: the economics that make real-time streaming infrastructure profitable on Solana are not yet proven at the same scale on Stellar, and this business case treats that as a trend to monitor rather than a fact already established.</w:t>
      </w:r>
    </w:p>
    <w:p>
      <w:pPr>
        <w:pStyle w:val="Heading1"/>
        <w:spacing w:after="160" w:before="320" w:line="240" w:lineRule="auto"/>
      </w:pPr>
      <w:r>
        <w:rPr>
          <w:rFonts w:ascii="Calibri" w:cs="Calibri" w:eastAsia="Calibri" w:hAnsi="Calibri"/>
          <w:b/>
          <w:bCs/>
          <w:color w:val="000000"/>
          <w:sz w:val="30"/>
          <w:szCs w:val="30"/>
        </w:rPr>
        <w:t xml:space="preserve">5. Funding Path</w:t>
      </w:r>
    </w:p>
    <w:p>
      <w:pPr>
        <w:spacing w:after="160" w:line="240" w:lineRule="auto"/>
        <w:jc w:val="both"/>
      </w:pPr>
      <w:r>
        <w:rPr>
          <w:rFonts w:ascii="Calibri" w:cs="Calibri" w:eastAsia="Calibri" w:hAnsi="Calibri"/>
          <w:color w:val="000000"/>
          <w:sz w:val="24"/>
          <w:szCs w:val="24"/>
        </w:rPr>
        <w:t xml:space="preserve">The Stellar Community Fund offers a Build Award of up to USD 150,000 in XLM, disbursed in three tranches aligned to a minimum viable product, a testnet deployment, and a mainnet launch. Infrastructure and tooling projects are explicitly eligible. The current funding round, SCF round 46, accepts interest submissions until 8 November 2026. This grant structure is well matched to a phased build and is treated as the primary source of non-dilutive funding for the initial build and early operating period.</w:t>
      </w:r>
    </w:p>
    <w:p>
      <w:pPr>
        <w:pStyle w:val="Heading1"/>
        <w:spacing w:after="160" w:before="320" w:line="240" w:lineRule="auto"/>
      </w:pPr>
      <w:r>
        <w:rPr>
          <w:rFonts w:ascii="Calibri" w:cs="Calibri" w:eastAsia="Calibri" w:hAnsi="Calibri"/>
          <w:b/>
          <w:bCs/>
          <w:color w:val="000000"/>
          <w:sz w:val="30"/>
          <w:szCs w:val="30"/>
        </w:rPr>
        <w:t xml:space="preserve">6. Recommendation</w:t>
      </w:r>
    </w:p>
    <w:p>
      <w:pPr>
        <w:spacing w:after="160" w:line="240" w:lineRule="auto"/>
        <w:jc w:val="both"/>
      </w:pPr>
      <w:r>
        <w:rPr>
          <w:rFonts w:ascii="Calibri" w:cs="Calibri" w:eastAsia="Calibri" w:hAnsi="Calibri"/>
          <w:color w:val="000000"/>
          <w:sz w:val="24"/>
          <w:szCs w:val="24"/>
        </w:rPr>
        <w:t xml:space="preserve">Proceed with a phased build beginning with a minimum viable product confined to a single ingestion path and no high-availability guarantees, in order to validate the ingestion mechanism and measure real ingestion lag before committing to the full production architecture described in the System Architecture Document. Apply to the Stellar Community Fund Build Award to fund this phased build.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2026-09-15T06:59:53.849Z</dcterms:created>
  <dcterms:modified xsi:type="dcterms:W3CDTF">2026-09-15T06:59:53.849Z</dcterms:modified>
</cp:coreProperties>
</file>

<file path=docProps/custom.xml><?xml version="1.0" encoding="utf-8"?>
<Properties xmlns="http://schemas.openxmlformats.org/officeDocument/2006/custom-properties" xmlns:vt="http://schemas.openxmlformats.org/officeDocument/2006/docPropsVTypes"/>
</file>