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System Architecture Document</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3 of 13: System Architecture Document</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 and Scope</w:t>
      </w:r>
    </w:p>
    <w:p>
      <w:pPr>
        <w:spacing w:after="160" w:line="240" w:lineRule="auto"/>
        <w:jc w:val="both"/>
      </w:pPr>
      <w:r>
        <w:rPr>
          <w:rFonts w:ascii="Calibri" w:cs="Calibri" w:eastAsia="Calibri" w:hAnsi="Calibri"/>
          <w:color w:val="000000"/>
          <w:sz w:val="24"/>
          <w:szCs w:val="24"/>
        </w:rPr>
        <w:t xml:space="preserve">This document describes the technical architecture of StellarStream: its components, their responsibilities, the data flow between them, the technology chosen for each stage and the reasoning behind that choice, and how the deployment topology changes across the three build phases defined in the Product Requirements Document.</w:t>
      </w:r>
    </w:p>
    <w:p>
      <w:pPr>
        <w:pStyle w:val="Heading1"/>
        <w:spacing w:after="160" w:before="320" w:line="240" w:lineRule="auto"/>
      </w:pPr>
      <w:r>
        <w:rPr>
          <w:rFonts w:ascii="Calibri" w:cs="Calibri" w:eastAsia="Calibri" w:hAnsi="Calibri"/>
          <w:b/>
          <w:bCs/>
          <w:color w:val="000000"/>
          <w:sz w:val="30"/>
          <w:szCs w:val="30"/>
        </w:rPr>
        <w:t xml:space="preserve">2. Architecture Overview</w:t>
      </w:r>
    </w:p>
    <w:p>
      <w:pPr>
        <w:spacing w:after="160" w:line="240" w:lineRule="auto"/>
        <w:jc w:val="both"/>
      </w:pPr>
      <w:r>
        <w:rPr>
          <w:rFonts w:ascii="Calibri" w:cs="Calibri" w:eastAsia="Calibri" w:hAnsi="Calibri"/>
          <w:color w:val="000000"/>
          <w:sz w:val="24"/>
          <w:szCs w:val="24"/>
        </w:rPr>
        <w:t xml:space="preserve">The system is organized as a pipeline of six stages: the Stellar validator network, a Captive Core ingestion process, an ingestion service, a message bus, a layer of gRPC edge nodes behind a load balancer, and the subscribing consumers. Each stage is described below in the order data flows through it.</w:t>
      </w:r>
    </w:p>
    <w:p>
      <w:pPr>
        <w:pStyle w:val="Heading2"/>
        <w:spacing w:after="120" w:before="240" w:line="240" w:lineRule="auto"/>
      </w:pPr>
      <w:r>
        <w:rPr>
          <w:rFonts w:ascii="Calibri" w:cs="Calibri" w:eastAsia="Calibri" w:hAnsi="Calibri"/>
          <w:b/>
          <w:bCs/>
          <w:color w:val="000000"/>
          <w:sz w:val="26"/>
          <w:szCs w:val="26"/>
        </w:rPr>
        <w:t xml:space="preserve">2.1 Stellar validator network</w:t>
      </w:r>
    </w:p>
    <w:p>
      <w:pPr>
        <w:spacing w:after="160" w:line="240" w:lineRule="auto"/>
        <w:jc w:val="both"/>
      </w:pPr>
      <w:r>
        <w:rPr>
          <w:rFonts w:ascii="Calibri" w:cs="Calibri" w:eastAsia="Calibri" w:hAnsi="Calibri"/>
          <w:color w:val="000000"/>
          <w:sz w:val="24"/>
          <w:szCs w:val="24"/>
        </w:rPr>
        <w:t xml:space="preserve">The source of all data. Validators close a new ledger approximately every 5 seconds and, collectively, maintain the network's canonical transaction history through a consensus process. StellarStream does not modify or interact with validators directly; it observes their output.</w:t>
      </w:r>
    </w:p>
    <w:p>
      <w:pPr>
        <w:pStyle w:val="Heading2"/>
        <w:spacing w:after="120" w:before="240" w:line="240" w:lineRule="auto"/>
      </w:pPr>
      <w:r>
        <w:rPr>
          <w:rFonts w:ascii="Calibri" w:cs="Calibri" w:eastAsia="Calibri" w:hAnsi="Calibri"/>
          <w:b/>
          <w:bCs/>
          <w:color w:val="000000"/>
          <w:sz w:val="26"/>
          <w:szCs w:val="26"/>
        </w:rPr>
        <w:t xml:space="preserve">2.2 Captive Core</w:t>
      </w:r>
    </w:p>
    <w:p>
      <w:pPr>
        <w:spacing w:after="160" w:line="240" w:lineRule="auto"/>
        <w:jc w:val="both"/>
      </w:pPr>
      <w:r>
        <w:rPr>
          <w:rFonts w:ascii="Calibri" w:cs="Calibri" w:eastAsia="Calibri" w:hAnsi="Calibri"/>
          <w:color w:val="000000"/>
          <w:sz w:val="24"/>
          <w:szCs w:val="24"/>
        </w:rPr>
        <w:t xml:space="preserve">Captive Core runs the official stellar-core binary as a subprocess, configured to hold ledger state in memory rather than persisting years of history to disk. As each ledger closes, it delivers a structured record of everything in that ledger, called LedgerCloseMeta, to the process that invoked it. This is the same ingestion method used by Horizon and stellar-rpc, the Stellar Development Foundation's own API services, and is accessed through the official Go Ingest SDK rather than through any modification to stellar-core itself.</w:t>
      </w:r>
    </w:p>
    <w:p>
      <w:pPr>
        <w:pStyle w:val="Heading2"/>
        <w:spacing w:after="120" w:before="240" w:line="240" w:lineRule="auto"/>
      </w:pPr>
      <w:r>
        <w:rPr>
          <w:rFonts w:ascii="Calibri" w:cs="Calibri" w:eastAsia="Calibri" w:hAnsi="Calibri"/>
          <w:b/>
          <w:bCs/>
          <w:color w:val="000000"/>
          <w:sz w:val="26"/>
          <w:szCs w:val="26"/>
        </w:rPr>
        <w:t xml:space="preserve">2.3 Ingestion service</w:t>
      </w:r>
    </w:p>
    <w:p>
      <w:pPr>
        <w:spacing w:after="160" w:line="240" w:lineRule="auto"/>
        <w:jc w:val="both"/>
      </w:pPr>
      <w:r>
        <w:rPr>
          <w:rFonts w:ascii="Calibri" w:cs="Calibri" w:eastAsia="Calibri" w:hAnsi="Calibri"/>
          <w:color w:val="000000"/>
          <w:sz w:val="24"/>
          <w:szCs w:val="24"/>
        </w:rPr>
        <w:t xml:space="preserve">A Go service that consumes LedgerCloseMeta from Captive Core, decodes its XDR-encoded contents, extracts contract and account events, tags each event by contract ID, account, and event type, and stamps it with the originating ledger sequence number for deduplication. This is the stage responsible for the ingestion lag metric: the service records the time an event is emitted relative to the ledger's close time.</w:t>
      </w:r>
    </w:p>
    <w:p>
      <w:pPr>
        <w:pStyle w:val="Heading2"/>
        <w:spacing w:after="120" w:before="240" w:line="240" w:lineRule="auto"/>
      </w:pPr>
      <w:r>
        <w:rPr>
          <w:rFonts w:ascii="Calibri" w:cs="Calibri" w:eastAsia="Calibri" w:hAnsi="Calibri"/>
          <w:b/>
          <w:bCs/>
          <w:color w:val="000000"/>
          <w:sz w:val="26"/>
          <w:szCs w:val="26"/>
        </w:rPr>
        <w:t xml:space="preserve">2.4 Message bus</w:t>
      </w:r>
    </w:p>
    <w:p>
      <w:pPr>
        <w:spacing w:after="160" w:line="240" w:lineRule="auto"/>
        <w:jc w:val="both"/>
      </w:pPr>
      <w:r>
        <w:rPr>
          <w:rFonts w:ascii="Calibri" w:cs="Calibri" w:eastAsia="Calibri" w:hAnsi="Calibri"/>
          <w:color w:val="000000"/>
          <w:sz w:val="24"/>
          <w:szCs w:val="24"/>
        </w:rPr>
        <w:t xml:space="preserve">A NATS JetStream or Redis Streams deployment sits between the ingestion service and the edge layer. It decouples the single sequential ingestion writer from many concurrent edge-node readers and retains a bounded window of recent events, approximately 24 to 48 hours, so a subscriber that briefly disconnects can resume from a cursor rather than losing data. It is not designed or intended as long-term storage.</w:t>
      </w:r>
    </w:p>
    <w:p>
      <w:pPr>
        <w:pStyle w:val="Heading2"/>
        <w:spacing w:after="120" w:before="240" w:line="240" w:lineRule="auto"/>
      </w:pPr>
      <w:r>
        <w:rPr>
          <w:rFonts w:ascii="Calibri" w:cs="Calibri" w:eastAsia="Calibri" w:hAnsi="Calibri"/>
          <w:b/>
          <w:bCs/>
          <w:color w:val="000000"/>
          <w:sz w:val="26"/>
          <w:szCs w:val="26"/>
        </w:rPr>
        <w:t xml:space="preserve">2.5 gRPC edge layer</w:t>
      </w:r>
    </w:p>
    <w:p>
      <w:pPr>
        <w:spacing w:after="160" w:line="240" w:lineRule="auto"/>
        <w:jc w:val="both"/>
      </w:pPr>
      <w:r>
        <w:rPr>
          <w:rFonts w:ascii="Calibri" w:cs="Calibri" w:eastAsia="Calibri" w:hAnsi="Calibri"/>
          <w:color w:val="000000"/>
          <w:sz w:val="24"/>
          <w:szCs w:val="24"/>
        </w:rPr>
        <w:t xml:space="preserve">A horizontally scaled set of stateless gRPC server nodes, each capable of holding many open subscriber connections and applying each subscriber's filter independently. These nodes sit behind a gRPC-aware, HTTP/2-capable load balancer, with Envoy as the reference choice. An ordinary Layer 4 load balancer is unsuitable because it would pin an entire multiplexed gRPC connection, and every stream carried on it, to a single backend node.</w:t>
      </w:r>
    </w:p>
    <w:p>
      <w:pPr>
        <w:pStyle w:val="Heading2"/>
        <w:spacing w:after="120" w:before="240" w:line="240" w:lineRule="auto"/>
      </w:pPr>
      <w:r>
        <w:rPr>
          <w:rFonts w:ascii="Calibri" w:cs="Calibri" w:eastAsia="Calibri" w:hAnsi="Calibri"/>
          <w:b/>
          <w:bCs/>
          <w:color w:val="000000"/>
          <w:sz w:val="26"/>
          <w:szCs w:val="26"/>
        </w:rPr>
        <w:t xml:space="preserve">2.6 Consumers</w:t>
      </w:r>
    </w:p>
    <w:p>
      <w:pPr>
        <w:spacing w:after="160" w:line="240" w:lineRule="auto"/>
        <w:jc w:val="both"/>
      </w:pPr>
      <w:r>
        <w:rPr>
          <w:rFonts w:ascii="Calibri" w:cs="Calibri" w:eastAsia="Calibri" w:hAnsi="Calibri"/>
          <w:color w:val="000000"/>
          <w:sz w:val="24"/>
          <w:szCs w:val="24"/>
        </w:rPr>
        <w:t xml:space="preserve">Backend consumers, such as trading bots, wallet backends, and indexers, connect directly over gRPC using generated client SDKs. Browser-based consumers, such as a wallet's front end, cannot originate a native gRPC connection and instead connect through a grpc-web or WebSocket gateway introduced in Phase 2.</w:t>
      </w:r>
    </w:p>
    <w:p>
      <w:pPr>
        <w:pStyle w:val="Heading1"/>
        <w:spacing w:after="160" w:before="320" w:line="240" w:lineRule="auto"/>
      </w:pPr>
      <w:r>
        <w:rPr>
          <w:rFonts w:ascii="Calibri" w:cs="Calibri" w:eastAsia="Calibri" w:hAnsi="Calibri"/>
          <w:b/>
          <w:bCs/>
          <w:color w:val="000000"/>
          <w:sz w:val="30"/>
          <w:szCs w:val="30"/>
        </w:rPr>
        <w:t xml:space="preserve">3. Supporting Components</w:t>
      </w:r>
    </w:p>
    <w:p>
      <w:pPr>
        <w:pStyle w:val="Heading2"/>
        <w:spacing w:after="120" w:before="240" w:line="240" w:lineRule="auto"/>
      </w:pPr>
      <w:r>
        <w:rPr>
          <w:rFonts w:ascii="Calibri" w:cs="Calibri" w:eastAsia="Calibri" w:hAnsi="Calibri"/>
          <w:b/>
          <w:bCs/>
          <w:color w:val="000000"/>
          <w:sz w:val="26"/>
          <w:szCs w:val="26"/>
        </w:rPr>
        <w:t xml:space="preserve">3.1 Accounts and rate limiting</w:t>
      </w:r>
    </w:p>
    <w:p>
      <w:pPr>
        <w:spacing w:after="160" w:line="240" w:lineRule="auto"/>
        <w:jc w:val="both"/>
      </w:pPr>
      <w:r>
        <w:rPr>
          <w:rFonts w:ascii="Calibri" w:cs="Calibri" w:eastAsia="Calibri" w:hAnsi="Calibri"/>
          <w:color w:val="000000"/>
          <w:sz w:val="24"/>
          <w:szCs w:val="24"/>
        </w:rPr>
        <w:t xml:space="preserve">A Postgres database, separate from the hot data path, stores subscriber accounts, API keys, tiers, and quotas. It is deliberately isolated so that account-management operations can never slow down event delivery.</w:t>
      </w:r>
    </w:p>
    <w:p>
      <w:pPr>
        <w:pStyle w:val="Heading2"/>
        <w:spacing w:after="120" w:before="240" w:line="240" w:lineRule="auto"/>
      </w:pPr>
      <w:r>
        <w:rPr>
          <w:rFonts w:ascii="Calibri" w:cs="Calibri" w:eastAsia="Calibri" w:hAnsi="Calibri"/>
          <w:b/>
          <w:bCs/>
          <w:color w:val="000000"/>
          <w:sz w:val="26"/>
          <w:szCs w:val="26"/>
        </w:rPr>
        <w:t xml:space="preserve">3.2 Observability</w:t>
      </w:r>
    </w:p>
    <w:p>
      <w:pPr>
        <w:spacing w:after="160" w:line="240" w:lineRule="auto"/>
        <w:jc w:val="both"/>
      </w:pPr>
      <w:r>
        <w:rPr>
          <w:rFonts w:ascii="Calibri" w:cs="Calibri" w:eastAsia="Calibri" w:hAnsi="Calibri"/>
          <w:color w:val="000000"/>
          <w:sz w:val="24"/>
          <w:szCs w:val="24"/>
        </w:rPr>
        <w:t xml:space="preserve">Prometheus and Grafana track ingestion lag as the primary metric, along with per-subscriber backlog, edge node resource saturation, and active connection counts. Ingestion lag is treated as the single most important number in the system, since it is the direct measure of the product's core value proposition.</w:t>
      </w:r>
    </w:p>
    <w:p>
      <w:pPr>
        <w:pStyle w:val="Heading1"/>
        <w:spacing w:after="160" w:before="320" w:line="240" w:lineRule="auto"/>
      </w:pPr>
      <w:r>
        <w:rPr>
          <w:rFonts w:ascii="Calibri" w:cs="Calibri" w:eastAsia="Calibri" w:hAnsi="Calibri"/>
          <w:b/>
          <w:bCs/>
          <w:color w:val="000000"/>
          <w:sz w:val="30"/>
          <w:szCs w:val="30"/>
        </w:rPr>
        <w:t xml:space="preserve">4. Technology Choices and Rationale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2200"/>
        <w:gridCol w:w="5026"/>
      </w:tblGrid>
      <w:tr>
        <w:trPr>
          <w:tblHeader/>
        </w:trPr>
        <w:tc>
          <w:tcPr>
            <w:tcW w:type="dxa" w:w="18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Decision</w:t>
            </w:r>
          </w:p>
        </w:tc>
        <w:tc>
          <w:tcPr>
            <w:tcW w:type="dxa" w:w="22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Choice</w:t>
            </w:r>
          </w:p>
        </w:tc>
        <w:tc>
          <w:tcPr>
            <w:tcW w:type="dxa" w:w="50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Rationale</w:t>
            </w:r>
          </w:p>
        </w:tc>
      </w:tr>
      <w:tr>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Primary language</w:t>
            </w:r>
          </w:p>
        </w:tc>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Go</w:t>
            </w:r>
          </w:p>
        </w:tc>
        <w:tc>
          <w:tcPr>
            <w:tcW w:type="dxa" w:w="5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Every official Stellar service this system depends on or interoperates with (stellar-core, Horizon, stellar-rpc, the Ingest SDK) is written in Go, avoiding a reimplementation of XDR and ledger-parsing logic; Go's concurrency model suits holding many simultaneous open connections.</w:t>
            </w:r>
          </w:p>
        </w:tc>
      </w:tr>
      <w:tr>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Subscriber protocol</w:t>
            </w:r>
          </w:p>
        </w:tc>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gRPC with a published protobuf schema</w:t>
            </w:r>
          </w:p>
        </w:tc>
        <w:tc>
          <w:tcPr>
            <w:tcW w:type="dxa" w:w="5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 persistent, multiplexed, binary protocol is what makes push delivery cheaper and faster than repeated polling; protobuf gives generated, type-safe clients in multiple languages.</w:t>
            </w:r>
          </w:p>
        </w:tc>
      </w:tr>
      <w:tr>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Message bus</w:t>
            </w:r>
          </w:p>
        </w:tc>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NATS JetStream or Redis Streams</w:t>
            </w:r>
          </w:p>
        </w:tc>
        <w:tc>
          <w:tcPr>
            <w:tcW w:type="dxa" w:w="5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Provides cursor-based replay for reconnecting subscribers with materially less operational complexity than a system such as Kafka, which is not justified at this project's expected scale.</w:t>
            </w:r>
          </w:p>
        </w:tc>
      </w:tr>
      <w:tr>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Load balancing</w:t>
            </w:r>
          </w:p>
        </w:tc>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Envoy or an equivalent HTTP/2-aware proxy</w:t>
            </w:r>
          </w:p>
        </w:tc>
        <w:tc>
          <w:tcPr>
            <w:tcW w:type="dxa" w:w="5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 standard Layer 4 load balancer breaks multiplexed gRPC streaming, as described in section 2.5.</w:t>
            </w:r>
          </w:p>
        </w:tc>
      </w:tr>
      <w:tr>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Browser access</w:t>
            </w:r>
          </w:p>
        </w:tc>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grpc-web or a WebSocket gateway</w:t>
            </w:r>
          </w:p>
        </w:tc>
        <w:tc>
          <w:tcPr>
            <w:tcW w:type="dxa" w:w="50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Browsers cannot originate the HTTP/2 trailers-based connections gRPC requires natively.</w:t>
            </w:r>
          </w:p>
        </w:tc>
      </w:tr>
    </w:tbl>
    <w:p>
      <w:pPr>
        <w:pStyle w:val="Heading1"/>
        <w:spacing w:after="160" w:before="320" w:line="240" w:lineRule="auto"/>
      </w:pPr>
      <w:r>
        <w:rPr>
          <w:rFonts w:ascii="Calibri" w:cs="Calibri" w:eastAsia="Calibri" w:hAnsi="Calibri"/>
          <w:b/>
          <w:bCs/>
          <w:color w:val="000000"/>
          <w:sz w:val="30"/>
          <w:szCs w:val="30"/>
        </w:rPr>
        <w:t xml:space="preserve">5. Deployment Topology by Phase</w:t>
      </w:r>
    </w:p>
    <w:p>
      <w:pPr>
        <w:pStyle w:val="Heading2"/>
        <w:spacing w:after="120" w:before="240" w:line="240" w:lineRule="auto"/>
      </w:pPr>
      <w:r>
        <w:rPr>
          <w:rFonts w:ascii="Calibri" w:cs="Calibri" w:eastAsia="Calibri" w:hAnsi="Calibri"/>
          <w:b/>
          <w:bCs/>
          <w:color w:val="000000"/>
          <w:sz w:val="26"/>
          <w:szCs w:val="26"/>
        </w:rPr>
        <w:t xml:space="preserve">5.1 Phase 0</w:t>
      </w:r>
    </w:p>
    <w:p>
      <w:pPr>
        <w:spacing w:after="160" w:line="240" w:lineRule="auto"/>
        <w:jc w:val="both"/>
      </w:pPr>
      <w:r>
        <w:rPr>
          <w:rFonts w:ascii="Calibri" w:cs="Calibri" w:eastAsia="Calibri" w:hAnsi="Calibri"/>
          <w:color w:val="000000"/>
          <w:sz w:val="24"/>
          <w:szCs w:val="24"/>
        </w:rPr>
        <w:t xml:space="preserve">A single region, a single Captive Core and ingestion instance, and a bare gRPC server with no load balancer and no message bus. No formal availability guarantee is made at this stage; its purpose is to validate correctness and measure real ingestion lag.</w:t>
      </w:r>
    </w:p>
    <w:p>
      <w:pPr>
        <w:pStyle w:val="Heading2"/>
        <w:spacing w:after="120" w:before="240" w:line="240" w:lineRule="auto"/>
      </w:pPr>
      <w:r>
        <w:rPr>
          <w:rFonts w:ascii="Calibri" w:cs="Calibri" w:eastAsia="Calibri" w:hAnsi="Calibri"/>
          <w:b/>
          <w:bCs/>
          <w:color w:val="000000"/>
          <w:sz w:val="26"/>
          <w:szCs w:val="26"/>
        </w:rPr>
        <w:t xml:space="preserve">5.2 Phase 1</w:t>
      </w:r>
    </w:p>
    <w:p>
      <w:pPr>
        <w:spacing w:after="160" w:line="240" w:lineRule="auto"/>
        <w:jc w:val="both"/>
      </w:pPr>
      <w:r>
        <w:rPr>
          <w:rFonts w:ascii="Calibri" w:cs="Calibri" w:eastAsia="Calibri" w:hAnsi="Calibri"/>
          <w:color w:val="000000"/>
          <w:sz w:val="24"/>
          <w:szCs w:val="24"/>
        </w:rPr>
        <w:t xml:space="preserve">Adds the message bus and horizontally scales the gRPC edge layer behind Envoy. Introduces API keys and basic rate limiting. Still operates from a single ingestion instance with no automatic failover.</w:t>
      </w:r>
    </w:p>
    <w:p>
      <w:pPr>
        <w:pStyle w:val="Heading2"/>
        <w:spacing w:after="120" w:before="240" w:line="240" w:lineRule="auto"/>
      </w:pPr>
      <w:r>
        <w:rPr>
          <w:rFonts w:ascii="Calibri" w:cs="Calibri" w:eastAsia="Calibri" w:hAnsi="Calibri"/>
          <w:b/>
          <w:bCs/>
          <w:color w:val="000000"/>
          <w:sz w:val="26"/>
          <w:szCs w:val="26"/>
        </w:rPr>
        <w:t xml:space="preserve">5.3 Phase 2</w:t>
      </w:r>
    </w:p>
    <w:p>
      <w:pPr>
        <w:spacing w:after="160" w:line="240" w:lineRule="auto"/>
        <w:jc w:val="both"/>
      </w:pPr>
      <w:r>
        <w:rPr>
          <w:rFonts w:ascii="Calibri" w:cs="Calibri" w:eastAsia="Calibri" w:hAnsi="Calibri"/>
          <w:color w:val="000000"/>
          <w:sz w:val="24"/>
          <w:szCs w:val="24"/>
        </w:rPr>
        <w:t xml:space="preserve">Adds a hot-standby Captive Core and ingestion instance with failover, deduplicated by ledger sequence number; adds the grpc-web and WebSocket gateway; and adds edge nodes in a second region as subscriber demand requires it.</w:t>
      </w:r>
    </w:p>
    <w:p>
      <w:pPr>
        <w:pStyle w:val="Heading1"/>
        <w:spacing w:after="160" w:before="320" w:line="240" w:lineRule="auto"/>
      </w:pPr>
      <w:r>
        <w:rPr>
          <w:rFonts w:ascii="Calibri" w:cs="Calibri" w:eastAsia="Calibri" w:hAnsi="Calibri"/>
          <w:b/>
          <w:bCs/>
          <w:color w:val="000000"/>
          <w:sz w:val="30"/>
          <w:szCs w:val="30"/>
        </w:rPr>
        <w:t xml:space="preserve">6. Known Failure Modes</w:t>
      </w:r>
    </w:p>
    <w:p>
      <w:pPr>
        <w:spacing w:after="160" w:line="240" w:lineRule="auto"/>
        <w:jc w:val="both"/>
      </w:pPr>
      <w:r>
        <w:rPr>
          <w:rFonts w:ascii="Calibri" w:cs="Calibri" w:eastAsia="Calibri" w:hAnsi="Calibri"/>
          <w:color w:val="000000"/>
          <w:sz w:val="24"/>
          <w:szCs w:val="24"/>
        </w:rPr>
        <w:t xml:space="preserve">The specific failure modes this architecture is designed against, and their mitigations, are documented in full in the Non-Functional Requirements Document and the Runbook and Operations Manual.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2026-09-15T06:59:53.927Z</dcterms:created>
  <dcterms:modified xsi:type="dcterms:W3CDTF">2026-09-15T06:59:53.927Z</dcterms:modified>
</cp:coreProperties>
</file>

<file path=docProps/custom.xml><?xml version="1.0" encoding="utf-8"?>
<Properties xmlns="http://schemas.openxmlformats.org/officeDocument/2006/custom-properties" xmlns:vt="http://schemas.openxmlformats.org/officeDocument/2006/docPropsVTypes"/>
</file>