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Data Model and Event Schema Document</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5 of 13: Data Model and Event Schema Document</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defines the meaning of every field in the Event message introduced in the API and Protocol Specification, and how each is derived from Stellar's own ledger data.</w:t>
      </w:r>
    </w:p>
    <w:p>
      <w:pPr>
        <w:pStyle w:val="Heading1"/>
        <w:spacing w:after="160" w:before="320" w:line="240" w:lineRule="auto"/>
      </w:pPr>
      <w:r>
        <w:rPr>
          <w:rFonts w:ascii="Calibri" w:cs="Calibri" w:eastAsia="Calibri" w:hAnsi="Calibri"/>
          <w:b/>
          <w:bCs/>
          <w:color w:val="000000"/>
          <w:sz w:val="30"/>
          <w:szCs w:val="30"/>
        </w:rPr>
        <w:t xml:space="preserve">2. Event Envelope Fields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100"/>
        <w:gridCol w:w="3600"/>
        <w:gridCol w:w="2426"/>
      </w:tblGrid>
      <w:tr>
        <w:trPr>
          <w:tblHeader/>
        </w:trPr>
        <w:tc>
          <w:tcPr>
            <w:tcW w:type="dxa" w:w="19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Field</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Type</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Description</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Source</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ledger_sequence</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uint64</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The sequence number of the ledger in which this event was recorded.</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LedgerCloseMeta header</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close_time_unix</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int64</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The Unix timestamp at which the ledger closed, as agreed by the validator network.</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LedgerCloseMeta header</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contract_id</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string</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The Soroban contract that emitted the event, in its standard strkey encoding.</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Decoded from the ledger's transaction meta</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event_type</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string</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A short label such as transfer, mint, or a contract-defined topic name.</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Derived from the event's topics during decoding</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topics_xdr</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bytes</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The raw XDR-encoded topics of the event, for clients that need the full, unmodified structure.</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Copied verbatim from the ledger</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data_xdr</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bytes</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The raw XDR-encoded event data payload.</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Copied verbatim from the ledger</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cursor</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string</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An opaque, strictly increasing token combining ledger sequence and an in-ledger event index, used to resume a subscription.</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Generated by the ingestion service</w:t>
            </w:r>
          </w:p>
        </w:tc>
      </w:tr>
      <w:tr>
        <w:tc>
          <w:tcPr>
            <w:tcW w:type="dxa" w:w="1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ingested_at_unix_ms</w:t>
            </w:r>
          </w:p>
        </w:tc>
        <w:tc>
          <w:tcPr>
            <w:tcW w:type="dxa" w:w="1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int64</w:t>
            </w:r>
          </w:p>
        </w:tc>
        <w:tc>
          <w:tcPr>
            <w:tcW w:type="dxa" w:w="3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The timestamp at which the ingestion service emitted this event, used to compute ingestion lag as ingested_at_unix_ms minus close_time_unix.</w:t>
            </w:r>
          </w:p>
        </w:tc>
        <w:tc>
          <w:tcPr>
            <w:tcW w:type="dxa" w:w="2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Recorded by the ingestion service</w:t>
            </w:r>
          </w:p>
        </w:tc>
      </w:tr>
    </w:tbl>
    <w:p>
      <w:pPr>
        <w:pStyle w:val="Heading1"/>
        <w:spacing w:after="160" w:before="320" w:line="240" w:lineRule="auto"/>
      </w:pPr>
      <w:r>
        <w:rPr>
          <w:rFonts w:ascii="Calibri" w:cs="Calibri" w:eastAsia="Calibri" w:hAnsi="Calibri"/>
          <w:b/>
          <w:bCs/>
          <w:color w:val="000000"/>
          <w:sz w:val="30"/>
          <w:szCs w:val="30"/>
        </w:rPr>
        <w:t xml:space="preserve">3. Deduplication</w:t>
      </w:r>
    </w:p>
    <w:p>
      <w:pPr>
        <w:spacing w:after="160" w:line="240" w:lineRule="auto"/>
        <w:jc w:val="both"/>
      </w:pPr>
      <w:r>
        <w:rPr>
          <w:rFonts w:ascii="Calibri" w:cs="Calibri" w:eastAsia="Calibri" w:hAnsi="Calibri"/>
          <w:color w:val="000000"/>
          <w:sz w:val="24"/>
          <w:szCs w:val="24"/>
        </w:rPr>
        <w:t xml:space="preserve">Because a future hot-standby ingestion instance, described in the System Architecture Document, may briefly overlap with the primary instance during failover, every downstream consumer of the message bus deduplicates events using the combination of ledger_sequence and the in-ledger event index embedded in the cursor field, rather than assuming a single ingestion source.</w:t>
      </w:r>
    </w:p>
    <w:p>
      <w:pPr>
        <w:pStyle w:val="Heading1"/>
        <w:spacing w:after="160" w:before="320" w:line="240" w:lineRule="auto"/>
      </w:pPr>
      <w:r>
        <w:rPr>
          <w:rFonts w:ascii="Calibri" w:cs="Calibri" w:eastAsia="Calibri" w:hAnsi="Calibri"/>
          <w:b/>
          <w:bCs/>
          <w:color w:val="000000"/>
          <w:sz w:val="30"/>
          <w:szCs w:val="30"/>
        </w:rPr>
        <w:t xml:space="preserve">4. Retention Policy</w:t>
      </w:r>
    </w:p>
    <w:p>
      <w:pPr>
        <w:spacing w:after="160" w:line="240" w:lineRule="auto"/>
        <w:jc w:val="both"/>
      </w:pPr>
      <w:r>
        <w:rPr>
          <w:rFonts w:ascii="Calibri" w:cs="Calibri" w:eastAsia="Calibri" w:hAnsi="Calibri"/>
          <w:color w:val="000000"/>
          <w:sz w:val="24"/>
          <w:szCs w:val="24"/>
        </w:rPr>
        <w:t xml:space="preserve">The message bus retains approximately 24 to 48 hours of events for resume purposes. StellarStream does not provide historical query access beyond this window. A subscriber that requires historical data should use Galexie or the Hubble data lake, which are purpose-built for that function and are not duplicated by this service.</w:t>
      </w:r>
    </w:p>
    <w:p>
      <w:pPr>
        <w:pStyle w:val="Heading1"/>
        <w:spacing w:after="160" w:before="320" w:line="240" w:lineRule="auto"/>
      </w:pPr>
      <w:r>
        <w:rPr>
          <w:rFonts w:ascii="Calibri" w:cs="Calibri" w:eastAsia="Calibri" w:hAnsi="Calibri"/>
          <w:b/>
          <w:bCs/>
          <w:color w:val="000000"/>
          <w:sz w:val="30"/>
          <w:szCs w:val="30"/>
        </w:rPr>
        <w:t xml:space="preserve">5. Schema Evolution Rules</w:t>
      </w:r>
    </w:p>
    <w:p>
      <w:pPr>
        <w:spacing w:after="160" w:line="240" w:lineRule="auto"/>
        <w:jc w:val="both"/>
      </w:pPr>
      <w:r>
        <w:rPr>
          <w:rFonts w:ascii="Calibri" w:cs="Calibri" w:eastAsia="Calibri" w:hAnsi="Calibri"/>
          <w:color w:val="000000"/>
          <w:sz w:val="24"/>
          <w:szCs w:val="24"/>
        </w:rPr>
        <w:t xml:space="preserve">This document is governed by the same versioning policy as the API and Protocol Specification: additive changes only, with any breaking change requiring a new service version under the Change Management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2026-09-15T06:59:53.982Z</dcterms:created>
  <dcterms:modified xsi:type="dcterms:W3CDTF">2026-09-15T06:59:53.982Z</dcterms:modified>
</cp:coreProperties>
</file>

<file path=docProps/custom.xml><?xml version="1.0" encoding="utf-8"?>
<Properties xmlns="http://schemas.openxmlformats.org/officeDocument/2006/custom-properties" xmlns:vt="http://schemas.openxmlformats.org/officeDocument/2006/docPropsVTypes"/>
</file>