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00000"/>
          <w:sz w:val="44"/>
          <w:szCs w:val="44"/>
        </w:rPr>
        <w:t xml:space="preserve">Non-Functional Requirements Document</w:t>
      </w:r>
    </w:p>
    <w:p>
      <w:pPr>
        <w:spacing w:after="40" w:line="240" w:lineRule="auto"/>
        <w:jc w:val="center"/>
      </w:pPr>
      <w:r>
        <w:rPr>
          <w:rFonts w:ascii="Calibri" w:cs="Calibri" w:eastAsia="Calibri" w:hAnsi="Calibri"/>
          <w:i/>
          <w:iCs/>
          <w:color w:val="000000"/>
          <w:sz w:val="22"/>
          <w:szCs w:val="22"/>
        </w:rPr>
        <w:t xml:space="preserve">StellarStream (working title)</w:t>
      </w:r>
    </w:p>
    <w:p>
      <w:pPr>
        <w:spacing w:after="40" w:line="240" w:lineRule="auto"/>
        <w:jc w:val="center"/>
      </w:pPr>
      <w:r>
        <w:rPr>
          <w:rFonts w:ascii="Calibri" w:cs="Calibri" w:eastAsia="Calibri" w:hAnsi="Calibri"/>
          <w:i/>
          <w:iCs/>
          <w:color w:val="000000"/>
          <w:sz w:val="22"/>
          <w:szCs w:val="22"/>
        </w:rPr>
        <w:t xml:space="preserve">Document 6 of 13: Non-Functional Requirements Document</w:t>
      </w:r>
    </w:p>
    <w:p>
      <w:pPr>
        <w:spacing w:after="40" w:line="240" w:lineRule="auto"/>
        <w:jc w:val="center"/>
      </w:pPr>
      <w:r>
        <w:rPr>
          <w:rFonts w:ascii="Calibri" w:cs="Calibri" w:eastAsia="Calibri" w:hAnsi="Calibri"/>
          <w:i/>
          <w:iCs/>
          <w:color w:val="000000"/>
          <w:sz w:val="22"/>
          <w:szCs w:val="22"/>
        </w:rPr>
        <w:t xml:space="preserve">Version 0.1 - Draft for Review</w:t>
      </w:r>
    </w:p>
    <w:p>
      <w:pPr>
        <w:spacing w:after="40" w:line="240" w:lineRule="auto"/>
        <w:jc w:val="center"/>
      </w:pPr>
      <w:r>
        <w:rPr>
          <w:rFonts w:ascii="Calibri" w:cs="Calibri" w:eastAsia="Calibri" w:hAnsi="Calibri"/>
          <w:i/>
          <w:iCs/>
          <w:color w:val="000000"/>
          <w:sz w:val="22"/>
          <w:szCs w:val="22"/>
        </w:rPr>
        <w:t xml:space="preserve">Author: Rafif Muhammad Ransi Anargya</w:t>
      </w:r>
    </w:p>
    <w:p>
      <w:pPr>
        <w:spacing w:after="40" w:line="240" w:lineRule="auto"/>
        <w:jc w:val="center"/>
      </w:pPr>
      <w:r>
        <w:rPr>
          <w:rFonts w:ascii="Calibri" w:cs="Calibri" w:eastAsia="Calibri" w:hAnsi="Calibri"/>
          <w:i/>
          <w:iCs/>
          <w:color w:val="000000"/>
          <w:sz w:val="22"/>
          <w:szCs w:val="22"/>
        </w:rPr>
        <w:t xml:space="preserve">Date: 15 September 2026</w:t>
      </w:r>
    </w:p>
    <w:p>
      <w:pPr>
        <w:spacing w:after="200"/>
      </w:pPr>
      <w:r>
        <w:rPr>
          <w:rFonts w:ascii="Calibri" w:cs="Calibri" w:eastAsia="Calibri" w:hAnsi="Calibri"/>
          <w:sz w:val="24"/>
          <w:szCs w:val="24"/>
        </w:rPr>
        <w:t xml:space="preserve"/>
      </w:r>
    </w:p>
    <w:p>
      <w:pPr>
        <w:pStyle w:val="Heading1"/>
        <w:spacing w:after="160" w:before="320" w:line="240" w:lineRule="auto"/>
      </w:pPr>
      <w:r>
        <w:rPr>
          <w:rFonts w:ascii="Calibri" w:cs="Calibri" w:eastAsia="Calibri" w:hAnsi="Calibri"/>
          <w:b/>
          <w:bCs/>
          <w:color w:val="000000"/>
          <w:sz w:val="30"/>
          <w:szCs w:val="30"/>
        </w:rPr>
        <w:t xml:space="preserve">1. Purpose</w:t>
      </w:r>
    </w:p>
    <w:p>
      <w:pPr>
        <w:spacing w:after="160" w:line="240" w:lineRule="auto"/>
        <w:jc w:val="both"/>
      </w:pPr>
      <w:r>
        <w:rPr>
          <w:rFonts w:ascii="Calibri" w:cs="Calibri" w:eastAsia="Calibri" w:hAnsi="Calibri"/>
          <w:color w:val="000000"/>
          <w:sz w:val="24"/>
          <w:szCs w:val="24"/>
        </w:rPr>
        <w:t xml:space="preserve">This document states, in explicit and measurable terms, the operating targets the system must meet. Its purpose is to remove ambiguity about what "reliable" means for this product, since an unwritten target cannot be verified as met or missed.</w:t>
      </w:r>
    </w:p>
    <w:p>
      <w:pPr>
        <w:pStyle w:val="Heading1"/>
        <w:spacing w:after="160" w:before="320" w:line="240" w:lineRule="auto"/>
      </w:pPr>
      <w:r>
        <w:rPr>
          <w:rFonts w:ascii="Calibri" w:cs="Calibri" w:eastAsia="Calibri" w:hAnsi="Calibri"/>
          <w:b/>
          <w:bCs/>
          <w:color w:val="000000"/>
          <w:sz w:val="30"/>
          <w:szCs w:val="30"/>
        </w:rPr>
        <w:t xml:space="preserve">2. Availability</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800"/>
        <w:gridCol w:w="4526"/>
      </w:tblGrid>
      <w:tr>
        <w:trPr>
          <w:tblHeader/>
        </w:trPr>
        <w:tc>
          <w:tcPr>
            <w:tcW w:type="dxa" w:w="1700"/>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Phase</w:t>
            </w:r>
          </w:p>
        </w:tc>
        <w:tc>
          <w:tcPr>
            <w:tcW w:type="dxa" w:w="2800"/>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Uptime target</w:t>
            </w:r>
          </w:p>
        </w:tc>
        <w:tc>
          <w:tcPr>
            <w:tcW w:type="dxa" w:w="4526"/>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Notes</w:t>
            </w:r>
          </w:p>
        </w:tc>
      </w:tr>
      <w:tr>
        <w:tc>
          <w:tcPr>
            <w:tcW w:type="dxa" w:w="17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Phase 0</w:t>
            </w:r>
          </w:p>
        </w:tc>
        <w:tc>
          <w:tcPr>
            <w:tcW w:type="dxa" w:w="28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Best effort; no formal target</w:t>
            </w:r>
          </w:p>
        </w:tc>
        <w:tc>
          <w:tcPr>
            <w:tcW w:type="dxa" w:w="45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Purpose of this phase is validation, not commitment</w:t>
            </w:r>
          </w:p>
        </w:tc>
      </w:tr>
      <w:tr>
        <w:tc>
          <w:tcPr>
            <w:tcW w:type="dxa" w:w="17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Phase 1</w:t>
            </w:r>
          </w:p>
        </w:tc>
        <w:tc>
          <w:tcPr>
            <w:tcW w:type="dxa" w:w="28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99.5 percent, excluding scheduled maintenance</w:t>
            </w:r>
          </w:p>
        </w:tc>
        <w:tc>
          <w:tcPr>
            <w:tcW w:type="dxa" w:w="45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Applies to the gRPC edge layer as observed by subscribers</w:t>
            </w:r>
          </w:p>
        </w:tc>
      </w:tr>
      <w:tr>
        <w:tc>
          <w:tcPr>
            <w:tcW w:type="dxa" w:w="17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Phase 2</w:t>
            </w:r>
          </w:p>
        </w:tc>
        <w:tc>
          <w:tcPr>
            <w:tcW w:type="dxa" w:w="28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99.9 percent, excluding scheduled maintenance</w:t>
            </w:r>
          </w:p>
        </w:tc>
        <w:tc>
          <w:tcPr>
            <w:tcW w:type="dxa" w:w="45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Requires the hot-standby ingestion failover described in the System Architecture Document</w:t>
            </w:r>
          </w:p>
        </w:tc>
      </w:tr>
    </w:tbl>
    <w:p>
      <w:pPr>
        <w:pStyle w:val="Heading1"/>
        <w:spacing w:after="160" w:before="320" w:line="240" w:lineRule="auto"/>
      </w:pPr>
      <w:r>
        <w:rPr>
          <w:rFonts w:ascii="Calibri" w:cs="Calibri" w:eastAsia="Calibri" w:hAnsi="Calibri"/>
          <w:b/>
          <w:bCs/>
          <w:color w:val="000000"/>
          <w:sz w:val="30"/>
          <w:szCs w:val="30"/>
        </w:rPr>
        <w:t xml:space="preserve">3. Ingestion Lag</w:t>
      </w:r>
    </w:p>
    <w:p>
      <w:pPr>
        <w:spacing w:after="160" w:line="240" w:lineRule="auto"/>
        <w:jc w:val="both"/>
      </w:pPr>
      <w:r>
        <w:rPr>
          <w:rFonts w:ascii="Calibri" w:cs="Calibri" w:eastAsia="Calibri" w:hAnsi="Calibri"/>
          <w:color w:val="000000"/>
          <w:sz w:val="24"/>
          <w:szCs w:val="24"/>
        </w:rPr>
        <w:t xml:space="preserve">Ingestion lag is defined as the elapsed time between a ledger's close_time_unix and the ingested_at_unix_ms recorded for events from that ledger, as defined in the Data Model and Event Schema Document. This is the single most important performance requirement in this document.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026"/>
      </w:tblGrid>
      <w:tr>
        <w:trPr>
          <w:tblHeader/>
        </w:trPr>
        <w:tc>
          <w:tcPr>
            <w:tcW w:type="dxa" w:w="3000"/>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Phase</w:t>
            </w:r>
          </w:p>
        </w:tc>
        <w:tc>
          <w:tcPr>
            <w:tcW w:type="dxa" w:w="6026"/>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Target (95th percentile)</w:t>
            </w:r>
          </w:p>
        </w:tc>
      </w:tr>
      <w:tr>
        <w:tc>
          <w:tcPr>
            <w:tcW w:type="dxa" w:w="30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Phase 0</w:t>
            </w:r>
          </w:p>
        </w:tc>
        <w:tc>
          <w:tcPr>
            <w:tcW w:type="dxa" w:w="60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Measured and logged; no fixed target</w:t>
            </w:r>
          </w:p>
        </w:tc>
      </w:tr>
      <w:tr>
        <w:tc>
          <w:tcPr>
            <w:tcW w:type="dxa" w:w="30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Phase 1</w:t>
            </w:r>
          </w:p>
        </w:tc>
        <w:tc>
          <w:tcPr>
            <w:tcW w:type="dxa" w:w="60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Under 1 second</w:t>
            </w:r>
          </w:p>
        </w:tc>
      </w:tr>
      <w:tr>
        <w:tc>
          <w:tcPr>
            <w:tcW w:type="dxa" w:w="30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Phase 2</w:t>
            </w:r>
          </w:p>
        </w:tc>
        <w:tc>
          <w:tcPr>
            <w:tcW w:type="dxa" w:w="60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Under 500 milliseconds</w:t>
            </w:r>
          </w:p>
        </w:tc>
      </w:tr>
    </w:tbl>
    <w:p>
      <w:pPr>
        <w:pStyle w:val="Heading1"/>
        <w:spacing w:after="160" w:before="320" w:line="240" w:lineRule="auto"/>
      </w:pPr>
      <w:r>
        <w:rPr>
          <w:rFonts w:ascii="Calibri" w:cs="Calibri" w:eastAsia="Calibri" w:hAnsi="Calibri"/>
          <w:b/>
          <w:bCs/>
          <w:color w:val="000000"/>
          <w:sz w:val="30"/>
          <w:szCs w:val="30"/>
        </w:rPr>
        <w:t xml:space="preserve">4. Throughput and Concurrency</w:t>
      </w:r>
    </w:p>
    <w:p>
      <w:pPr>
        <w:spacing w:after="160" w:line="240" w:lineRule="auto"/>
        <w:jc w:val="both"/>
      </w:pPr>
      <w:r>
        <w:rPr>
          <w:rFonts w:ascii="Calibri" w:cs="Calibri" w:eastAsia="Calibri" w:hAnsi="Calibri"/>
          <w:color w:val="000000"/>
          <w:sz w:val="24"/>
          <w:szCs w:val="24"/>
        </w:rPr>
        <w:t xml:space="preserve">At Phase 1, each gRPC edge node is sized to hold at least 500 concurrent subscriber connections without breaching the ingestion lag target above. The edge layer as a whole scales horizontally, per the System Architecture Document, to add capacity beyond that per-node figure.</w:t>
      </w:r>
    </w:p>
    <w:p>
      <w:pPr>
        <w:pStyle w:val="Heading1"/>
        <w:spacing w:after="160" w:before="320" w:line="240" w:lineRule="auto"/>
      </w:pPr>
      <w:r>
        <w:rPr>
          <w:rFonts w:ascii="Calibri" w:cs="Calibri" w:eastAsia="Calibri" w:hAnsi="Calibri"/>
          <w:b/>
          <w:bCs/>
          <w:color w:val="000000"/>
          <w:sz w:val="30"/>
          <w:szCs w:val="30"/>
        </w:rPr>
        <w:t xml:space="preserve">5. Security Requirements</w:t>
      </w:r>
    </w:p>
    <w:p>
      <w:pPr>
        <w:spacing w:after="160" w:line="240" w:lineRule="auto"/>
        <w:jc w:val="both"/>
      </w:pPr>
      <w:r>
        <w:rPr>
          <w:rFonts w:ascii="Calibri" w:cs="Calibri" w:eastAsia="Calibri" w:hAnsi="Calibri"/>
          <w:color w:val="000000"/>
          <w:sz w:val="24"/>
          <w:szCs w:val="24"/>
        </w:rPr>
        <w:t xml:space="preserve">Summarized here; stated in full in the Security and Threat Model. All connections are encrypted in transit using TLS. All API keys are stored hashed, never in plain text. No component of this system ever holds a subscriber's or the network's private keys.</w:t>
      </w:r>
    </w:p>
    <w:p>
      <w:pPr>
        <w:pStyle w:val="Heading1"/>
        <w:spacing w:after="160" w:before="320" w:line="240" w:lineRule="auto"/>
      </w:pPr>
      <w:r>
        <w:rPr>
          <w:rFonts w:ascii="Calibri" w:cs="Calibri" w:eastAsia="Calibri" w:hAnsi="Calibri"/>
          <w:b/>
          <w:bCs/>
          <w:color w:val="000000"/>
          <w:sz w:val="30"/>
          <w:szCs w:val="30"/>
        </w:rPr>
        <w:t xml:space="preserve">6. Scalability</w:t>
      </w:r>
    </w:p>
    <w:p>
      <w:pPr>
        <w:spacing w:after="160" w:line="240" w:lineRule="auto"/>
        <w:jc w:val="both"/>
      </w:pPr>
      <w:r>
        <w:rPr>
          <w:rFonts w:ascii="Calibri" w:cs="Calibri" w:eastAsia="Calibri" w:hAnsi="Calibri"/>
          <w:color w:val="000000"/>
          <w:sz w:val="24"/>
          <w:szCs w:val="24"/>
        </w:rPr>
        <w:t xml:space="preserve">The gRPC edge layer must scale horizontally by adding nodes behind the load balancer, with no code change required. The ingestion path is intentionally not horizontally scaled in the same way, since it must remain a single logical source of truth per the consensus model described in the System Architecture Document; its scaling strategy is vertical, plus the hot-standby failover introduced at Phase 2.</w:t>
      </w:r>
    </w:p>
    <w:p>
      <w:pPr>
        <w:pStyle w:val="Heading1"/>
        <w:spacing w:after="160" w:before="320" w:line="240" w:lineRule="auto"/>
      </w:pPr>
      <w:r>
        <w:rPr>
          <w:rFonts w:ascii="Calibri" w:cs="Calibri" w:eastAsia="Calibri" w:hAnsi="Calibri"/>
          <w:b/>
          <w:bCs/>
          <w:color w:val="000000"/>
          <w:sz w:val="30"/>
          <w:szCs w:val="30"/>
        </w:rPr>
        <w:t xml:space="preserve">7. Observability</w:t>
      </w:r>
    </w:p>
    <w:p>
      <w:pPr>
        <w:spacing w:after="160" w:line="240" w:lineRule="auto"/>
        <w:jc w:val="both"/>
      </w:pPr>
      <w:r>
        <w:rPr>
          <w:rFonts w:ascii="Calibri" w:cs="Calibri" w:eastAsia="Calibri" w:hAnsi="Calibri"/>
          <w:color w:val="000000"/>
          <w:sz w:val="24"/>
          <w:szCs w:val="24"/>
        </w:rPr>
        <w:t xml:space="preserve">The following metrics are collected continuously from Phase 1 onward: ingestion lag at the 95th and 99th percentile, active subscriber connections per edge node, message bus backlog depth, edge node CPU and memory utilization, and API error rates by gRPC status code.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2026-09-15T06:59:53.995Z</dcterms:created>
  <dcterms:modified xsi:type="dcterms:W3CDTF">2026-09-15T06:59:53.995Z</dcterms:modified>
</cp:coreProperties>
</file>

<file path=docProps/custom.xml><?xml version="1.0" encoding="utf-8"?>
<Properties xmlns="http://schemas.openxmlformats.org/officeDocument/2006/custom-properties" xmlns:vt="http://schemas.openxmlformats.org/officeDocument/2006/docPropsVTypes"/>
</file>