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libri" w:cs="Calibri" w:eastAsia="Calibri" w:hAnsi="Calibri"/>
          <w:b/>
          <w:bCs/>
          <w:color w:val="000000"/>
          <w:sz w:val="44"/>
          <w:szCs w:val="44"/>
        </w:rPr>
        <w:t xml:space="preserve">Data Privacy and Compliance Note</w:t>
      </w:r>
    </w:p>
    <w:p>
      <w:pPr>
        <w:spacing w:after="40" w:line="240" w:lineRule="auto"/>
        <w:jc w:val="center"/>
      </w:pPr>
      <w:r>
        <w:rPr>
          <w:rFonts w:ascii="Calibri" w:cs="Calibri" w:eastAsia="Calibri" w:hAnsi="Calibri"/>
          <w:i/>
          <w:iCs/>
          <w:color w:val="000000"/>
          <w:sz w:val="22"/>
          <w:szCs w:val="22"/>
        </w:rPr>
        <w:t xml:space="preserve">StellarStream (working title)</w:t>
      </w:r>
    </w:p>
    <w:p>
      <w:pPr>
        <w:spacing w:after="40" w:line="240" w:lineRule="auto"/>
        <w:jc w:val="center"/>
      </w:pPr>
      <w:r>
        <w:rPr>
          <w:rFonts w:ascii="Calibri" w:cs="Calibri" w:eastAsia="Calibri" w:hAnsi="Calibri"/>
          <w:i/>
          <w:iCs/>
          <w:color w:val="000000"/>
          <w:sz w:val="22"/>
          <w:szCs w:val="22"/>
        </w:rPr>
        <w:t xml:space="preserve">Document 8 of 13: Data Privacy and Compliance Note</w:t>
      </w:r>
    </w:p>
    <w:p>
      <w:pPr>
        <w:spacing w:after="40" w:line="240" w:lineRule="auto"/>
        <w:jc w:val="center"/>
      </w:pPr>
      <w:r>
        <w:rPr>
          <w:rFonts w:ascii="Calibri" w:cs="Calibri" w:eastAsia="Calibri" w:hAnsi="Calibri"/>
          <w:i/>
          <w:iCs/>
          <w:color w:val="000000"/>
          <w:sz w:val="22"/>
          <w:szCs w:val="22"/>
        </w:rPr>
        <w:t xml:space="preserve">Version 0.1 - Draft for Review</w:t>
      </w:r>
    </w:p>
    <w:p>
      <w:pPr>
        <w:spacing w:after="40" w:line="240" w:lineRule="auto"/>
        <w:jc w:val="center"/>
      </w:pPr>
      <w:r>
        <w:rPr>
          <w:rFonts w:ascii="Calibri" w:cs="Calibri" w:eastAsia="Calibri" w:hAnsi="Calibri"/>
          <w:i/>
          <w:iCs/>
          <w:color w:val="000000"/>
          <w:sz w:val="22"/>
          <w:szCs w:val="22"/>
        </w:rPr>
        <w:t xml:space="preserve">Author: Rafif Muhammad Ransi Anargya</w:t>
      </w:r>
    </w:p>
    <w:p>
      <w:pPr>
        <w:spacing w:after="40" w:line="240" w:lineRule="auto"/>
        <w:jc w:val="center"/>
      </w:pPr>
      <w:r>
        <w:rPr>
          <w:rFonts w:ascii="Calibri" w:cs="Calibri" w:eastAsia="Calibri" w:hAnsi="Calibri"/>
          <w:i/>
          <w:iCs/>
          <w:color w:val="000000"/>
          <w:sz w:val="22"/>
          <w:szCs w:val="22"/>
        </w:rPr>
        <w:t xml:space="preserve">Date: 15 September 2026</w:t>
      </w:r>
    </w:p>
    <w:p>
      <w:pPr>
        <w:spacing w:after="200"/>
      </w:pPr>
      <w:r>
        <w:rPr>
          <w:rFonts w:ascii="Calibri" w:cs="Calibri" w:eastAsia="Calibri" w:hAnsi="Calibri"/>
          <w:sz w:val="24"/>
          <w:szCs w:val="24"/>
        </w:rPr>
        <w:t xml:space="preserve"/>
      </w:r>
    </w:p>
    <w:p>
      <w:pPr>
        <w:pStyle w:val="Heading1"/>
        <w:spacing w:after="160" w:before="320" w:line="240" w:lineRule="auto"/>
      </w:pPr>
      <w:r>
        <w:rPr>
          <w:rFonts w:ascii="Calibri" w:cs="Calibri" w:eastAsia="Calibri" w:hAnsi="Calibri"/>
          <w:b/>
          <w:bCs/>
          <w:color w:val="000000"/>
          <w:sz w:val="30"/>
          <w:szCs w:val="30"/>
        </w:rPr>
        <w:t xml:space="preserve">1. Purpose</w:t>
      </w:r>
    </w:p>
    <w:p>
      <w:pPr>
        <w:spacing w:after="160" w:line="240" w:lineRule="auto"/>
        <w:jc w:val="both"/>
      </w:pPr>
      <w:r>
        <w:rPr>
          <w:rFonts w:ascii="Calibri" w:cs="Calibri" w:eastAsia="Calibri" w:hAnsi="Calibri"/>
          <w:color w:val="000000"/>
          <w:sz w:val="24"/>
          <w:szCs w:val="24"/>
        </w:rPr>
        <w:t xml:space="preserve">This document states plainly what personal data, if any, StellarStream processes, and marks explicitly where formal compliance work remains outstanding.</w:t>
      </w:r>
    </w:p>
    <w:p>
      <w:pPr>
        <w:pStyle w:val="Heading1"/>
        <w:spacing w:after="160" w:before="320" w:line="240" w:lineRule="auto"/>
      </w:pPr>
      <w:r>
        <w:rPr>
          <w:rFonts w:ascii="Calibri" w:cs="Calibri" w:eastAsia="Calibri" w:hAnsi="Calibri"/>
          <w:b/>
          <w:bCs/>
          <w:color w:val="000000"/>
          <w:sz w:val="30"/>
          <w:szCs w:val="30"/>
        </w:rPr>
        <w:t xml:space="preserve">2. Data Categories</w:t>
      </w:r>
    </w:p>
    <w:p>
      <w:pPr>
        <w:pStyle w:val="Heading2"/>
        <w:spacing w:after="120" w:before="240" w:line="240" w:lineRule="auto"/>
      </w:pPr>
      <w:r>
        <w:rPr>
          <w:rFonts w:ascii="Calibri" w:cs="Calibri" w:eastAsia="Calibri" w:hAnsi="Calibri"/>
          <w:b/>
          <w:bCs/>
          <w:color w:val="000000"/>
          <w:sz w:val="26"/>
          <w:szCs w:val="26"/>
        </w:rPr>
        <w:t xml:space="preserve">2.1 On-chain ledger data</w:t>
      </w:r>
    </w:p>
    <w:p>
      <w:pPr>
        <w:spacing w:after="160" w:line="240" w:lineRule="auto"/>
        <w:jc w:val="both"/>
      </w:pPr>
      <w:r>
        <w:rPr>
          <w:rFonts w:ascii="Calibri" w:cs="Calibri" w:eastAsia="Calibri" w:hAnsi="Calibri"/>
          <w:color w:val="000000"/>
          <w:sz w:val="24"/>
          <w:szCs w:val="24"/>
        </w:rPr>
        <w:t xml:space="preserve">The events StellarStream relays are already public record on the Stellar network. Relaying them does not create a new privacy exposure beyond what already exists by virtue of the data being on a public ledger.</w:t>
      </w:r>
    </w:p>
    <w:p>
      <w:pPr>
        <w:pStyle w:val="Heading2"/>
        <w:spacing w:after="120" w:before="240" w:line="240" w:lineRule="auto"/>
      </w:pPr>
      <w:r>
        <w:rPr>
          <w:rFonts w:ascii="Calibri" w:cs="Calibri" w:eastAsia="Calibri" w:hAnsi="Calibri"/>
          <w:b/>
          <w:bCs/>
          <w:color w:val="000000"/>
          <w:sz w:val="26"/>
          <w:szCs w:val="26"/>
        </w:rPr>
        <w:t xml:space="preserve">2.2 Subscriber account data</w:t>
      </w:r>
    </w:p>
    <w:p>
      <w:pPr>
        <w:spacing w:after="160" w:line="240" w:lineRule="auto"/>
        <w:jc w:val="both"/>
      </w:pPr>
      <w:r>
        <w:rPr>
          <w:rFonts w:ascii="Calibri" w:cs="Calibri" w:eastAsia="Calibri" w:hAnsi="Calibri"/>
          <w:color w:val="000000"/>
          <w:sz w:val="24"/>
          <w:szCs w:val="24"/>
        </w:rPr>
        <w:t xml:space="preserve">To operate the service, StellarStream collects an account holder's name or organization, email address, and API key metadata, and records usage for billing and rate-limiting purposes. This is the only personal data the system handles.</w:t>
      </w:r>
    </w:p>
    <w:p>
      <w:pPr>
        <w:pStyle w:val="Heading1"/>
        <w:spacing w:after="160" w:before="320" w:line="240" w:lineRule="auto"/>
      </w:pPr>
      <w:r>
        <w:rPr>
          <w:rFonts w:ascii="Calibri" w:cs="Calibri" w:eastAsia="Calibri" w:hAnsi="Calibri"/>
          <w:b/>
          <w:bCs/>
          <w:color w:val="000000"/>
          <w:sz w:val="30"/>
          <w:szCs w:val="30"/>
        </w:rPr>
        <w:t xml:space="preserve">3. Data Retention</w:t>
      </w:r>
    </w:p>
    <w:p>
      <w:pPr>
        <w:spacing w:after="160" w:line="240" w:lineRule="auto"/>
        <w:jc w:val="both"/>
      </w:pPr>
      <w:r>
        <w:rPr>
          <w:rFonts w:ascii="Calibri" w:cs="Calibri" w:eastAsia="Calibri" w:hAnsi="Calibri"/>
          <w:color w:val="000000"/>
          <w:sz w:val="24"/>
          <w:szCs w:val="24"/>
        </w:rPr>
        <w:t xml:space="preserve">On-chain event data is retained in the message bus for approximately 24 to 48 hours only, per the Data Model and Event Schema Document. Subscriber account data is retained for as long as the account remains active, plus a standard interval after closure for billing-record purposes.</w:t>
      </w:r>
    </w:p>
    <w:p>
      <w:pPr>
        <w:pStyle w:val="Heading1"/>
        <w:spacing w:after="160" w:before="320" w:line="240" w:lineRule="auto"/>
      </w:pPr>
      <w:r>
        <w:rPr>
          <w:rFonts w:ascii="Calibri" w:cs="Calibri" w:eastAsia="Calibri" w:hAnsi="Calibri"/>
          <w:b/>
          <w:bCs/>
          <w:color w:val="000000"/>
          <w:sz w:val="30"/>
          <w:szCs w:val="30"/>
        </w:rPr>
        <w:t xml:space="preserve">4. Custody Disclaimer</w:t>
      </w:r>
    </w:p>
    <w:p>
      <w:pPr>
        <w:spacing w:after="160" w:line="240" w:lineRule="auto"/>
        <w:jc w:val="both"/>
      </w:pPr>
      <w:r>
        <w:rPr>
          <w:rFonts w:ascii="Calibri" w:cs="Calibri" w:eastAsia="Calibri" w:hAnsi="Calibri"/>
          <w:color w:val="000000"/>
          <w:sz w:val="24"/>
          <w:szCs w:val="24"/>
        </w:rPr>
        <w:t xml:space="preserve">StellarStream does not custody funds, does not hold private keys, and cannot move or freeze any subscriber's or any third party's assets. This should be stated explicitly to any institutional or regulated subscriber during onboarding.</w:t>
      </w:r>
    </w:p>
    <w:p>
      <w:pPr>
        <w:pStyle w:val="Heading1"/>
        <w:spacing w:after="160" w:before="320" w:line="240" w:lineRule="auto"/>
      </w:pPr>
      <w:r>
        <w:rPr>
          <w:rFonts w:ascii="Calibri" w:cs="Calibri" w:eastAsia="Calibri" w:hAnsi="Calibri"/>
          <w:b/>
          <w:bCs/>
          <w:color w:val="000000"/>
          <w:sz w:val="30"/>
          <w:szCs w:val="30"/>
        </w:rPr>
        <w:t xml:space="preserve">5. Outstanding Compliance Work</w:t>
      </w:r>
    </w:p>
    <w:p>
      <w:pPr>
        <w:spacing w:after="160" w:line="240" w:lineRule="auto"/>
        <w:jc w:val="both"/>
      </w:pPr>
      <w:r>
        <w:rPr>
          <w:rFonts w:ascii="Calibri" w:cs="Calibri" w:eastAsia="Calibri" w:hAnsi="Calibri"/>
          <w:color w:val="000000"/>
          <w:sz w:val="24"/>
          <w:szCs w:val="24"/>
        </w:rPr>
        <w:t xml:space="preserve">As of this draft, no formal regulatory certification, such as SOC 2, has been pursued. This is an honest and material gap for institutional or real-world-asset-focused subscribers, who are the segment identified in the Business Case as the primary driver of Stellar's current ecosystem growth. It should be revisited before any enterprise-tier sales conversation reaches a contracting stage.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2026-09-15T06:59:54.016Z</dcterms:created>
  <dcterms:modified xsi:type="dcterms:W3CDTF">2026-09-15T06:59:54.016Z</dcterms:modified>
</cp:coreProperties>
</file>

<file path=docProps/custom.xml><?xml version="1.0" encoding="utf-8"?>
<Properties xmlns="http://schemas.openxmlformats.org/officeDocument/2006/custom-properties" xmlns:vt="http://schemas.openxmlformats.org/officeDocument/2006/docPropsVTypes"/>
</file>