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00000"/>
          <w:sz w:val="44"/>
          <w:szCs w:val="44"/>
        </w:rPr>
        <w:t xml:space="preserve">Test Plan and QA Strategy</w:t>
      </w:r>
    </w:p>
    <w:p>
      <w:pPr>
        <w:spacing w:after="40" w:line="240" w:lineRule="auto"/>
        <w:jc w:val="center"/>
      </w:pPr>
      <w:r>
        <w:rPr>
          <w:rFonts w:ascii="Calibri" w:cs="Calibri" w:eastAsia="Calibri" w:hAnsi="Calibri"/>
          <w:i/>
          <w:iCs/>
          <w:color w:val="000000"/>
          <w:sz w:val="22"/>
          <w:szCs w:val="22"/>
        </w:rPr>
        <w:t xml:space="preserve">StellarStream (working title)</w:t>
      </w:r>
    </w:p>
    <w:p>
      <w:pPr>
        <w:spacing w:after="40" w:line="240" w:lineRule="auto"/>
        <w:jc w:val="center"/>
      </w:pPr>
      <w:r>
        <w:rPr>
          <w:rFonts w:ascii="Calibri" w:cs="Calibri" w:eastAsia="Calibri" w:hAnsi="Calibri"/>
          <w:i/>
          <w:iCs/>
          <w:color w:val="000000"/>
          <w:sz w:val="22"/>
          <w:szCs w:val="22"/>
        </w:rPr>
        <w:t xml:space="preserve">Document 9 of 13: Test Plan and QA Strategy</w:t>
      </w:r>
    </w:p>
    <w:p>
      <w:pPr>
        <w:spacing w:after="40" w:line="240" w:lineRule="auto"/>
        <w:jc w:val="center"/>
      </w:pPr>
      <w:r>
        <w:rPr>
          <w:rFonts w:ascii="Calibri" w:cs="Calibri" w:eastAsia="Calibri" w:hAnsi="Calibri"/>
          <w:i/>
          <w:iCs/>
          <w:color w:val="000000"/>
          <w:sz w:val="22"/>
          <w:szCs w:val="22"/>
        </w:rPr>
        <w:t xml:space="preserve">Version 0.1 - Draft for Review</w:t>
      </w:r>
    </w:p>
    <w:p>
      <w:pPr>
        <w:spacing w:after="40" w:line="240" w:lineRule="auto"/>
        <w:jc w:val="center"/>
      </w:pPr>
      <w:r>
        <w:rPr>
          <w:rFonts w:ascii="Calibri" w:cs="Calibri" w:eastAsia="Calibri" w:hAnsi="Calibri"/>
          <w:i/>
          <w:iCs/>
          <w:color w:val="000000"/>
          <w:sz w:val="22"/>
          <w:szCs w:val="22"/>
        </w:rPr>
        <w:t xml:space="preserve">Author: Rafif Muhammad Ransi Anargya</w:t>
      </w:r>
    </w:p>
    <w:p>
      <w:pPr>
        <w:spacing w:after="40" w:line="240" w:lineRule="auto"/>
        <w:jc w:val="center"/>
      </w:pPr>
      <w:r>
        <w:rPr>
          <w:rFonts w:ascii="Calibri" w:cs="Calibri" w:eastAsia="Calibri" w:hAnsi="Calibri"/>
          <w:i/>
          <w:iCs/>
          <w:color w:val="000000"/>
          <w:sz w:val="22"/>
          <w:szCs w:val="22"/>
        </w:rPr>
        <w:t xml:space="preserve">Date: 15 September 2026</w:t>
      </w:r>
    </w:p>
    <w:p>
      <w:pPr>
        <w:spacing w:after="200"/>
      </w:pPr>
      <w:r>
        <w:rPr>
          <w:rFonts w:ascii="Calibri" w:cs="Calibri" w:eastAsia="Calibri" w:hAnsi="Calibri"/>
          <w:sz w:val="24"/>
          <w:szCs w:val="24"/>
        </w:rPr>
        <w:t xml:space="preserve"/>
      </w:r>
    </w:p>
    <w:p>
      <w:pPr>
        <w:pStyle w:val="Heading1"/>
        <w:spacing w:after="160" w:before="320" w:line="240" w:lineRule="auto"/>
      </w:pPr>
      <w:r>
        <w:rPr>
          <w:rFonts w:ascii="Calibri" w:cs="Calibri" w:eastAsia="Calibri" w:hAnsi="Calibri"/>
          <w:b/>
          <w:bCs/>
          <w:color w:val="000000"/>
          <w:sz w:val="30"/>
          <w:szCs w:val="30"/>
        </w:rPr>
        <w:t xml:space="preserve">1. Purpose</w:t>
      </w:r>
    </w:p>
    <w:p>
      <w:pPr>
        <w:spacing w:after="160" w:line="240" w:lineRule="auto"/>
        <w:jc w:val="both"/>
      </w:pPr>
      <w:r>
        <w:rPr>
          <w:rFonts w:ascii="Calibri" w:cs="Calibri" w:eastAsia="Calibri" w:hAnsi="Calibri"/>
          <w:color w:val="000000"/>
          <w:sz w:val="24"/>
          <w:szCs w:val="24"/>
        </w:rPr>
        <w:t xml:space="preserve">This document formalizes how StellarStream is verified, both before a change ships and continuously after it is already running in production, since correctness cannot be confirmed by a single pre-launch test pass alone.</w:t>
      </w:r>
    </w:p>
    <w:p>
      <w:pPr>
        <w:pStyle w:val="Heading1"/>
        <w:spacing w:after="160" w:before="320" w:line="240" w:lineRule="auto"/>
      </w:pPr>
      <w:r>
        <w:rPr>
          <w:rFonts w:ascii="Calibri" w:cs="Calibri" w:eastAsia="Calibri" w:hAnsi="Calibri"/>
          <w:b/>
          <w:bCs/>
          <w:color w:val="000000"/>
          <w:sz w:val="30"/>
          <w:szCs w:val="30"/>
        </w:rPr>
        <w:t xml:space="preserve">2. Correctness Testing</w:t>
      </w:r>
    </w:p>
    <w:p>
      <w:pPr>
        <w:spacing w:after="160" w:line="240" w:lineRule="auto"/>
        <w:jc w:val="both"/>
      </w:pPr>
      <w:r>
        <w:rPr>
          <w:rFonts w:ascii="Calibri" w:cs="Calibri" w:eastAsia="Calibri" w:hAnsi="Calibri"/>
          <w:color w:val="000000"/>
          <w:sz w:val="24"/>
          <w:szCs w:val="24"/>
        </w:rPr>
        <w:t xml:space="preserve">For every ledger, the ingestion service's decoded output is compared against the same ledger range as reported independently by Stellar's own RPC and Horizon services. Any discrepancy is treated as a decoding defect and blocks release until resolved.</w:t>
      </w:r>
    </w:p>
    <w:p>
      <w:pPr>
        <w:pStyle w:val="Heading1"/>
        <w:spacing w:after="160" w:before="320" w:line="240" w:lineRule="auto"/>
      </w:pPr>
      <w:r>
        <w:rPr>
          <w:rFonts w:ascii="Calibri" w:cs="Calibri" w:eastAsia="Calibri" w:hAnsi="Calibri"/>
          <w:b/>
          <w:bCs/>
          <w:color w:val="000000"/>
          <w:sz w:val="30"/>
          <w:szCs w:val="30"/>
        </w:rPr>
        <w:t xml:space="preserve">3. Load Testing</w:t>
      </w:r>
    </w:p>
    <w:p>
      <w:pPr>
        <w:spacing w:after="160" w:line="240" w:lineRule="auto"/>
        <w:jc w:val="both"/>
      </w:pPr>
      <w:r>
        <w:rPr>
          <w:rFonts w:ascii="Calibri" w:cs="Calibri" w:eastAsia="Calibri" w:hAnsi="Calibri"/>
          <w:color w:val="000000"/>
          <w:sz w:val="24"/>
          <w:szCs w:val="24"/>
        </w:rPr>
        <w:t xml:space="preserve">Before each phase transition described in the Product Requirements Document, the gRPC edge layer is tested with simulated concurrent subscriber connections at least twice the volume expected at that phase, while ingestion lag is monitored to confirm it remains within the target defined in the Non-Functional Requirements Document.</w:t>
      </w:r>
    </w:p>
    <w:p>
      <w:pPr>
        <w:pStyle w:val="Heading1"/>
        <w:spacing w:after="160" w:before="320" w:line="240" w:lineRule="auto"/>
      </w:pPr>
      <w:r>
        <w:rPr>
          <w:rFonts w:ascii="Calibri" w:cs="Calibri" w:eastAsia="Calibri" w:hAnsi="Calibri"/>
          <w:b/>
          <w:bCs/>
          <w:color w:val="000000"/>
          <w:sz w:val="30"/>
          <w:szCs w:val="30"/>
        </w:rPr>
        <w:t xml:space="preserve">4. Chaos Testing</w:t>
      </w:r>
    </w:p>
    <w:p>
      <w:pPr>
        <w:spacing w:after="160" w:line="240" w:lineRule="auto"/>
        <w:jc w:val="both"/>
      </w:pPr>
      <w:r>
        <w:rPr>
          <w:rFonts w:ascii="Calibri" w:cs="Calibri" w:eastAsia="Calibri" w:hAnsi="Calibri"/>
          <w:color w:val="000000"/>
          <w:sz w:val="24"/>
          <w:szCs w:val="24"/>
        </w:rPr>
        <w:t xml:space="preserve">The ingestion instance, the message bus, and individual edge nodes are each deliberately terminated in a controlled environment to confirm that failover, cursor-based resume, and reconnection behave as designed, rather than assuming they do because the code was written to do so.</w:t>
      </w:r>
    </w:p>
    <w:p>
      <w:pPr>
        <w:pStyle w:val="Heading1"/>
        <w:spacing w:after="160" w:before="320" w:line="240" w:lineRule="auto"/>
      </w:pPr>
      <w:r>
        <w:rPr>
          <w:rFonts w:ascii="Calibri" w:cs="Calibri" w:eastAsia="Calibri" w:hAnsi="Calibri"/>
          <w:b/>
          <w:bCs/>
          <w:color w:val="000000"/>
          <w:sz w:val="30"/>
          <w:szCs w:val="30"/>
        </w:rPr>
        <w:t xml:space="preserve">5. Environments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2600"/>
        <w:gridCol w:w="4226"/>
      </w:tblGrid>
      <w:tr>
        <w:trPr>
          <w:tblHeader/>
        </w:trPr>
        <w:tc>
          <w:tcPr>
            <w:tcW w:type="dxa" w:w="22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Environment</w:t>
            </w:r>
          </w:p>
        </w:tc>
        <w:tc>
          <w:tcPr>
            <w:tcW w:type="dxa" w:w="26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Network</w:t>
            </w:r>
          </w:p>
        </w:tc>
        <w:tc>
          <w:tcPr>
            <w:tcW w:type="dxa" w:w="4226"/>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Purpose</w:t>
            </w:r>
          </w:p>
        </w:tc>
      </w:tr>
      <w:tr>
        <w:tc>
          <w:tcPr>
            <w:tcW w:type="dxa" w:w="22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Local development</w:t>
            </w:r>
          </w:p>
        </w:tc>
        <w:tc>
          <w:tcPr>
            <w:tcW w:type="dxa" w:w="26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None; recorded or synthetic ledger data</w:t>
            </w:r>
          </w:p>
        </w:tc>
        <w:tc>
          <w:tcPr>
            <w:tcW w:type="dxa" w:w="42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Day-to-day development and unit testing</w:t>
            </w:r>
          </w:p>
        </w:tc>
      </w:tr>
      <w:tr>
        <w:tc>
          <w:tcPr>
            <w:tcW w:type="dxa" w:w="22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Staging</w:t>
            </w:r>
          </w:p>
        </w:tc>
        <w:tc>
          <w:tcPr>
            <w:tcW w:type="dxa" w:w="26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Stellar Testnet</w:t>
            </w:r>
          </w:p>
        </w:tc>
        <w:tc>
          <w:tcPr>
            <w:tcW w:type="dxa" w:w="42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Full end-to-end verification against a live but valueless network before any Mainnet change</w:t>
            </w:r>
          </w:p>
        </w:tc>
      </w:tr>
      <w:tr>
        <w:tc>
          <w:tcPr>
            <w:tcW w:type="dxa" w:w="22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Production</w:t>
            </w:r>
          </w:p>
        </w:tc>
        <w:tc>
          <w:tcPr>
            <w:tcW w:type="dxa" w:w="26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Stellar Mainnet</w:t>
            </w:r>
          </w:p>
        </w:tc>
        <w:tc>
          <w:tcPr>
            <w:tcW w:type="dxa" w:w="42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Live service</w:t>
            </w:r>
          </w:p>
        </w:tc>
      </w:tr>
    </w:tbl>
    <w:p>
      <w:pPr>
        <w:pStyle w:val="Heading1"/>
        <w:spacing w:after="160" w:before="320" w:line="240" w:lineRule="auto"/>
      </w:pPr>
      <w:r>
        <w:rPr>
          <w:rFonts w:ascii="Calibri" w:cs="Calibri" w:eastAsia="Calibri" w:hAnsi="Calibri"/>
          <w:b/>
          <w:bCs/>
          <w:color w:val="000000"/>
          <w:sz w:val="30"/>
          <w:szCs w:val="30"/>
        </w:rPr>
        <w:t xml:space="preserve">6. Release Criteria</w:t>
      </w:r>
    </w:p>
    <w:p>
      <w:pPr>
        <w:spacing w:after="160" w:line="240" w:lineRule="auto"/>
        <w:jc w:val="both"/>
      </w:pPr>
      <w:r>
        <w:rPr>
          <w:rFonts w:ascii="Calibri" w:cs="Calibri" w:eastAsia="Calibri" w:hAnsi="Calibri"/>
          <w:color w:val="000000"/>
          <w:sz w:val="24"/>
          <w:szCs w:val="24"/>
        </w:rPr>
        <w:t xml:space="preserve">No change is promoted from staging to production unless correctness testing shows zero discrepancies against Horizon and RPC over a continuous 24-hour Testnet observation window, and load testing confirms the ingestion lag target for the current phase is met.</w:t>
      </w:r>
    </w:p>
    <w:p>
      <w:pPr>
        <w:pStyle w:val="Heading1"/>
        <w:spacing w:after="160" w:before="320" w:line="240" w:lineRule="auto"/>
      </w:pPr>
      <w:r>
        <w:rPr>
          <w:rFonts w:ascii="Calibri" w:cs="Calibri" w:eastAsia="Calibri" w:hAnsi="Calibri"/>
          <w:b/>
          <w:bCs/>
          <w:color w:val="000000"/>
          <w:sz w:val="30"/>
          <w:szCs w:val="30"/>
        </w:rPr>
        <w:t xml:space="preserve">7. Continuous Production Monitoring</w:t>
      </w:r>
    </w:p>
    <w:p>
      <w:pPr>
        <w:spacing w:after="160" w:line="240" w:lineRule="auto"/>
        <w:jc w:val="both"/>
      </w:pPr>
      <w:r>
        <w:rPr>
          <w:rFonts w:ascii="Calibri" w:cs="Calibri" w:eastAsia="Calibri" w:hAnsi="Calibri"/>
          <w:color w:val="000000"/>
          <w:sz w:val="24"/>
          <w:szCs w:val="24"/>
        </w:rPr>
        <w:t xml:space="preserve">A synthetic canary subscription runs permanently against the production service, subscribed to a known, active contract, and independently measures ingestion lag around the clock. This is the mechanism that answers the question of how the product is tested once it is already built: not through a single test suite run once, but through a check that never stops running and alerts immediately if lag or correctness drifts.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2026-09-15T06:59:54.026Z</dcterms:created>
  <dcterms:modified xsi:type="dcterms:W3CDTF">2026-09-15T06:59:54.026Z</dcterms:modified>
</cp:coreProperties>
</file>

<file path=docProps/custom.xml><?xml version="1.0" encoding="utf-8"?>
<Properties xmlns="http://schemas.openxmlformats.org/officeDocument/2006/custom-properties" xmlns:vt="http://schemas.openxmlformats.org/officeDocument/2006/docPropsVTypes"/>
</file>