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Calibri" w:cs="Calibri" w:eastAsia="Calibri" w:hAnsi="Calibri"/>
          <w:b/>
          <w:bCs/>
          <w:color w:val="000000"/>
          <w:sz w:val="44"/>
          <w:szCs w:val="44"/>
        </w:rPr>
        <w:t xml:space="preserve">Runbook and Operations Manual</w:t>
      </w:r>
    </w:p>
    <w:p>
      <w:pPr>
        <w:spacing w:after="40" w:line="240" w:lineRule="auto"/>
        <w:jc w:val="center"/>
      </w:pPr>
      <w:r>
        <w:rPr>
          <w:rFonts w:ascii="Calibri" w:cs="Calibri" w:eastAsia="Calibri" w:hAnsi="Calibri"/>
          <w:i/>
          <w:iCs/>
          <w:color w:val="000000"/>
          <w:sz w:val="22"/>
          <w:szCs w:val="22"/>
        </w:rPr>
        <w:t xml:space="preserve">StellarStream (working title)</w:t>
      </w:r>
    </w:p>
    <w:p>
      <w:pPr>
        <w:spacing w:after="40" w:line="240" w:lineRule="auto"/>
        <w:jc w:val="center"/>
      </w:pPr>
      <w:r>
        <w:rPr>
          <w:rFonts w:ascii="Calibri" w:cs="Calibri" w:eastAsia="Calibri" w:hAnsi="Calibri"/>
          <w:i/>
          <w:iCs/>
          <w:color w:val="000000"/>
          <w:sz w:val="22"/>
          <w:szCs w:val="22"/>
        </w:rPr>
        <w:t xml:space="preserve">Document 10 of 13: Runbook and Operations Manual</w:t>
      </w:r>
    </w:p>
    <w:p>
      <w:pPr>
        <w:spacing w:after="40" w:line="240" w:lineRule="auto"/>
        <w:jc w:val="center"/>
      </w:pPr>
      <w:r>
        <w:rPr>
          <w:rFonts w:ascii="Calibri" w:cs="Calibri" w:eastAsia="Calibri" w:hAnsi="Calibri"/>
          <w:i/>
          <w:iCs/>
          <w:color w:val="000000"/>
          <w:sz w:val="22"/>
          <w:szCs w:val="22"/>
        </w:rPr>
        <w:t xml:space="preserve">Version 0.1 - Draft for Review</w:t>
      </w:r>
    </w:p>
    <w:p>
      <w:pPr>
        <w:spacing w:after="40" w:line="240" w:lineRule="auto"/>
        <w:jc w:val="center"/>
      </w:pPr>
      <w:r>
        <w:rPr>
          <w:rFonts w:ascii="Calibri" w:cs="Calibri" w:eastAsia="Calibri" w:hAnsi="Calibri"/>
          <w:i/>
          <w:iCs/>
          <w:color w:val="000000"/>
          <w:sz w:val="22"/>
          <w:szCs w:val="22"/>
        </w:rPr>
        <w:t xml:space="preserve">Author: Rafif Muhammad Ransi Anargya</w:t>
      </w:r>
    </w:p>
    <w:p>
      <w:pPr>
        <w:spacing w:after="40" w:line="240" w:lineRule="auto"/>
        <w:jc w:val="center"/>
      </w:pPr>
      <w:r>
        <w:rPr>
          <w:rFonts w:ascii="Calibri" w:cs="Calibri" w:eastAsia="Calibri" w:hAnsi="Calibri"/>
          <w:i/>
          <w:iCs/>
          <w:color w:val="000000"/>
          <w:sz w:val="22"/>
          <w:szCs w:val="22"/>
        </w:rPr>
        <w:t xml:space="preserve">Date: 15 September 2026</w:t>
      </w:r>
    </w:p>
    <w:p>
      <w:pPr>
        <w:spacing w:after="200"/>
      </w:pPr>
      <w:r>
        <w:rPr>
          <w:rFonts w:ascii="Calibri" w:cs="Calibri" w:eastAsia="Calibri" w:hAnsi="Calibri"/>
          <w:sz w:val="24"/>
          <w:szCs w:val="24"/>
        </w:rPr>
        <w:t xml:space="preserve"/>
      </w:r>
    </w:p>
    <w:p>
      <w:pPr>
        <w:pStyle w:val="Heading1"/>
        <w:spacing w:after="160" w:before="320" w:line="240" w:lineRule="auto"/>
      </w:pPr>
      <w:r>
        <w:rPr>
          <w:rFonts w:ascii="Calibri" w:cs="Calibri" w:eastAsia="Calibri" w:hAnsi="Calibri"/>
          <w:b/>
          <w:bCs/>
          <w:color w:val="000000"/>
          <w:sz w:val="30"/>
          <w:szCs w:val="30"/>
        </w:rPr>
        <w:t xml:space="preserve">1. Purpose</w:t>
      </w:r>
    </w:p>
    <w:p>
      <w:pPr>
        <w:spacing w:after="160" w:line="240" w:lineRule="auto"/>
        <w:jc w:val="both"/>
      </w:pPr>
      <w:r>
        <w:rPr>
          <w:rFonts w:ascii="Calibri" w:cs="Calibri" w:eastAsia="Calibri" w:hAnsi="Calibri"/>
          <w:color w:val="000000"/>
          <w:sz w:val="24"/>
          <w:szCs w:val="24"/>
        </w:rPr>
        <w:t xml:space="preserve">This document is the procedure to follow when something goes wrong in production. It is written to be followed directly during an incident, not studied in advance.</w:t>
      </w:r>
    </w:p>
    <w:p>
      <w:pPr>
        <w:pStyle w:val="Heading1"/>
        <w:spacing w:after="160" w:before="320" w:line="240" w:lineRule="auto"/>
      </w:pPr>
      <w:r>
        <w:rPr>
          <w:rFonts w:ascii="Calibri" w:cs="Calibri" w:eastAsia="Calibri" w:hAnsi="Calibri"/>
          <w:b/>
          <w:bCs/>
          <w:color w:val="000000"/>
          <w:sz w:val="30"/>
          <w:szCs w:val="30"/>
        </w:rPr>
        <w:t xml:space="preserve">2. Roles</w:t>
      </w:r>
    </w:p>
    <w:p>
      <w:pPr>
        <w:spacing w:after="160" w:line="240" w:lineRule="auto"/>
        <w:jc w:val="both"/>
      </w:pPr>
      <w:r>
        <w:rPr>
          <w:rFonts w:ascii="Calibri" w:cs="Calibri" w:eastAsia="Calibri" w:hAnsi="Calibri"/>
          <w:color w:val="000000"/>
          <w:sz w:val="24"/>
          <w:szCs w:val="24"/>
        </w:rPr>
        <w:t xml:space="preserve">At Phase 0 and Phase 1, one person holds the combined role of primary operator, responsible for responding to every alert. This role and its responsibilities should be formally split as the team grows.</w:t>
      </w:r>
    </w:p>
    <w:p>
      <w:pPr>
        <w:pStyle w:val="Heading1"/>
        <w:spacing w:after="160" w:before="320" w:line="240" w:lineRule="auto"/>
      </w:pPr>
      <w:r>
        <w:rPr>
          <w:rFonts w:ascii="Calibri" w:cs="Calibri" w:eastAsia="Calibri" w:hAnsi="Calibri"/>
          <w:b/>
          <w:bCs/>
          <w:color w:val="000000"/>
          <w:sz w:val="30"/>
          <w:szCs w:val="30"/>
        </w:rPr>
        <w:t xml:space="preserve">3. Incident Types and Response</w:t>
      </w:r>
    </w:p>
    <w:tbl>
      <w:tblPr>
        <w:tblW w:type="dxa" w:w="9026"/>
        <w:tblBorders>
          <w:top w:val="single" w:color="000000" w:sz="4"/>
          <w:left w:val="single" w:color="000000" w:sz="4"/>
          <w:bottom w:val="single" w:color="000000" w:sz="4"/>
          <w:right w:val="single" w:color="000000" w:sz="4"/>
          <w:insideH w:val="single" w:color="000000" w:sz="4"/>
          <w:insideV w:val="single" w:color="000000" w:sz="4"/>
        </w:tblBorders>
      </w:tblPr>
      <w:tblGrid>
        <w:gridCol w:w="2100"/>
        <w:gridCol w:w="2500"/>
        <w:gridCol w:w="4426"/>
      </w:tblGrid>
      <w:tr>
        <w:trPr>
          <w:tblHeader/>
        </w:trPr>
        <w:tc>
          <w:tcPr>
            <w:tcW w:type="dxa" w:w="2100"/>
            <w:tcMar>
              <w:top w:type="dxa" w:w="60"/>
              <w:left w:type="dxa" w:w="100"/>
              <w:bottom w:type="dxa" w:w="60"/>
              <w:right w:type="dxa" w:w="100"/>
            </w:tcMar>
            <w:vAlign w:val="center"/>
          </w:tcPr>
          <w:p>
            <w:pPr>
              <w:spacing w:line="240" w:lineRule="auto"/>
            </w:pPr>
            <w:r>
              <w:rPr>
                <w:rFonts w:ascii="Calibri" w:cs="Calibri" w:eastAsia="Calibri" w:hAnsi="Calibri"/>
                <w:b/>
                <w:bCs/>
                <w:color w:val="000000"/>
                <w:sz w:val="21"/>
                <w:szCs w:val="21"/>
              </w:rPr>
              <w:t xml:space="preserve">Symptom</w:t>
            </w:r>
          </w:p>
        </w:tc>
        <w:tc>
          <w:tcPr>
            <w:tcW w:type="dxa" w:w="2500"/>
            <w:tcMar>
              <w:top w:type="dxa" w:w="60"/>
              <w:left w:type="dxa" w:w="100"/>
              <w:bottom w:type="dxa" w:w="60"/>
              <w:right w:type="dxa" w:w="100"/>
            </w:tcMar>
            <w:vAlign w:val="center"/>
          </w:tcPr>
          <w:p>
            <w:pPr>
              <w:spacing w:line="240" w:lineRule="auto"/>
            </w:pPr>
            <w:r>
              <w:rPr>
                <w:rFonts w:ascii="Calibri" w:cs="Calibri" w:eastAsia="Calibri" w:hAnsi="Calibri"/>
                <w:b/>
                <w:bCs/>
                <w:color w:val="000000"/>
                <w:sz w:val="21"/>
                <w:szCs w:val="21"/>
              </w:rPr>
              <w:t xml:space="preserve">Likely cause</w:t>
            </w:r>
          </w:p>
        </w:tc>
        <w:tc>
          <w:tcPr>
            <w:tcW w:type="dxa" w:w="4426"/>
            <w:tcMar>
              <w:top w:type="dxa" w:w="60"/>
              <w:left w:type="dxa" w:w="100"/>
              <w:bottom w:type="dxa" w:w="60"/>
              <w:right w:type="dxa" w:w="100"/>
            </w:tcMar>
            <w:vAlign w:val="center"/>
          </w:tcPr>
          <w:p>
            <w:pPr>
              <w:spacing w:line="240" w:lineRule="auto"/>
            </w:pPr>
            <w:r>
              <w:rPr>
                <w:rFonts w:ascii="Calibri" w:cs="Calibri" w:eastAsia="Calibri" w:hAnsi="Calibri"/>
                <w:b/>
                <w:bCs/>
                <w:color w:val="000000"/>
                <w:sz w:val="21"/>
                <w:szCs w:val="21"/>
              </w:rPr>
              <w:t xml:space="preserve">Immediate action</w:t>
            </w:r>
          </w:p>
        </w:tc>
      </w:tr>
      <w:tr>
        <w:tc>
          <w:tcPr>
            <w:tcW w:type="dxa" w:w="2100"/>
            <w:tcMar>
              <w:top w:type="dxa" w:w="60"/>
              <w:left w:type="dxa" w:w="100"/>
              <w:bottom w:type="dxa" w:w="60"/>
              <w:right w:type="dxa" w:w="100"/>
            </w:tcMar>
            <w:vAlign w:val="center"/>
          </w:tcPr>
          <w:p>
            <w:pPr>
              <w:spacing w:line="240" w:lineRule="auto"/>
            </w:pPr>
            <w:r>
              <w:rPr>
                <w:rFonts w:ascii="Calibri" w:cs="Calibri" w:eastAsia="Calibri" w:hAnsi="Calibri"/>
                <w:b w:val="false"/>
                <w:bCs w:val="false"/>
                <w:color w:val="000000"/>
                <w:sz w:val="21"/>
                <w:szCs w:val="21"/>
              </w:rPr>
              <w:t xml:space="preserve">Ingestion lag alert fires</w:t>
            </w:r>
          </w:p>
        </w:tc>
        <w:tc>
          <w:tcPr>
            <w:tcW w:type="dxa" w:w="2500"/>
            <w:tcMar>
              <w:top w:type="dxa" w:w="60"/>
              <w:left w:type="dxa" w:w="100"/>
              <w:bottom w:type="dxa" w:w="60"/>
              <w:right w:type="dxa" w:w="100"/>
            </w:tcMar>
            <w:vAlign w:val="center"/>
          </w:tcPr>
          <w:p>
            <w:pPr>
              <w:spacing w:line="240" w:lineRule="auto"/>
            </w:pPr>
            <w:r>
              <w:rPr>
                <w:rFonts w:ascii="Calibri" w:cs="Calibri" w:eastAsia="Calibri" w:hAnsi="Calibri"/>
                <w:b w:val="false"/>
                <w:bCs w:val="false"/>
                <w:color w:val="000000"/>
                <w:sz w:val="21"/>
                <w:szCs w:val="21"/>
              </w:rPr>
              <w:t xml:space="preserve">Ingestion instance under load, or a Captive Core resync in progress</w:t>
            </w:r>
          </w:p>
        </w:tc>
        <w:tc>
          <w:tcPr>
            <w:tcW w:type="dxa" w:w="4426"/>
            <w:tcMar>
              <w:top w:type="dxa" w:w="60"/>
              <w:left w:type="dxa" w:w="100"/>
              <w:bottom w:type="dxa" w:w="60"/>
              <w:right w:type="dxa" w:w="100"/>
            </w:tcMar>
            <w:vAlign w:val="center"/>
          </w:tcPr>
          <w:p>
            <w:pPr>
              <w:spacing w:line="240" w:lineRule="auto"/>
            </w:pPr>
            <w:r>
              <w:rPr>
                <w:rFonts w:ascii="Calibri" w:cs="Calibri" w:eastAsia="Calibri" w:hAnsi="Calibri"/>
                <w:b w:val="false"/>
                <w:bCs w:val="false"/>
                <w:color w:val="000000"/>
                <w:sz w:val="21"/>
                <w:szCs w:val="21"/>
              </w:rPr>
              <w:t xml:space="preserve">Check ingestion service logs and Captive Core sync status first; do not restart the instance until a resync in progress is ruled out, since restarting mid-resync extends the outage</w:t>
            </w:r>
          </w:p>
        </w:tc>
      </w:tr>
      <w:tr>
        <w:tc>
          <w:tcPr>
            <w:tcW w:type="dxa" w:w="2100"/>
            <w:tcMar>
              <w:top w:type="dxa" w:w="60"/>
              <w:left w:type="dxa" w:w="100"/>
              <w:bottom w:type="dxa" w:w="60"/>
              <w:right w:type="dxa" w:w="100"/>
            </w:tcMar>
            <w:vAlign w:val="center"/>
          </w:tcPr>
          <w:p>
            <w:pPr>
              <w:spacing w:line="240" w:lineRule="auto"/>
            </w:pPr>
            <w:r>
              <w:rPr>
                <w:rFonts w:ascii="Calibri" w:cs="Calibri" w:eastAsia="Calibri" w:hAnsi="Calibri"/>
                <w:b w:val="false"/>
                <w:bCs w:val="false"/>
                <w:color w:val="000000"/>
                <w:sz w:val="21"/>
                <w:szCs w:val="21"/>
              </w:rPr>
              <w:t xml:space="preserve">Ingestion instance unresponsive</w:t>
            </w:r>
          </w:p>
        </w:tc>
        <w:tc>
          <w:tcPr>
            <w:tcW w:type="dxa" w:w="2500"/>
            <w:tcMar>
              <w:top w:type="dxa" w:w="60"/>
              <w:left w:type="dxa" w:w="100"/>
              <w:bottom w:type="dxa" w:w="60"/>
              <w:right w:type="dxa" w:w="100"/>
            </w:tcMar>
            <w:vAlign w:val="center"/>
          </w:tcPr>
          <w:p>
            <w:pPr>
              <w:spacing w:line="240" w:lineRule="auto"/>
            </w:pPr>
            <w:r>
              <w:rPr>
                <w:rFonts w:ascii="Calibri" w:cs="Calibri" w:eastAsia="Calibri" w:hAnsi="Calibri"/>
                <w:b w:val="false"/>
                <w:bCs w:val="false"/>
                <w:color w:val="000000"/>
                <w:sz w:val="21"/>
                <w:szCs w:val="21"/>
              </w:rPr>
              <w:t xml:space="preserve">Process crash or host failure</w:t>
            </w:r>
          </w:p>
        </w:tc>
        <w:tc>
          <w:tcPr>
            <w:tcW w:type="dxa" w:w="4426"/>
            <w:tcMar>
              <w:top w:type="dxa" w:w="60"/>
              <w:left w:type="dxa" w:w="100"/>
              <w:bottom w:type="dxa" w:w="60"/>
              <w:right w:type="dxa" w:w="100"/>
            </w:tcMar>
            <w:vAlign w:val="center"/>
          </w:tcPr>
          <w:p>
            <w:pPr>
              <w:spacing w:line="240" w:lineRule="auto"/>
            </w:pPr>
            <w:r>
              <w:rPr>
                <w:rFonts w:ascii="Calibri" w:cs="Calibri" w:eastAsia="Calibri" w:hAnsi="Calibri"/>
                <w:b w:val="false"/>
                <w:bCs w:val="false"/>
                <w:color w:val="000000"/>
                <w:sz w:val="21"/>
                <w:szCs w:val="21"/>
              </w:rPr>
              <w:t xml:space="preserve">At Phase 2, allow automatic failover to the hot standby, then investigate the failed instance; at Phase 0 and Phase 1, restart manually and expect a coverage gap, which should be communicated to pilot subscribers</w:t>
            </w:r>
          </w:p>
        </w:tc>
      </w:tr>
      <w:tr>
        <w:tc>
          <w:tcPr>
            <w:tcW w:type="dxa" w:w="2100"/>
            <w:tcMar>
              <w:top w:type="dxa" w:w="60"/>
              <w:left w:type="dxa" w:w="100"/>
              <w:bottom w:type="dxa" w:w="60"/>
              <w:right w:type="dxa" w:w="100"/>
            </w:tcMar>
            <w:vAlign w:val="center"/>
          </w:tcPr>
          <w:p>
            <w:pPr>
              <w:spacing w:line="240" w:lineRule="auto"/>
            </w:pPr>
            <w:r>
              <w:rPr>
                <w:rFonts w:ascii="Calibri" w:cs="Calibri" w:eastAsia="Calibri" w:hAnsi="Calibri"/>
                <w:b w:val="false"/>
                <w:bCs w:val="false"/>
                <w:color w:val="000000"/>
                <w:sz w:val="21"/>
                <w:szCs w:val="21"/>
              </w:rPr>
              <w:t xml:space="preserve">Message bus backlog growing</w:t>
            </w:r>
          </w:p>
        </w:tc>
        <w:tc>
          <w:tcPr>
            <w:tcW w:type="dxa" w:w="2500"/>
            <w:tcMar>
              <w:top w:type="dxa" w:w="60"/>
              <w:left w:type="dxa" w:w="100"/>
              <w:bottom w:type="dxa" w:w="60"/>
              <w:right w:type="dxa" w:w="100"/>
            </w:tcMar>
            <w:vAlign w:val="center"/>
          </w:tcPr>
          <w:p>
            <w:pPr>
              <w:spacing w:line="240" w:lineRule="auto"/>
            </w:pPr>
            <w:r>
              <w:rPr>
                <w:rFonts w:ascii="Calibri" w:cs="Calibri" w:eastAsia="Calibri" w:hAnsi="Calibri"/>
                <w:b w:val="false"/>
                <w:bCs w:val="false"/>
                <w:color w:val="000000"/>
                <w:sz w:val="21"/>
                <w:szCs w:val="21"/>
              </w:rPr>
              <w:t xml:space="preserve">One or more edge nodes reading slower than the ingestion rate</w:t>
            </w:r>
          </w:p>
        </w:tc>
        <w:tc>
          <w:tcPr>
            <w:tcW w:type="dxa" w:w="4426"/>
            <w:tcMar>
              <w:top w:type="dxa" w:w="60"/>
              <w:left w:type="dxa" w:w="100"/>
              <w:bottom w:type="dxa" w:w="60"/>
              <w:right w:type="dxa" w:w="100"/>
            </w:tcMar>
            <w:vAlign w:val="center"/>
          </w:tcPr>
          <w:p>
            <w:pPr>
              <w:spacing w:line="240" w:lineRule="auto"/>
            </w:pPr>
            <w:r>
              <w:rPr>
                <w:rFonts w:ascii="Calibri" w:cs="Calibri" w:eastAsia="Calibri" w:hAnsi="Calibri"/>
                <w:b w:val="false"/>
                <w:bCs w:val="false"/>
                <w:color w:val="000000"/>
                <w:sz w:val="21"/>
                <w:szCs w:val="21"/>
              </w:rPr>
              <w:t xml:space="preserve">Check edge node resource saturation; add edge node capacity if this is sustained load rather than a transient spike</w:t>
            </w:r>
          </w:p>
        </w:tc>
      </w:tr>
      <w:tr>
        <w:tc>
          <w:tcPr>
            <w:tcW w:type="dxa" w:w="2100"/>
            <w:tcMar>
              <w:top w:type="dxa" w:w="60"/>
              <w:left w:type="dxa" w:w="100"/>
              <w:bottom w:type="dxa" w:w="60"/>
              <w:right w:type="dxa" w:w="100"/>
            </w:tcMar>
            <w:vAlign w:val="center"/>
          </w:tcPr>
          <w:p>
            <w:pPr>
              <w:spacing w:line="240" w:lineRule="auto"/>
            </w:pPr>
            <w:r>
              <w:rPr>
                <w:rFonts w:ascii="Calibri" w:cs="Calibri" w:eastAsia="Calibri" w:hAnsi="Calibri"/>
                <w:b w:val="false"/>
                <w:bCs w:val="false"/>
                <w:color w:val="000000"/>
                <w:sz w:val="21"/>
                <w:szCs w:val="21"/>
              </w:rPr>
              <w:t xml:space="preserve">Edge node saturation</w:t>
            </w:r>
          </w:p>
        </w:tc>
        <w:tc>
          <w:tcPr>
            <w:tcW w:type="dxa" w:w="2500"/>
            <w:tcMar>
              <w:top w:type="dxa" w:w="60"/>
              <w:left w:type="dxa" w:w="100"/>
              <w:bottom w:type="dxa" w:w="60"/>
              <w:right w:type="dxa" w:w="100"/>
            </w:tcMar>
            <w:vAlign w:val="center"/>
          </w:tcPr>
          <w:p>
            <w:pPr>
              <w:spacing w:line="240" w:lineRule="auto"/>
            </w:pPr>
            <w:r>
              <w:rPr>
                <w:rFonts w:ascii="Calibri" w:cs="Calibri" w:eastAsia="Calibri" w:hAnsi="Calibri"/>
                <w:b w:val="false"/>
                <w:bCs w:val="false"/>
                <w:color w:val="000000"/>
                <w:sz w:val="21"/>
                <w:szCs w:val="21"/>
              </w:rPr>
              <w:t xml:space="preserve">More concurrent connections than the node was sized for</w:t>
            </w:r>
          </w:p>
        </w:tc>
        <w:tc>
          <w:tcPr>
            <w:tcW w:type="dxa" w:w="4426"/>
            <w:tcMar>
              <w:top w:type="dxa" w:w="60"/>
              <w:left w:type="dxa" w:w="100"/>
              <w:bottom w:type="dxa" w:w="60"/>
              <w:right w:type="dxa" w:w="100"/>
            </w:tcMar>
            <w:vAlign w:val="center"/>
          </w:tcPr>
          <w:p>
            <w:pPr>
              <w:spacing w:line="240" w:lineRule="auto"/>
            </w:pPr>
            <w:r>
              <w:rPr>
                <w:rFonts w:ascii="Calibri" w:cs="Calibri" w:eastAsia="Calibri" w:hAnsi="Calibri"/>
                <w:b w:val="false"/>
                <w:bCs w:val="false"/>
                <w:color w:val="000000"/>
                <w:sz w:val="21"/>
                <w:szCs w:val="21"/>
              </w:rPr>
              <w:t xml:space="preserve">Confirm the load balancer is distributing new connections to less-loaded nodes; add edge node capacity</w:t>
            </w:r>
          </w:p>
        </w:tc>
      </w:tr>
      <w:tr>
        <w:tc>
          <w:tcPr>
            <w:tcW w:type="dxa" w:w="2100"/>
            <w:tcMar>
              <w:top w:type="dxa" w:w="60"/>
              <w:left w:type="dxa" w:w="100"/>
              <w:bottom w:type="dxa" w:w="60"/>
              <w:right w:type="dxa" w:w="100"/>
            </w:tcMar>
            <w:vAlign w:val="center"/>
          </w:tcPr>
          <w:p>
            <w:pPr>
              <w:spacing w:line="240" w:lineRule="auto"/>
            </w:pPr>
            <w:r>
              <w:rPr>
                <w:rFonts w:ascii="Calibri" w:cs="Calibri" w:eastAsia="Calibri" w:hAnsi="Calibri"/>
                <w:b w:val="false"/>
                <w:bCs w:val="false"/>
                <w:color w:val="000000"/>
                <w:sz w:val="21"/>
                <w:szCs w:val="21"/>
              </w:rPr>
              <w:t xml:space="preserve">Subscriber reports a missing event</w:t>
            </w:r>
          </w:p>
        </w:tc>
        <w:tc>
          <w:tcPr>
            <w:tcW w:type="dxa" w:w="2500"/>
            <w:tcMar>
              <w:top w:type="dxa" w:w="60"/>
              <w:left w:type="dxa" w:w="100"/>
              <w:bottom w:type="dxa" w:w="60"/>
              <w:right w:type="dxa" w:w="100"/>
            </w:tcMar>
            <w:vAlign w:val="center"/>
          </w:tcPr>
          <w:p>
            <w:pPr>
              <w:spacing w:line="240" w:lineRule="auto"/>
            </w:pPr>
            <w:r>
              <w:rPr>
                <w:rFonts w:ascii="Calibri" w:cs="Calibri" w:eastAsia="Calibri" w:hAnsi="Calibri"/>
                <w:b w:val="false"/>
                <w:bCs w:val="false"/>
                <w:color w:val="000000"/>
                <w:sz w:val="21"/>
                <w:szCs w:val="21"/>
              </w:rPr>
              <w:t xml:space="preserve">Could be a genuine gap or a client-side filter or cursor error</w:t>
            </w:r>
          </w:p>
        </w:tc>
        <w:tc>
          <w:tcPr>
            <w:tcW w:type="dxa" w:w="4426"/>
            <w:tcMar>
              <w:top w:type="dxa" w:w="60"/>
              <w:left w:type="dxa" w:w="100"/>
              <w:bottom w:type="dxa" w:w="60"/>
              <w:right w:type="dxa" w:w="100"/>
            </w:tcMar>
            <w:vAlign w:val="center"/>
          </w:tcPr>
          <w:p>
            <w:pPr>
              <w:spacing w:line="240" w:lineRule="auto"/>
            </w:pPr>
            <w:r>
              <w:rPr>
                <w:rFonts w:ascii="Calibri" w:cs="Calibri" w:eastAsia="Calibri" w:hAnsi="Calibri"/>
                <w:b w:val="false"/>
                <w:bCs w:val="false"/>
                <w:color w:val="000000"/>
                <w:sz w:val="21"/>
                <w:szCs w:val="21"/>
              </w:rPr>
              <w:t xml:space="preserve">First reconcile the ledger in question against Horizon directly; only escalate as an internal defect once an independent discrepancy is confirmed</w:t>
            </w:r>
          </w:p>
        </w:tc>
      </w:tr>
    </w:tbl>
    <w:p>
      <w:pPr>
        <w:pStyle w:val="Heading1"/>
        <w:spacing w:after="160" w:before="320" w:line="240" w:lineRule="auto"/>
      </w:pPr>
      <w:r>
        <w:rPr>
          <w:rFonts w:ascii="Calibri" w:cs="Calibri" w:eastAsia="Calibri" w:hAnsi="Calibri"/>
          <w:b/>
          <w:bCs/>
          <w:color w:val="000000"/>
          <w:sz w:val="30"/>
          <w:szCs w:val="30"/>
        </w:rPr>
        <w:t xml:space="preserve">4. Deployment Procedure</w:t>
      </w:r>
    </w:p>
    <w:p>
      <w:pPr>
        <w:spacing w:after="160" w:line="240" w:lineRule="auto"/>
        <w:jc w:val="both"/>
      </w:pPr>
      <w:r>
        <w:rPr>
          <w:rFonts w:ascii="Calibri" w:cs="Calibri" w:eastAsia="Calibri" w:hAnsi="Calibri"/>
          <w:color w:val="000000"/>
          <w:sz w:val="24"/>
          <w:szCs w:val="24"/>
        </w:rPr>
        <w:t xml:space="preserve">Deploy to Testnet staging first. Run the release-criteria checks defined in the Test Plan and QA Strategy. Only after those pass, deploy the same build artifact to production, one edge node at a time behind the load balancer, monitoring ingestion lag and error rates after each node before proceeding to the next.</w:t>
      </w:r>
    </w:p>
    <w:p>
      <w:pPr>
        <w:pStyle w:val="Heading1"/>
        <w:spacing w:after="160" w:before="320" w:line="240" w:lineRule="auto"/>
      </w:pPr>
      <w:r>
        <w:rPr>
          <w:rFonts w:ascii="Calibri" w:cs="Calibri" w:eastAsia="Calibri" w:hAnsi="Calibri"/>
          <w:b/>
          <w:bCs/>
          <w:color w:val="000000"/>
          <w:sz w:val="30"/>
          <w:szCs w:val="30"/>
        </w:rPr>
        <w:t xml:space="preserve">5. Rollback Procedure</w:t>
      </w:r>
    </w:p>
    <w:p>
      <w:pPr>
        <w:spacing w:after="160" w:line="240" w:lineRule="auto"/>
        <w:jc w:val="both"/>
      </w:pPr>
      <w:r>
        <w:rPr>
          <w:rFonts w:ascii="Calibri" w:cs="Calibri" w:eastAsia="Calibri" w:hAnsi="Calibri"/>
          <w:color w:val="000000"/>
          <w:sz w:val="24"/>
          <w:szCs w:val="24"/>
        </w:rPr>
        <w:t xml:space="preserve">Every production deployment retains the immediately prior build artifact. If ingestion lag or error rates degrade after a deployment, redeploy the prior artifact to the affected nodes before investigating the cause, rather than attempting a forward fix under incident pressure.</w:t>
      </w:r>
    </w:p>
    <w:p>
      <w:pPr>
        <w:pStyle w:val="Heading1"/>
        <w:spacing w:after="160" w:before="320" w:line="240" w:lineRule="auto"/>
      </w:pPr>
      <w:r>
        <w:rPr>
          <w:rFonts w:ascii="Calibri" w:cs="Calibri" w:eastAsia="Calibri" w:hAnsi="Calibri"/>
          <w:b/>
          <w:bCs/>
          <w:color w:val="000000"/>
          <w:sz w:val="30"/>
          <w:szCs w:val="30"/>
        </w:rPr>
        <w:t xml:space="preserve">6. Disaster Recovery</w:t>
      </w:r>
    </w:p>
    <w:p>
      <w:pPr>
        <w:spacing w:after="160" w:line="240" w:lineRule="auto"/>
        <w:jc w:val="both"/>
      </w:pPr>
      <w:r>
        <w:rPr>
          <w:rFonts w:ascii="Calibri" w:cs="Calibri" w:eastAsia="Calibri" w:hAnsi="Calibri"/>
          <w:color w:val="000000"/>
          <w:sz w:val="24"/>
          <w:szCs w:val="24"/>
        </w:rPr>
        <w:t xml:space="preserve">Because Captive Core reconstructs its state from the Stellar network's own history archives rather than from any private backup, the worst-case recovery procedure for a total loss of infrastructure is to provision new compute and allow Captive Core to resynchronize from the public network. This should be tested at least once before Phase 1 launch so the actual recovery time is known rather than assumed.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2026-09-15T06:59:54.036Z</dcterms:created>
  <dcterms:modified xsi:type="dcterms:W3CDTF">2026-09-15T06:59:54.036Z</dcterms:modified>
</cp:coreProperties>
</file>

<file path=docProps/custom.xml><?xml version="1.0" encoding="utf-8"?>
<Properties xmlns="http://schemas.openxmlformats.org/officeDocument/2006/custom-properties" xmlns:vt="http://schemas.openxmlformats.org/officeDocument/2006/docPropsVTypes"/>
</file>