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000000"/>
          <w:sz w:val="44"/>
          <w:szCs w:val="44"/>
        </w:rPr>
        <w:t xml:space="preserve">Customer-Facing Service Level Agreement</w:t>
      </w:r>
    </w:p>
    <w:p>
      <w:pPr>
        <w:spacing w:after="40" w:line="240" w:lineRule="auto"/>
        <w:jc w:val="center"/>
      </w:pPr>
      <w:r>
        <w:rPr>
          <w:rFonts w:ascii="Calibri" w:cs="Calibri" w:eastAsia="Calibri" w:hAnsi="Calibri"/>
          <w:i/>
          <w:iCs/>
          <w:color w:val="000000"/>
          <w:sz w:val="22"/>
          <w:szCs w:val="22"/>
        </w:rPr>
        <w:t xml:space="preserve">StellarStream (working title)</w:t>
      </w:r>
    </w:p>
    <w:p>
      <w:pPr>
        <w:spacing w:after="40" w:line="240" w:lineRule="auto"/>
        <w:jc w:val="center"/>
      </w:pPr>
      <w:r>
        <w:rPr>
          <w:rFonts w:ascii="Calibri" w:cs="Calibri" w:eastAsia="Calibri" w:hAnsi="Calibri"/>
          <w:i/>
          <w:iCs/>
          <w:color w:val="000000"/>
          <w:sz w:val="22"/>
          <w:szCs w:val="22"/>
        </w:rPr>
        <w:t xml:space="preserve">Document 11 of 13: Customer-Facing Service Level Agreement</w:t>
      </w:r>
    </w:p>
    <w:p>
      <w:pPr>
        <w:spacing w:after="40" w:line="240" w:lineRule="auto"/>
        <w:jc w:val="center"/>
      </w:pPr>
      <w:r>
        <w:rPr>
          <w:rFonts w:ascii="Calibri" w:cs="Calibri" w:eastAsia="Calibri" w:hAnsi="Calibri"/>
          <w:i/>
          <w:iCs/>
          <w:color w:val="000000"/>
          <w:sz w:val="22"/>
          <w:szCs w:val="22"/>
        </w:rPr>
        <w:t xml:space="preserve">Version 0.1 - Draft for Review</w:t>
      </w:r>
    </w:p>
    <w:p>
      <w:pPr>
        <w:spacing w:after="40" w:line="240" w:lineRule="auto"/>
        <w:jc w:val="center"/>
      </w:pPr>
      <w:r>
        <w:rPr>
          <w:rFonts w:ascii="Calibri" w:cs="Calibri" w:eastAsia="Calibri" w:hAnsi="Calibri"/>
          <w:i/>
          <w:iCs/>
          <w:color w:val="000000"/>
          <w:sz w:val="22"/>
          <w:szCs w:val="22"/>
        </w:rPr>
        <w:t xml:space="preserve">Author: Rafif Muhammad Ransi Anargya</w:t>
      </w:r>
    </w:p>
    <w:p>
      <w:pPr>
        <w:spacing w:after="40" w:line="240" w:lineRule="auto"/>
        <w:jc w:val="center"/>
      </w:pPr>
      <w:r>
        <w:rPr>
          <w:rFonts w:ascii="Calibri" w:cs="Calibri" w:eastAsia="Calibri" w:hAnsi="Calibri"/>
          <w:i/>
          <w:iCs/>
          <w:color w:val="000000"/>
          <w:sz w:val="22"/>
          <w:szCs w:val="22"/>
        </w:rPr>
        <w:t xml:space="preserve">Date: 15 September 2026</w:t>
      </w:r>
    </w:p>
    <w:p>
      <w:pPr>
        <w:spacing w:after="200"/>
      </w:pPr>
      <w:r>
        <w:rPr>
          <w:rFonts w:ascii="Calibri" w:cs="Calibri" w:eastAsia="Calibri" w:hAnsi="Calibri"/>
          <w:sz w:val="24"/>
          <w:szCs w:val="24"/>
        </w:rPr>
        <w:t xml:space="preserve"/>
      </w:r>
    </w:p>
    <w:p>
      <w:pPr>
        <w:pStyle w:val="Heading1"/>
        <w:spacing w:after="160" w:before="320" w:line="240" w:lineRule="auto"/>
      </w:pPr>
      <w:r>
        <w:rPr>
          <w:rFonts w:ascii="Calibri" w:cs="Calibri" w:eastAsia="Calibri" w:hAnsi="Calibri"/>
          <w:b/>
          <w:bCs/>
          <w:color w:val="000000"/>
          <w:sz w:val="30"/>
          <w:szCs w:val="30"/>
        </w:rPr>
        <w:t xml:space="preserve">1. Purpose</w:t>
      </w:r>
    </w:p>
    <w:p>
      <w:pPr>
        <w:spacing w:after="160" w:line="240" w:lineRule="auto"/>
        <w:jc w:val="both"/>
      </w:pPr>
      <w:r>
        <w:rPr>
          <w:rFonts w:ascii="Calibri" w:cs="Calibri" w:eastAsia="Calibri" w:hAnsi="Calibri"/>
          <w:color w:val="000000"/>
          <w:sz w:val="24"/>
          <w:szCs w:val="24"/>
        </w:rPr>
        <w:t xml:space="preserve">This document states what StellarStream commits to for paying subscribers, and, equally important, what it explicitly does not yet commit to. It is intended to be shared directly with subscribers.</w:t>
      </w:r>
    </w:p>
    <w:p>
      <w:pPr>
        <w:pStyle w:val="Heading1"/>
        <w:spacing w:after="160" w:before="320" w:line="240" w:lineRule="auto"/>
      </w:pPr>
      <w:r>
        <w:rPr>
          <w:rFonts w:ascii="Calibri" w:cs="Calibri" w:eastAsia="Calibri" w:hAnsi="Calibri"/>
          <w:b/>
          <w:bCs/>
          <w:color w:val="000000"/>
          <w:sz w:val="30"/>
          <w:szCs w:val="30"/>
        </w:rPr>
        <w:t xml:space="preserve">2. Service Tiers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400"/>
        <w:gridCol w:w="2400"/>
        <w:gridCol w:w="2000"/>
        <w:gridCol w:w="3226"/>
      </w:tblGrid>
      <w:tr>
        <w:trPr>
          <w:tblHeader/>
        </w:trPr>
        <w:tc>
          <w:tcPr>
            <w:tcW w:type="dxa" w:w="1400"/>
            <w:tcMar>
              <w:top w:type="dxa" w:w="60"/>
              <w:left w:type="dxa" w:w="100"/>
              <w:bottom w:type="dxa" w:w="60"/>
              <w:right w:type="dxa" w:w="100"/>
            </w:tcMar>
            <w:vAlign w:val="center"/>
          </w:tcPr>
          <w:p>
            <w:pPr>
              <w:spacing w:line="240" w:lineRule="auto"/>
            </w:pPr>
            <w:r>
              <w:rPr>
                <w:rFonts w:ascii="Calibri" w:cs="Calibri" w:eastAsia="Calibri" w:hAnsi="Calibri"/>
                <w:b/>
                <w:bCs/>
                <w:color w:val="000000"/>
                <w:sz w:val="21"/>
                <w:szCs w:val="21"/>
              </w:rPr>
              <w:t xml:space="preserve">Tier</w:t>
            </w:r>
          </w:p>
        </w:tc>
        <w:tc>
          <w:tcPr>
            <w:tcW w:type="dxa" w:w="2400"/>
            <w:tcMar>
              <w:top w:type="dxa" w:w="60"/>
              <w:left w:type="dxa" w:w="100"/>
              <w:bottom w:type="dxa" w:w="60"/>
              <w:right w:type="dxa" w:w="100"/>
            </w:tcMar>
            <w:vAlign w:val="center"/>
          </w:tcPr>
          <w:p>
            <w:pPr>
              <w:spacing w:line="240" w:lineRule="auto"/>
            </w:pPr>
            <w:r>
              <w:rPr>
                <w:rFonts w:ascii="Calibri" w:cs="Calibri" w:eastAsia="Calibri" w:hAnsi="Calibri"/>
                <w:b/>
                <w:bCs/>
                <w:color w:val="000000"/>
                <w:sz w:val="21"/>
                <w:szCs w:val="21"/>
              </w:rPr>
              <w:t xml:space="preserve">Intended for</w:t>
            </w:r>
          </w:p>
        </w:tc>
        <w:tc>
          <w:tcPr>
            <w:tcW w:type="dxa" w:w="2000"/>
            <w:tcMar>
              <w:top w:type="dxa" w:w="60"/>
              <w:left w:type="dxa" w:w="100"/>
              <w:bottom w:type="dxa" w:w="60"/>
              <w:right w:type="dxa" w:w="100"/>
            </w:tcMar>
            <w:vAlign w:val="center"/>
          </w:tcPr>
          <w:p>
            <w:pPr>
              <w:spacing w:line="240" w:lineRule="auto"/>
            </w:pPr>
            <w:r>
              <w:rPr>
                <w:rFonts w:ascii="Calibri" w:cs="Calibri" w:eastAsia="Calibri" w:hAnsi="Calibri"/>
                <w:b/>
                <w:bCs/>
                <w:color w:val="000000"/>
                <w:sz w:val="21"/>
                <w:szCs w:val="21"/>
              </w:rPr>
              <w:t xml:space="preserve">Filter breadth</w:t>
            </w:r>
          </w:p>
        </w:tc>
        <w:tc>
          <w:tcPr>
            <w:tcW w:type="dxa" w:w="3226"/>
            <w:tcMar>
              <w:top w:type="dxa" w:w="60"/>
              <w:left w:type="dxa" w:w="100"/>
              <w:bottom w:type="dxa" w:w="60"/>
              <w:right w:type="dxa" w:w="100"/>
            </w:tcMar>
            <w:vAlign w:val="center"/>
          </w:tcPr>
          <w:p>
            <w:pPr>
              <w:spacing w:line="240" w:lineRule="auto"/>
            </w:pPr>
            <w:r>
              <w:rPr>
                <w:rFonts w:ascii="Calibri" w:cs="Calibri" w:eastAsia="Calibri" w:hAnsi="Calibri"/>
                <w:b/>
                <w:bCs/>
                <w:color w:val="000000"/>
                <w:sz w:val="21"/>
                <w:szCs w:val="21"/>
              </w:rPr>
              <w:t xml:space="preserve">Commitments</w:t>
            </w:r>
          </w:p>
        </w:tc>
      </w:tr>
      <w:tr>
        <w:tc>
          <w:tcPr>
            <w:tcW w:type="dxa" w:w="14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Free</w:t>
            </w:r>
          </w:p>
        </w:tc>
        <w:tc>
          <w:tcPr>
            <w:tcW w:type="dxa" w:w="24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Evaluation, early design partners, indexers who may later self-host</w:t>
            </w:r>
          </w:p>
        </w:tc>
        <w:tc>
          <w:tcPr>
            <w:tcW w:type="dxa" w:w="20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Single contract ID only</w:t>
            </w:r>
          </w:p>
        </w:tc>
        <w:tc>
          <w:tcPr>
            <w:tcW w:type="dxa" w:w="3226"/>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Best-effort delivery; no uptime or lag commitment; subject to disconnection under load</w:t>
            </w:r>
          </w:p>
        </w:tc>
      </w:tr>
      <w:tr>
        <w:tc>
          <w:tcPr>
            <w:tcW w:type="dxa" w:w="14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Production</w:t>
            </w:r>
          </w:p>
        </w:tc>
        <w:tc>
          <w:tcPr>
            <w:tcW w:type="dxa" w:w="24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Trading bots, market makers, wallet backends in live use</w:t>
            </w:r>
          </w:p>
        </w:tc>
        <w:tc>
          <w:tcPr>
            <w:tcW w:type="dxa" w:w="20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Up to a defined number of contract or account filters per key</w:t>
            </w:r>
          </w:p>
        </w:tc>
        <w:tc>
          <w:tcPr>
            <w:tcW w:type="dxa" w:w="3226"/>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Uptime and ingestion lag targets as defined for the current phase in the Non-Functional Requirements Document</w:t>
            </w:r>
          </w:p>
        </w:tc>
      </w:tr>
      <w:tr>
        <w:tc>
          <w:tcPr>
            <w:tcW w:type="dxa" w:w="14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Enterprise</w:t>
            </w:r>
          </w:p>
        </w:tc>
        <w:tc>
          <w:tcPr>
            <w:tcW w:type="dxa" w:w="24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Institutional and regulated subscribers with bespoke requirements</w:t>
            </w:r>
          </w:p>
        </w:tc>
        <w:tc>
          <w:tcPr>
            <w:tcW w:type="dxa" w:w="2000"/>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Negotiated; may include broader or wildcard-style filters</w:t>
            </w:r>
          </w:p>
        </w:tc>
        <w:tc>
          <w:tcPr>
            <w:tcW w:type="dxa" w:w="3226"/>
            <w:tcMar>
              <w:top w:type="dxa" w:w="60"/>
              <w:left w:type="dxa" w:w="100"/>
              <w:bottom w:type="dxa" w:w="60"/>
              <w:right w:type="dxa" w:w="100"/>
            </w:tcMar>
            <w:vAlign w:val="center"/>
          </w:tcPr>
          <w:p>
            <w:pPr>
              <w:spacing w:line="240" w:lineRule="auto"/>
            </w:pPr>
            <w:r>
              <w:rPr>
                <w:rFonts w:ascii="Calibri" w:cs="Calibri" w:eastAsia="Calibri" w:hAnsi="Calibri"/>
                <w:b w:val="false"/>
                <w:bCs w:val="false"/>
                <w:color w:val="000000"/>
                <w:sz w:val="21"/>
                <w:szCs w:val="21"/>
              </w:rPr>
              <w:t xml:space="preserve">Individually negotiated; may include dedicated infrastructure</w:t>
            </w:r>
          </w:p>
        </w:tc>
      </w:tr>
    </w:tbl>
    <w:p>
      <w:pPr>
        <w:pStyle w:val="Heading1"/>
        <w:spacing w:after="160" w:before="320" w:line="240" w:lineRule="auto"/>
      </w:pPr>
      <w:r>
        <w:rPr>
          <w:rFonts w:ascii="Calibri" w:cs="Calibri" w:eastAsia="Calibri" w:hAnsi="Calibri"/>
          <w:b/>
          <w:bCs/>
          <w:color w:val="000000"/>
          <w:sz w:val="30"/>
          <w:szCs w:val="30"/>
        </w:rPr>
        <w:t xml:space="preserve">3. What Is Not Yet Committed</w:t>
      </w:r>
    </w:p>
    <w:p>
      <w:pPr>
        <w:pStyle w:val="ListParagraph"/>
        <w:numPr>
          <w:ilvl w:val="0"/>
          <w:numId w:val="2"/>
        </w:numPr>
        <w:spacing w:after="80" w:line="240" w:lineRule="auto"/>
      </w:pPr>
      <w:r>
        <w:rPr>
          <w:rFonts w:ascii="Calibri" w:cs="Calibri" w:eastAsia="Calibri" w:hAnsi="Calibri"/>
          <w:color w:val="000000"/>
          <w:sz w:val="24"/>
          <w:szCs w:val="24"/>
        </w:rPr>
        <w:t xml:space="preserve">No historical query access; only live events plus the bounded resume window defined in the Data Model and Event Schema Document.</w:t>
      </w:r>
    </w:p>
    <w:p>
      <w:pPr>
        <w:pStyle w:val="ListParagraph"/>
        <w:numPr>
          <w:ilvl w:val="0"/>
          <w:numId w:val="2"/>
        </w:numPr>
        <w:spacing w:after="80" w:line="240" w:lineRule="auto"/>
      </w:pPr>
      <w:r>
        <w:rPr>
          <w:rFonts w:ascii="Calibri" w:cs="Calibri" w:eastAsia="Calibri" w:hAnsi="Calibri"/>
          <w:color w:val="000000"/>
          <w:sz w:val="24"/>
          <w:szCs w:val="24"/>
        </w:rPr>
        <w:t xml:space="preserve">No guaranteed multi-region failover before Phase 2 is complete.</w:t>
      </w:r>
    </w:p>
    <w:p>
      <w:pPr>
        <w:pStyle w:val="ListParagraph"/>
        <w:numPr>
          <w:ilvl w:val="0"/>
          <w:numId w:val="2"/>
        </w:numPr>
        <w:spacing w:after="80" w:line="240" w:lineRule="auto"/>
      </w:pPr>
      <w:r>
        <w:rPr>
          <w:rFonts w:ascii="Calibri" w:cs="Calibri" w:eastAsia="Calibri" w:hAnsi="Calibri"/>
          <w:color w:val="000000"/>
          <w:sz w:val="24"/>
          <w:szCs w:val="24"/>
        </w:rPr>
        <w:t xml:space="preserve">No formal regulatory certification, as stated in the Data Privacy and Compliance Note.</w:t>
      </w:r>
    </w:p>
    <w:p>
      <w:pPr>
        <w:pStyle w:val="Heading1"/>
        <w:spacing w:after="160" w:before="320" w:line="240" w:lineRule="auto"/>
      </w:pPr>
      <w:r>
        <w:rPr>
          <w:rFonts w:ascii="Calibri" w:cs="Calibri" w:eastAsia="Calibri" w:hAnsi="Calibri"/>
          <w:b/>
          <w:bCs/>
          <w:color w:val="000000"/>
          <w:sz w:val="30"/>
          <w:szCs w:val="30"/>
        </w:rPr>
        <w:t xml:space="preserve">4. Support</w:t>
      </w:r>
    </w:p>
    <w:p>
      <w:pPr>
        <w:spacing w:after="160" w:line="240" w:lineRule="auto"/>
        <w:jc w:val="both"/>
      </w:pPr>
      <w:r>
        <w:rPr>
          <w:rFonts w:ascii="Calibri" w:cs="Calibri" w:eastAsia="Calibri" w:hAnsi="Calibri"/>
          <w:color w:val="000000"/>
          <w:sz w:val="24"/>
          <w:szCs w:val="24"/>
        </w:rPr>
        <w:t xml:space="preserve">At Phase 0 and Phase 1, support is best effort with no fixed response-time commitment. A formal response-time commitment is introduced no earlier than Phase 2, once the operator role described in the Runbook and Operations Manual is no longer held by a single individual.</w:t>
      </w:r>
    </w:p>
    <w:p>
      <w:pPr>
        <w:pStyle w:val="Heading1"/>
        <w:spacing w:after="160" w:before="320" w:line="240" w:lineRule="auto"/>
      </w:pPr>
      <w:r>
        <w:rPr>
          <w:rFonts w:ascii="Calibri" w:cs="Calibri" w:eastAsia="Calibri" w:hAnsi="Calibri"/>
          <w:b/>
          <w:bCs/>
          <w:color w:val="000000"/>
          <w:sz w:val="30"/>
          <w:szCs w:val="30"/>
        </w:rPr>
        <w:t xml:space="preserve">5. Notice of Breaking Changes</w:t>
      </w:r>
    </w:p>
    <w:p>
      <w:pPr>
        <w:spacing w:after="160" w:line="240" w:lineRule="auto"/>
        <w:jc w:val="both"/>
      </w:pPr>
      <w:r>
        <w:rPr>
          <w:rFonts w:ascii="Calibri" w:cs="Calibri" w:eastAsia="Calibri" w:hAnsi="Calibri"/>
          <w:color w:val="000000"/>
          <w:sz w:val="24"/>
          <w:szCs w:val="24"/>
        </w:rPr>
        <w:t xml:space="preserve">Any breaking change to the API is announced in advance according to the notice period defined in the Change Management Policy. No breaking change is ever introduced without notice, regardless of tier.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2026-09-15T06:59:54.051Z</dcterms:created>
  <dcterms:modified xsi:type="dcterms:W3CDTF">2026-09-15T06:59:54.051Z</dcterms:modified>
</cp:coreProperties>
</file>

<file path=docProps/custom.xml><?xml version="1.0" encoding="utf-8"?>
<Properties xmlns="http://schemas.openxmlformats.org/officeDocument/2006/custom-properties" xmlns:vt="http://schemas.openxmlformats.org/officeDocument/2006/docPropsVTypes"/>
</file>