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0000"/>
          <w:sz w:val="44"/>
          <w:szCs w:val="44"/>
        </w:rPr>
        <w:t xml:space="preserve">Risk Register</w:t>
      </w:r>
    </w:p>
    <w:p>
      <w:pPr>
        <w:spacing w:after="40" w:line="240" w:lineRule="auto"/>
        <w:jc w:val="center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StellarStream (working title)</w:t>
      </w:r>
    </w:p>
    <w:p>
      <w:pPr>
        <w:spacing w:after="40" w:line="240" w:lineRule="auto"/>
        <w:jc w:val="center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Document 12 of 13: Risk Register</w:t>
      </w:r>
    </w:p>
    <w:p>
      <w:pPr>
        <w:spacing w:after="40" w:line="240" w:lineRule="auto"/>
        <w:jc w:val="center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Version 0.1 - Draft for Review</w:t>
      </w:r>
    </w:p>
    <w:p>
      <w:pPr>
        <w:spacing w:after="40" w:line="240" w:lineRule="auto"/>
        <w:jc w:val="center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Author: Rafif Muhammad Ransi Anargya</w:t>
      </w:r>
    </w:p>
    <w:p>
      <w:pPr>
        <w:spacing w:after="40" w:line="240" w:lineRule="auto"/>
        <w:jc w:val="center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Date: 15 September 2026</w:t>
      </w: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1"/>
        <w:spacing w:after="160" w:before="320" w:line="240" w:lineRule="auto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1. Purpose</w:t>
      </w:r>
    </w:p>
    <w:p>
      <w:pPr>
        <w:spacing w:after="160" w:line="240" w:lineRule="auto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This document tracks the specific risks identified during planning, so that each has a named owner and a review date rather than existing only as a paragraph in a strategy document.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00"/>
        <w:gridCol w:w="2300"/>
        <w:gridCol w:w="1100"/>
        <w:gridCol w:w="800"/>
        <w:gridCol w:w="2600"/>
        <w:gridCol w:w="800"/>
        <w:gridCol w:w="926"/>
      </w:tblGrid>
      <w:tr>
        <w:trPr>
          <w:tblHeader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ID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Risk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Likelihood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Impact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Mitigation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Owner</w:t>
            </w:r>
          </w:p>
        </w:tc>
        <w:tc>
          <w:tcPr>
            <w:tcW w:type="dxa" w:w="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Next review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The Stellar Development Foundation extends Galexie or stellar-rpc with push capability, reducing or removing the need for this service.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Monitor official Stellar release notes monthly; differentiate on latency and filtering granularity rather than on the mere existence of a push feature.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Rafif</w:t>
            </w:r>
          </w:p>
        </w:tc>
        <w:tc>
          <w:tcPr>
            <w:tcW w:type="dxa" w:w="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Monthly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Stellar's DeFi activity plateaus rather than continuing to grow, limiting the paying customer pool.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Track Stellar ecosystem TVL and active Soroban contract counts quarterly against the Business Case's stated assumptions.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Rafif</w:t>
            </w:r>
          </w:p>
        </w:tc>
        <w:tc>
          <w:tcPr>
            <w:tcW w:type="dxa" w:w="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Quarterly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R3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The team's operational capacity is insufficient to run always-on infrastructure reliably.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Phase 0 scope is deliberately limited to validate this before any customer-facing commitment is made, per the Product Requirements Document.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Rafif</w:t>
            </w:r>
          </w:p>
        </w:tc>
        <w:tc>
          <w:tcPr>
            <w:tcW w:type="dxa" w:w="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At each phase transition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Single point of failure in the ingestion path causes an extended outage.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Hot-standby ingestion with failover is scheduled for Phase 2, per the System Architecture Document; until then, the limitation is disclosed, not hidden, per the Customer-Facing SLA.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Rafif</w:t>
            </w:r>
          </w:p>
        </w:tc>
        <w:tc>
          <w:tcPr>
            <w:tcW w:type="dxa" w:w="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At each phase transition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R5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Grant funding is delayed, reduced, or not renewed beyond the initial tranches.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Low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Sequence spending to each tranche's milestone rather than the full award amount; treat Phase 1 and Phase 2 as conditional on tranche release.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Rafif</w:t>
            </w:r>
          </w:p>
        </w:tc>
        <w:tc>
          <w:tcPr>
            <w:tcW w:type="dxa" w:w="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At each tranche milestone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R6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Key-person dependency: the project currently has a single primary contributor.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Document architecture and operations thoroughly, as in this document set, specifically so the project is not solely dependent on one person's undocumented knowledge.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Rafif</w:t>
            </w:r>
          </w:p>
        </w:tc>
        <w:tc>
          <w:tcPr>
            <w:tcW w:type="dxa" w:w="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Quarterly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2026-09-15T06:59:54.059Z</dcterms:created>
  <dcterms:modified xsi:type="dcterms:W3CDTF">2026-09-15T06:59:54.059Z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