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eastAsia="Times New Roman"/>
          <w:b/>
          <w:i w:val="0"/>
          <w:color w:val="166B52"/>
          <w:sz w:val="24"/>
        </w:rPr>
        <w:t>STRATIFYAI</w:t>
      </w:r>
    </w:p>
    <w:p>
      <w:pPr>
        <w:spacing w:before="280"/>
        <w:jc w:val="center"/>
      </w:pPr>
      <w:r>
        <w:rPr>
          <w:rFonts w:ascii="Times New Roman" w:hAnsi="Times New Roman" w:eastAsia="Times New Roman"/>
          <w:b/>
          <w:i w:val="0"/>
          <w:color w:val="183A35"/>
          <w:sz w:val="24"/>
        </w:rPr>
        <w:t>Execution Evidence Report</w:t>
      </w:r>
    </w:p>
    <w:p>
      <w:pPr>
        <w:jc w:val="center"/>
      </w:pPr>
      <w:r>
        <w:rPr>
          <w:rFonts w:ascii="Times New Roman" w:hAnsi="Times New Roman" w:eastAsia="Times New Roman"/>
          <w:b w:val="0"/>
          <w:i w:val="0"/>
          <w:color w:val="596963"/>
          <w:sz w:val="24"/>
        </w:rPr>
        <w:t>Recorded tests, workflows, security checks, evaluation results and interface evidence</w:t>
      </w:r>
    </w:p>
    <w:p/>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096"/>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Project</w:t>
            </w:r>
          </w:p>
        </w:tc>
        <w:tc>
          <w:tcPr>
            <w:tcW w:type="dxa" w:w="3096"/>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Team</w:t>
            </w:r>
          </w:p>
        </w:tc>
        <w:tc>
          <w:tcPr>
            <w:tcW w:type="dxa" w:w="3096"/>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Submission context</w:t>
            </w:r>
          </w:p>
        </w:tc>
      </w:tr>
      <w:tr>
        <w:tc>
          <w:tcPr>
            <w:tcW w:type="dxa" w:w="3096"/>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StratifyAI: The Liquidity Decision Lab for SME Financial Intelligence</w:t>
            </w:r>
          </w:p>
        </w:tc>
        <w:tc>
          <w:tcPr>
            <w:tcW w:type="dxa" w:w="3096"/>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Neuroprop — Md. Rafiqul Islam (Team Leader), Abu Bakar Rafi, Fatema Jahan</w:t>
            </w:r>
          </w:p>
        </w:tc>
        <w:tc>
          <w:tcPr>
            <w:tcW w:type="dxa" w:w="3096"/>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2026 Shenzhen International FinTech Competition • International Track • Topic E</w:t>
            </w:r>
          </w:p>
        </w:tc>
      </w:tr>
    </w:tbl>
    <w:p>
      <w:pPr>
        <w:spacing w:after="20"/>
      </w:pPr>
    </w:p>
    <w:p>
      <w:pPr>
        <w:jc w:val="center"/>
      </w:pPr>
      <w:r>
        <w:rPr>
          <w:rFonts w:ascii="Times New Roman" w:hAnsi="Times New Roman" w:eastAsia="Times New Roman"/>
          <w:b w:val="0"/>
          <w:i w:val="0"/>
          <w:color w:val="596963"/>
          <w:sz w:val="24"/>
        </w:rPr>
        <w:t>Evidence reviewed through 20 October 2026</w:t>
      </w:r>
    </w:p>
    <w:p>
      <w:pPr>
        <w:jc w:val="center"/>
      </w:pPr>
      <w:r>
        <w:rPr>
          <w:rFonts w:ascii="Times New Roman" w:hAnsi="Times New Roman" w:eastAsia="Times New Roman"/>
          <w:b/>
          <w:i w:val="0"/>
          <w:color w:val="C00000"/>
          <w:sz w:val="24"/>
        </w:rPr>
        <w:t>All application cases and reported evaluation data are synthetic.</w:t>
      </w:r>
    </w:p>
    <w:p>
      <w:r>
        <w:rPr>
          <w:rFonts w:ascii="Times New Roman" w:hAnsi="Times New Roman" w:eastAsia="Times New Roman"/>
          <w:sz w:val="24"/>
        </w:rPr>
        <w:br w:type="page"/>
      </w:r>
    </w:p>
    <w:p>
      <w:pPr>
        <w:pStyle w:val="Heading1"/>
        <w:spacing w:before="160" w:after="80"/>
      </w:pPr>
      <w:r>
        <w:rPr>
          <w:rFonts w:ascii="Times New Roman" w:hAnsi="Times New Roman" w:eastAsia="Times New Roman"/>
          <w:b/>
          <w:i w:val="0"/>
          <w:color w:val="166B52"/>
          <w:sz w:val="24"/>
        </w:rPr>
        <w:t>Executive summary</w:t>
      </w:r>
    </w:p>
    <w:p>
      <w:pPr>
        <w:spacing w:after="120" w:line="259" w:lineRule="auto"/>
      </w:pPr>
      <w:r>
        <w:rPr>
          <w:rFonts w:ascii="Times New Roman" w:hAnsi="Times New Roman" w:eastAsia="Times New Roman"/>
          <w:b w:val="0"/>
          <w:i w:val="0"/>
          <w:sz w:val="24"/>
        </w:rPr>
        <w:t>This report consolidates execution artifacts checked into the StratifyAI repository and records what each artifact supports. The dated evidence includes a full test run with 197 passing tests, 13 of 13 scripted service workflows passing, 60 of 60 role/action authorization decisions matching the permission registry, ten poisoned-name payloads excluded from Copilot evidence, and audit-chain tampering detected at entry 1. The repository progress note separately records a later full-tree check of 205 tests on 20 October 2026. Since the reviewed evidence artifacts do not include that later console transcript, both counts are reported with their provenance rather than merged.</w:t>
      </w:r>
    </w:p>
    <w:p>
      <w:pPr>
        <w:spacing w:after="120" w:line="259" w:lineRule="auto"/>
      </w:pPr>
      <w:r>
        <w:rPr>
          <w:rFonts w:ascii="Times New Roman" w:hAnsi="Times New Roman" w:eastAsia="Times New Roman"/>
          <w:b w:val="0"/>
          <w:i w:val="0"/>
          <w:sz w:val="24"/>
        </w:rPr>
        <w:t>The evaluation also records adverse product evidence. Across all five synthetic holdout cases, StratifyAI has higher MAE than the naive last-four-week mean baseline. Only one of five selected plans maintained the configured reserve. These results are limitations, not evidence of forecast accuracy or improved decisions. The repository contains a current public Overview capture and a historical design-review image. Eight requested signed-in page captures remain outstanding; the runtime simulated-action log is not checked in.</w:t>
      </w:r>
    </w:p>
    <w:p>
      <w:pPr>
        <w:pStyle w:val="Heading2"/>
        <w:spacing w:before="160" w:after="80"/>
      </w:pPr>
      <w:r>
        <w:rPr>
          <w:rFonts w:ascii="Times New Roman" w:hAnsi="Times New Roman" w:eastAsia="Times New Roman"/>
          <w:b/>
          <w:i w:val="0"/>
          <w:color w:val="183A35"/>
          <w:sz w:val="24"/>
        </w:rPr>
        <w:t>Evidence interpretation at a glance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Area</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Recorded result</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Supports</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Does not establish</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Test suite</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197 passed; 18 Oct 2026</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Dated full test run completed, exit 0</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Later 205 count has no reviewed archived transcript</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Workflow suite</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13/13 passed</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Specified scripted workflows completed</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Usability or production reliability</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Security checks</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60/60; 10/10; tamper detected</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These specific registered checks behaved as recorded</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Penetration test, certification or total injection defense</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Backtest</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Model MAE higher on all five cases</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Measured synthetic holdout comparison</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General predictive performance</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Decision quality</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1/5 plans kept reserve</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Computed scenario outcomes</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Real-world decision improvement</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UI evidence</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Public Overview present; 8 captures pending</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Captured public view only</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Complete visual verification</w:t>
            </w:r>
          </w:p>
        </w:tc>
      </w:tr>
    </w:tbl>
    <w:p>
      <w:pPr>
        <w:spacing w:after="20"/>
      </w:pPr>
    </w:p>
    <w:p>
      <w:pPr>
        <w:spacing w:after="140"/>
        <w:jc w:val="center"/>
      </w:pPr>
      <w:r>
        <w:rPr>
          <w:rFonts w:ascii="Times New Roman" w:hAnsi="Times New Roman" w:eastAsia="Times New Roman"/>
          <w:b w:val="0"/>
          <w:i/>
          <w:color w:val="596963"/>
          <w:sz w:val="24"/>
        </w:rPr>
        <w:t>Table 1. Evidence summary and claim boundaries.</w:t>
      </w:r>
    </w:p>
    <w:p>
      <w:pPr>
        <w:pStyle w:val="Heading2"/>
        <w:spacing w:before="160" w:after="80"/>
      </w:pPr>
      <w:r>
        <w:rPr>
          <w:rFonts w:ascii="Times New Roman" w:hAnsi="Times New Roman" w:eastAsia="Times New Roman"/>
          <w:b/>
          <w:i w:val="0"/>
          <w:color w:val="183A35"/>
          <w:sz w:val="24"/>
        </w:rPr>
        <w:t>Reading this report</w:t>
      </w:r>
    </w:p>
    <w:p>
      <w:pPr>
        <w:spacing w:after="120" w:line="259" w:lineRule="auto"/>
      </w:pPr>
      <w:r>
        <w:rPr>
          <w:rFonts w:ascii="Times New Roman" w:hAnsi="Times New Roman" w:eastAsia="Times New Roman"/>
          <w:b w:val="0"/>
          <w:i w:val="0"/>
          <w:sz w:val="24"/>
        </w:rPr>
        <w:t>Evidence identifiers [E1]–[E8] refer to repository artifacts in Section 7. Results are transcribed from checked-in records or the progress log; this document does not rerun tests or create runtime evidence. A recorded PASS means that the assertion or workflow passed in its stated run, not that the system is secure or ready for real financial decisions.</w:t>
      </w:r>
    </w:p>
    <w:p>
      <w:pPr>
        <w:pStyle w:val="Heading1"/>
        <w:spacing w:before="160" w:after="80"/>
      </w:pPr>
      <w:r>
        <w:rPr>
          <w:rFonts w:ascii="Times New Roman" w:hAnsi="Times New Roman" w:eastAsia="Times New Roman"/>
          <w:b/>
          <w:i w:val="0"/>
          <w:color w:val="166B52"/>
          <w:sz w:val="24"/>
        </w:rPr>
        <w:t>1. Scope and evidence handling</w:t>
      </w:r>
    </w:p>
    <w:p>
      <w:pPr>
        <w:spacing w:after="120" w:line="259" w:lineRule="auto"/>
      </w:pPr>
      <w:r>
        <w:rPr>
          <w:rFonts w:ascii="Times New Roman" w:hAnsi="Times New Roman" w:eastAsia="Times New Roman"/>
          <w:b w:val="0"/>
          <w:i w:val="0"/>
          <w:sz w:val="24"/>
        </w:rPr>
        <w:t>The evidence concerns a local Streamlit prototype using generated synthetic SME cases. Reviewed material includes test output, scripted service workflows, focused security checks, a synthetic holdout backtest, reserve outcomes and limited browser captures. No real customer dataset, lender, bank, payment service or production deployment is represented.</w:t>
      </w:r>
    </w:p>
    <w:p>
      <w:pPr>
        <w:spacing w:after="120" w:line="259" w:lineRule="auto"/>
      </w:pPr>
      <w:r>
        <w:rPr>
          <w:rFonts w:ascii="Times New Roman" w:hAnsi="Times New Roman" w:eastAsia="Times New Roman"/>
          <w:b w:val="0"/>
          <w:i w:val="0"/>
          <w:sz w:val="24"/>
        </w:rPr>
        <w:t>Artifacts were compared with the README, Technical Documentation, Security Self-Assessment and execution evidence index. Dates and counts are retained as recorded. Where a later progress note reports a result without its raw output artifact, it is labeled a secondary checkpoint.</w:t>
      </w:r>
    </w:p>
    <w:p>
      <w:pPr>
        <w:pStyle w:val="Heading2"/>
        <w:spacing w:before="160" w:after="80"/>
      </w:pPr>
      <w:r>
        <w:rPr>
          <w:rFonts w:ascii="Times New Roman" w:hAnsi="Times New Roman" w:eastAsia="Times New Roman"/>
          <w:b/>
          <w:i w:val="0"/>
          <w:color w:val="183A35"/>
          <w:sz w:val="24"/>
        </w:rPr>
        <w:t>Evidence provenance flow</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088"/>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1  Source artifact</w:t>
            </w:r>
          </w:p>
        </w:tc>
        <w:tc>
          <w:tcPr>
            <w:tcW w:type="dxa" w:w="360"/>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w:t>
            </w:r>
          </w:p>
        </w:tc>
        <w:tc>
          <w:tcPr>
            <w:tcW w:type="dxa" w:w="2376"/>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2  Extract method and scope</w:t>
            </w:r>
          </w:p>
        </w:tc>
        <w:tc>
          <w:tcPr>
            <w:tcW w:type="dxa" w:w="360"/>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w:t>
            </w:r>
          </w:p>
        </w:tc>
        <w:tc>
          <w:tcPr>
            <w:tcW w:type="dxa" w:w="2160"/>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3  Report observed result</w:t>
            </w:r>
          </w:p>
        </w:tc>
        <w:tc>
          <w:tcPr>
            <w:tcW w:type="dxa" w:w="360"/>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w:t>
            </w:r>
          </w:p>
        </w:tc>
        <w:tc>
          <w:tcPr>
            <w:tcW w:type="dxa" w:w="2088"/>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4  State boundary</w:t>
            </w:r>
          </w:p>
        </w:tc>
      </w:tr>
      <w:tr>
        <w:tc>
          <w:tcPr>
            <w:tcW w:type="dxa" w:w="2088"/>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Versioned output or capture</w:t>
            </w:r>
          </w:p>
        </w:tc>
        <w:tc>
          <w:tcPr>
            <w:tcW w:type="dxa" w:w="360"/>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w:t>
            </w:r>
          </w:p>
        </w:tc>
        <w:tc>
          <w:tcPr>
            <w:tcW w:type="dxa" w:w="2376"/>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Read date, command, scope and outcome</w:t>
            </w:r>
          </w:p>
        </w:tc>
        <w:tc>
          <w:tcPr>
            <w:tcW w:type="dxa" w:w="360"/>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w:t>
            </w:r>
          </w:p>
        </w:tc>
        <w:tc>
          <w:tcPr>
            <w:tcW w:type="dxa" w:w="2160"/>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Cite file and preserve adverse results</w:t>
            </w:r>
          </w:p>
        </w:tc>
        <w:tc>
          <w:tcPr>
            <w:tcW w:type="dxa" w:w="360"/>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w:t>
            </w:r>
          </w:p>
        </w:tc>
        <w:tc>
          <w:tcPr>
            <w:tcW w:type="dxa" w:w="2088"/>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Avoid unsupported conclusions</w:t>
            </w:r>
          </w:p>
        </w:tc>
      </w:tr>
    </w:tbl>
    <w:p>
      <w:pPr>
        <w:spacing w:after="20"/>
      </w:pPr>
    </w:p>
    <w:p>
      <w:pPr>
        <w:spacing w:after="140"/>
        <w:jc w:val="center"/>
      </w:pPr>
      <w:r>
        <w:rPr>
          <w:rFonts w:ascii="Times New Roman" w:hAnsi="Times New Roman" w:eastAsia="Times New Roman"/>
          <w:b w:val="0"/>
          <w:i/>
          <w:color w:val="596963"/>
          <w:sz w:val="24"/>
        </w:rPr>
        <w:t>Figure 1. Evidence-to-claim workflow used in this report.</w:t>
      </w:r>
    </w:p>
    <w:p>
      <w:pPr>
        <w:spacing w:after="120" w:line="259" w:lineRule="auto"/>
      </w:pPr>
      <w:r>
        <w:rPr>
          <w:rFonts w:ascii="Times New Roman" w:hAnsi="Times New Roman" w:eastAsia="Times New Roman"/>
          <w:b w:val="0"/>
          <w:i w:val="0"/>
          <w:sz w:val="24"/>
        </w:rPr>
        <w:t>A reproducible submission should retain the source artifact, execution timestamp, command, exit code and environment with every generated result. A screenshot should identify page, role, selected synthetic case and viewport. Missing provenance is stated rather than inferred.</w:t>
      </w:r>
    </w:p>
    <w:p>
      <w:pPr>
        <w:pStyle w:val="Heading1"/>
        <w:spacing w:before="160" w:after="80"/>
      </w:pPr>
      <w:r>
        <w:rPr>
          <w:rFonts w:ascii="Times New Roman" w:hAnsi="Times New Roman" w:eastAsia="Times New Roman"/>
          <w:b/>
          <w:i w:val="0"/>
          <w:color w:val="166B52"/>
          <w:sz w:val="24"/>
        </w:rPr>
        <w:t>2. Recorded execution results</w:t>
      </w:r>
    </w:p>
    <w:p>
      <w:pPr>
        <w:pStyle w:val="Heading2"/>
        <w:spacing w:before="160" w:after="80"/>
      </w:pPr>
      <w:r>
        <w:rPr>
          <w:rFonts w:ascii="Times New Roman" w:hAnsi="Times New Roman" w:eastAsia="Times New Roman"/>
          <w:b/>
          <w:i w:val="0"/>
          <w:color w:val="183A35"/>
          <w:sz w:val="24"/>
        </w:rPr>
        <w:t>2.1 Full test suite</w:t>
      </w:r>
    </w:p>
    <w:p>
      <w:pPr>
        <w:spacing w:after="120" w:line="259" w:lineRule="auto"/>
      </w:pPr>
      <w:r>
        <w:rPr>
          <w:rFonts w:ascii="Times New Roman" w:hAnsi="Times New Roman" w:eastAsia="Times New Roman"/>
          <w:b w:val="0"/>
          <w:i w:val="0"/>
          <w:sz w:val="24"/>
        </w:rPr>
        <w:t>The checked-in transcript records python -m pytest -q at 2026-10-18 06:57:57 UTC, exit code 0, with 197 tests passing in 43.10 seconds [E1]. The later docs/PROGRESS.md entry states that a full-tree check on 2026-10-20 passed 205 tests, alongside Ruff, health and secret checks. The reviewed evidence directory contains the 197-test transcript but no separate timestamped output for the later 205-test run. Thus 197 is the directly archived run and 205 is a later project checkpoint, not two results from one run.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Run</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Date / time UTC</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Outcome</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Provenance</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Archived full pytest</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2026-10-18 06:57:57</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197 passed; exit 0; 43.10 s</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Raw text [E1]</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Later full-tree QA</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2026-10-20</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205 passed; Ruff, health, secret scan noted</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Progress summary; separate raw transcript not located</w:t>
            </w:r>
          </w:p>
        </w:tc>
      </w:tr>
    </w:tbl>
    <w:p>
      <w:pPr>
        <w:spacing w:after="20"/>
      </w:pPr>
    </w:p>
    <w:p>
      <w:pPr>
        <w:spacing w:after="140"/>
        <w:jc w:val="center"/>
      </w:pPr>
      <w:r>
        <w:rPr>
          <w:rFonts w:ascii="Times New Roman" w:hAnsi="Times New Roman" w:eastAsia="Times New Roman"/>
          <w:b w:val="0"/>
          <w:i/>
          <w:color w:val="596963"/>
          <w:sz w:val="24"/>
        </w:rPr>
        <w:t>Table 2. Test counts separated by date and source.</w:t>
      </w:r>
    </w:p>
    <w:p>
      <w:pPr>
        <w:pStyle w:val="Heading2"/>
        <w:spacing w:before="160" w:after="80"/>
      </w:pPr>
      <w:r>
        <w:rPr>
          <w:rFonts w:ascii="Times New Roman" w:hAnsi="Times New Roman" w:eastAsia="Times New Roman"/>
          <w:b/>
          <w:i w:val="0"/>
          <w:color w:val="183A35"/>
          <w:sz w:val="24"/>
        </w:rPr>
        <w:t>2.2 Scripted service workflows</w:t>
      </w:r>
    </w:p>
    <w:p>
      <w:pPr>
        <w:spacing w:after="120" w:line="259" w:lineRule="auto"/>
      </w:pPr>
      <w:r>
        <w:rPr>
          <w:rFonts w:ascii="Times New Roman" w:hAnsi="Times New Roman" w:eastAsia="Times New Roman"/>
          <w:b w:val="0"/>
          <w:i w:val="0"/>
          <w:sz w:val="24"/>
        </w:rPr>
        <w:t>The task suite records 13 of 13 scripted workflows passing (100%) at 2026-10-18 06:59:41 UTC [E2]. It covers shortage detection, Lab plan generation, reserve-feasible recommendation behavior, isolated stress inputs, financing calculations, draft creation and owner approval, authorization denial, formula-like upload neutralization, audit verification and tamper detection, grounded Copilot output, and analysis values with unavailable-data reasons.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ID</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Workflow area</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Recorded assertion</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T01</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Shortage forecast</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Expected shortage week observed</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T02</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Decision Lab</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Baseline, lever, combined and financing plans available</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T03</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Recommendation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Selected plan feasible under recomputed balances</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T04</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Stress scenario</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Finite result; source case unchanged</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T05</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Financing</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Illustrative amount, cost and schedule computed</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T06</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Draft creation</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finance_ops creates a local reminder draft</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T07</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Owner approval</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Only owner advances submitted draft to approved</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T08</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Authorization denial</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viewer denied lab.run; denial audited</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T09</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Upload validation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Formula-like cell neutralized and reported</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T10</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Audit verification</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Untampered chain verifies</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T11</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Tamper detection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Verifier detects modified persisted row</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T12</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Copilot grounding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Funding answer passes citation/number checks</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T13</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Analysis</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Finite snapshot and explicit unavailable reasons</w:t>
            </w:r>
          </w:p>
        </w:tc>
      </w:tr>
    </w:tbl>
    <w:p>
      <w:pPr>
        <w:spacing w:after="20"/>
      </w:pPr>
    </w:p>
    <w:p>
      <w:pPr>
        <w:spacing w:after="140"/>
        <w:jc w:val="center"/>
      </w:pPr>
      <w:r>
        <w:rPr>
          <w:rFonts w:ascii="Times New Roman" w:hAnsi="Times New Roman" w:eastAsia="Times New Roman"/>
          <w:b w:val="0"/>
          <w:i/>
          <w:color w:val="596963"/>
          <w:sz w:val="24"/>
        </w:rPr>
        <w:t>Table 3. All 13 workflow outcomes from [E2].</w:t>
      </w:r>
    </w:p>
    <w:p>
      <w:pPr>
        <w:spacing w:after="120" w:line="259" w:lineRule="auto"/>
      </w:pPr>
      <w:r>
        <w:rPr>
          <w:rFonts w:ascii="Times New Roman" w:hAnsi="Times New Roman" w:eastAsia="Times New Roman"/>
          <w:b w:val="0"/>
          <w:i w:val="0"/>
          <w:sz w:val="24"/>
        </w:rPr>
        <w:t>These are scripted service-level workflows with synthetic fixtures. They show that the listed paths completed under the recorded setup; they do not substitute for a live walkthrough, usability study or independent security test.</w:t>
      </w:r>
    </w:p>
    <w:p>
      <w:pPr>
        <w:pStyle w:val="Heading1"/>
        <w:spacing w:before="160" w:after="80"/>
      </w:pPr>
      <w:r>
        <w:rPr>
          <w:rFonts w:ascii="Times New Roman" w:hAnsi="Times New Roman" w:eastAsia="Times New Roman"/>
          <w:b/>
          <w:i w:val="0"/>
          <w:color w:val="166B52"/>
          <w:sz w:val="24"/>
        </w:rPr>
        <w:t>3. Security execution evidence</w:t>
      </w:r>
    </w:p>
    <w:p>
      <w:pPr>
        <w:spacing w:after="120" w:line="259" w:lineRule="auto"/>
      </w:pPr>
      <w:r>
        <w:rPr>
          <w:rFonts w:ascii="Times New Roman" w:hAnsi="Times New Roman" w:eastAsia="Times New Roman"/>
          <w:b w:val="0"/>
          <w:i w:val="0"/>
          <w:sz w:val="24"/>
        </w:rPr>
        <w:t>The focused security evaluation records 60 role/action decisions matching the permission registry; all ten poisoned-name cases excluded from Copilot evidence with grounded answers checked against ten receipts; and audit-chain modification detected at entry 1 [E3]. The Security Self-Assessment maps controls and test names to implementation locations and records residual risks.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Check</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Observed record</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Boundary</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Role/action matrix</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60 decisions matched registry</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Finite matrix; not exhaustive authorization testing</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Prompt injection / masking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10/10 names excluded; ten receipts validated</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Specific strings and masking behavior; not general injection resistance</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Audit integrity</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Tampering detected at entry 1</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Local administrator can replace database or disable local controls</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Money movement</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Always-denied action appears in mapped tests</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No payment integration exists</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Copilot boundary</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Offline by default; optional provider separately described</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Configured provider may receive question and masked numeric evidence</w:t>
            </w:r>
          </w:p>
        </w:tc>
      </w:tr>
    </w:tbl>
    <w:p>
      <w:pPr>
        <w:spacing w:after="20"/>
      </w:pPr>
    </w:p>
    <w:p>
      <w:pPr>
        <w:spacing w:after="140"/>
        <w:jc w:val="center"/>
      </w:pPr>
      <w:r>
        <w:rPr>
          <w:rFonts w:ascii="Times New Roman" w:hAnsi="Times New Roman" w:eastAsia="Times New Roman"/>
          <w:b w:val="0"/>
          <w:i/>
          <w:color w:val="596963"/>
          <w:sz w:val="24"/>
        </w:rPr>
        <w:t>Table 4. Focused security checks and their limits.</w:t>
      </w:r>
    </w:p>
    <w:p>
      <w:pPr>
        <w:spacing w:after="120" w:line="259" w:lineRule="auto"/>
      </w:pPr>
      <w:r>
        <w:rPr>
          <w:rFonts w:ascii="Times New Roman" w:hAnsi="Times New Roman" w:eastAsia="Times New Roman"/>
          <w:b w:val="0"/>
          <w:i w:val="0"/>
          <w:sz w:val="24"/>
        </w:rPr>
        <w:t>PASS refers only to the recorded checks. These materials are self-assessment evidence, not an external penetration test, OWASP validation, certification or production approval [E8].</w:t>
      </w:r>
    </w:p>
    <w:p>
      <w:pPr>
        <w:pStyle w:val="Heading1"/>
        <w:spacing w:before="160" w:after="80"/>
      </w:pPr>
      <w:r>
        <w:rPr>
          <w:rFonts w:ascii="Times New Roman" w:hAnsi="Times New Roman" w:eastAsia="Times New Roman"/>
          <w:b/>
          <w:i w:val="0"/>
          <w:color w:val="166B52"/>
          <w:sz w:val="24"/>
        </w:rPr>
        <w:t>4. Forecast and decision evaluation</w:t>
      </w:r>
    </w:p>
    <w:p>
      <w:pPr>
        <w:pStyle w:val="Heading2"/>
        <w:spacing w:before="160" w:after="80"/>
      </w:pPr>
      <w:r>
        <w:rPr>
          <w:rFonts w:ascii="Times New Roman" w:hAnsi="Times New Roman" w:eastAsia="Times New Roman"/>
          <w:b/>
          <w:i w:val="0"/>
          <w:color w:val="183A35"/>
          <w:sz w:val="24"/>
        </w:rPr>
        <w:t>4.1 Backtest method and measured results</w:t>
      </w:r>
    </w:p>
    <w:p>
      <w:pPr>
        <w:spacing w:after="120" w:line="259" w:lineRule="auto"/>
      </w:pPr>
      <w:r>
        <w:rPr>
          <w:rFonts w:ascii="Times New Roman" w:hAnsi="Times New Roman" w:eastAsia="Times New Roman"/>
          <w:b w:val="0"/>
          <w:i w:val="0"/>
          <w:sz w:val="24"/>
        </w:rPr>
        <w:t>The recorded backtest compares the forecast with the naive mean of the preceding four weeks of net flow. It reports ten-week holds per case, a training cutoff of 2026-05-04, MAE in BDT per week and WAPE as a percentage [E4]. Lower values indicate smaller errors on these measures.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Synthetic case</w:t>
            </w:r>
          </w:p>
        </w:tc>
        <w:tc>
          <w:tcPr>
            <w:tcW w:type="dxa" w:w="203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Model MAE BDT/wk</w:t>
            </w:r>
          </w:p>
        </w:tc>
        <w:tc>
          <w:tcPr>
            <w:tcW w:type="dxa" w:w="203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Naive MAE BDT/wk</w:t>
            </w:r>
          </w:p>
        </w:tc>
        <w:tc>
          <w:tcPr>
            <w:tcW w:type="dxa" w:w="203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Model WAPE</w:t>
            </w:r>
          </w:p>
        </w:tc>
        <w:tc>
          <w:tcPr>
            <w:tcW w:type="dxa" w:w="203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Naive WAPE</w:t>
            </w:r>
          </w:p>
        </w:tc>
      </w:tr>
      <w:tr>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stable_healthy</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255,370.86</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32,631.25</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330.99%</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42.29%</w:t>
            </w:r>
          </w:p>
        </w:tc>
      </w:tr>
      <w:tr>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sales_drop_cost_rise</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166,949.39</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140,806.33</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231.37%</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195.14%</w:t>
            </w:r>
          </w:p>
        </w:tc>
      </w:tr>
      <w:tr>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high_expense_shortage</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256,412.36</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26,176.58</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374.69%</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38.25%</w:t>
            </w:r>
          </w:p>
        </w:tc>
      </w:tr>
      <w:tr>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delayed_customer_payments</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297,374.47</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18,340.14</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989.17%</w:t>
            </w:r>
          </w:p>
        </w:tc>
        <w:tc>
          <w:tcPr>
            <w:tcW w:type="dxa" w:w="203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61.01%</w:t>
            </w:r>
          </w:p>
        </w:tc>
      </w:tr>
      <w:tr>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import_financing</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299,112.58</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23,607.15</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576.99%</w:t>
            </w:r>
          </w:p>
        </w:tc>
        <w:tc>
          <w:tcPr>
            <w:tcW w:type="dxa" w:w="203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45.54%</w:t>
            </w:r>
          </w:p>
        </w:tc>
      </w:tr>
    </w:tbl>
    <w:p>
      <w:pPr>
        <w:spacing w:after="20"/>
      </w:pPr>
    </w:p>
    <w:p>
      <w:pPr>
        <w:spacing w:after="140"/>
        <w:jc w:val="center"/>
      </w:pPr>
      <w:r>
        <w:rPr>
          <w:rFonts w:ascii="Times New Roman" w:hAnsi="Times New Roman" w:eastAsia="Times New Roman"/>
          <w:b w:val="0"/>
          <w:i/>
          <w:color w:val="596963"/>
          <w:sz w:val="24"/>
        </w:rPr>
        <w:t>Table 5. Holdout error comparison; lower is better. Transcribed from [E4].</w:t>
      </w:r>
    </w:p>
    <w:p>
      <w:pPr>
        <w:spacing w:after="120" w:line="259" w:lineRule="auto"/>
      </w:pPr>
      <w:r>
        <w:rPr>
          <w:rFonts w:ascii="Times New Roman" w:hAnsi="Times New Roman" w:eastAsia="Times New Roman"/>
          <w:b w:val="0"/>
          <w:i w:val="0"/>
          <w:sz w:val="24"/>
        </w:rPr>
        <w:t>Model MAE is higher than the naive baseline in every evaluated case. The delayed-customer-payment case has the highest model WAPE (989.17%). This is adverse evidence about current behavior on these fixtures. It does not support an accuracy claim and motivates calibration and a broader independently defined evaluation set. Five synthetic cases cannot establish general performance.</w:t>
      </w:r>
    </w:p>
    <w:p>
      <w:pPr>
        <w:pStyle w:val="Heading2"/>
        <w:spacing w:before="160" w:after="80"/>
      </w:pPr>
      <w:r>
        <w:rPr>
          <w:rFonts w:ascii="Times New Roman" w:hAnsi="Times New Roman" w:eastAsia="Times New Roman"/>
          <w:b/>
          <w:i w:val="0"/>
          <w:color w:val="183A35"/>
          <w:sz w:val="24"/>
        </w:rPr>
        <w:t>4.2 Reserve outcomes for selected plans</w:t>
      </w:r>
    </w:p>
    <w:p>
      <w:pPr>
        <w:spacing w:after="120" w:line="259" w:lineRule="auto"/>
      </w:pPr>
      <w:r>
        <w:rPr>
          <w:rFonts w:ascii="Times New Roman" w:hAnsi="Times New Roman" w:eastAsia="Times New Roman"/>
          <w:b w:val="0"/>
          <w:i w:val="0"/>
          <w:sz w:val="24"/>
        </w:rPr>
        <w:t>The decision-quality artifact records the selected plan, deterministic minimum balance, configured reserve, reserve status and seeded breach probability for each case [E5]. One of five selected plans keeps reserve. The other four remain below the configured reserve and are reported plainly.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Case</w:t>
            </w:r>
          </w:p>
        </w:tc>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Plan</w:t>
            </w:r>
          </w:p>
        </w:tc>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Minimum balance BDT</w:t>
            </w:r>
          </w:p>
        </w:tc>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Reserve BDT</w:t>
            </w:r>
          </w:p>
        </w:tc>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Kept?</w:t>
            </w:r>
          </w:p>
        </w:tc>
        <w:tc>
          <w:tcPr>
            <w:tcW w:type="dxa" w:w="1694"/>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Simulated breach probability</w:t>
            </w:r>
          </w:p>
        </w:tc>
      </w:tr>
      <w:tr>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stable_healthy</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Option 0</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3,246,586.55</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389,265.83</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Yes</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0.0000</w:t>
            </w:r>
          </w:p>
        </w:tc>
      </w:tr>
      <w:tr>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sales_drop_cost_rise</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Option 0</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-1,594,784.34</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529,253.62</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No</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1.0000</w:t>
            </w:r>
          </w:p>
        </w:tc>
      </w:tr>
      <w:tr>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high_expense_shortage</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Option A</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-6,229,560.42</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622,695.93</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No</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1.0000</w:t>
            </w:r>
          </w:p>
        </w:tc>
      </w:tr>
      <w:tr>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delayed_customer_payments</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Option 0</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-188,551.13</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452,785.87</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No</w:t>
            </w:r>
          </w:p>
        </w:tc>
        <w:tc>
          <w:tcPr>
            <w:tcW w:type="dxa" w:w="1694"/>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1.0000</w:t>
            </w:r>
          </w:p>
        </w:tc>
      </w:tr>
      <w:tr>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import_financing</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Option A</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253,078.71</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420,886.89</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No</w:t>
            </w:r>
          </w:p>
        </w:tc>
        <w:tc>
          <w:tcPr>
            <w:tcW w:type="dxa" w:w="1694"/>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0.9845</w:t>
            </w:r>
          </w:p>
        </w:tc>
      </w:tr>
    </w:tbl>
    <w:p>
      <w:pPr>
        <w:spacing w:after="20"/>
      </w:pPr>
    </w:p>
    <w:p>
      <w:pPr>
        <w:spacing w:after="140"/>
        <w:jc w:val="center"/>
      </w:pPr>
      <w:r>
        <w:rPr>
          <w:rFonts w:ascii="Times New Roman" w:hAnsi="Times New Roman" w:eastAsia="Times New Roman"/>
          <w:b w:val="0"/>
          <w:i/>
          <w:color w:val="596963"/>
          <w:sz w:val="24"/>
        </w:rPr>
        <w:t>Table 6. Selected-plan results [E5]. Amounts rounded to two decimals.</w:t>
      </w:r>
    </w:p>
    <w:p>
      <w:pPr>
        <w:spacing w:after="120" w:line="259" w:lineRule="auto"/>
      </w:pPr>
      <w:r>
        <w:rPr>
          <w:rFonts w:ascii="Times New Roman" w:hAnsi="Times New Roman" w:eastAsia="Times New Roman"/>
          <w:b w:val="0"/>
          <w:i w:val="0"/>
          <w:sz w:val="24"/>
        </w:rPr>
        <w:t>Breach probability is a seeded simulation output under model assumptions; it is not an observed real-business frequency or calibrated insolvency probability. Plan selection and reserve status are scenario properties, not evidence of improved outcomes.</w:t>
      </w:r>
    </w:p>
    <w:p>
      <w:pPr>
        <w:pStyle w:val="Heading1"/>
        <w:spacing w:before="160" w:after="80"/>
      </w:pPr>
      <w:r>
        <w:rPr>
          <w:rFonts w:ascii="Times New Roman" w:hAnsi="Times New Roman" w:eastAsia="Times New Roman"/>
          <w:b/>
          <w:i w:val="0"/>
          <w:color w:val="166B52"/>
          <w:sz w:val="24"/>
        </w:rPr>
        <w:t>5. Interface and run evidence</w:t>
      </w:r>
    </w:p>
    <w:p>
      <w:pPr>
        <w:pStyle w:val="Heading2"/>
        <w:spacing w:before="160" w:after="80"/>
      </w:pPr>
      <w:r>
        <w:rPr>
          <w:rFonts w:ascii="Times New Roman" w:hAnsi="Times New Roman" w:eastAsia="Times New Roman"/>
          <w:b/>
          <w:i w:val="0"/>
          <w:color w:val="183A35"/>
          <w:sz w:val="24"/>
        </w:rPr>
        <w:t>5.1 Captures currently present</w:t>
      </w:r>
    </w:p>
    <w:p>
      <w:pPr>
        <w:spacing w:after="120" w:line="259" w:lineRule="auto"/>
      </w:pPr>
      <w:r>
        <w:rPr>
          <w:rFonts w:ascii="Times New Roman" w:hAnsi="Times New Roman" w:eastAsia="Times New Roman"/>
          <w:b w:val="0"/>
          <w:i w:val="0"/>
          <w:sz w:val="24"/>
        </w:rPr>
        <w:t>The repository includes a 1440-pixel public Overview capture at docs/img/overview.png and an older T02 Overview review image at evidence/t02-overview-review.png [E6]. The first is a public landing view, not a signed-in business dashboard. The latter is historical and must not be presented as current UI evidence.</w:t>
      </w:r>
    </w:p>
    <w:p>
      <w:pPr>
        <w:jc w:val="center"/>
      </w:pPr>
      <w:r>
        <w:rPr>
          <w:rFonts w:ascii="Times New Roman" w:hAnsi="Times New Roman" w:eastAsia="Times New Roman"/>
          <w:sz w:val="24"/>
        </w:rP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669280" cy="4330700"/>
                    </a:xfrm>
                    <a:prstGeom prst="rect"/>
                  </pic:spPr>
                </pic:pic>
              </a:graphicData>
            </a:graphic>
          </wp:inline>
        </w:drawing>
      </w:r>
    </w:p>
    <w:p>
      <w:pPr>
        <w:spacing w:after="140"/>
        <w:jc w:val="center"/>
      </w:pPr>
      <w:r>
        <w:rPr>
          <w:rFonts w:ascii="Times New Roman" w:hAnsi="Times New Roman" w:eastAsia="Times New Roman"/>
          <w:b w:val="0"/>
          <w:i/>
          <w:color w:val="596963"/>
          <w:sz w:val="24"/>
        </w:rPr>
        <w:t>Figure 2. Current 1440px public Overview capture. It does not show a signed-in case workflow.</w:t>
      </w:r>
    </w:p>
    <w:p>
      <w:pPr>
        <w:pStyle w:val="Heading2"/>
        <w:spacing w:before="160" w:after="80"/>
      </w:pPr>
      <w:r>
        <w:rPr>
          <w:rFonts w:ascii="Times New Roman" w:hAnsi="Times New Roman" w:eastAsia="Times New Roman"/>
          <w:b/>
          <w:i w:val="0"/>
          <w:color w:val="183A35"/>
          <w:sz w:val="24"/>
        </w:rPr>
        <w:t>Historical image — reference only</w:t>
      </w:r>
    </w:p>
    <w:p>
      <w:pPr>
        <w:jc w:val="center"/>
      </w:pPr>
      <w:r>
        <w:rPr>
          <w:rFonts w:ascii="Times New Roman" w:hAnsi="Times New Roman" w:eastAsia="Times New Roman"/>
          <w:sz w:val="24"/>
        </w:rPr>
        <w:drawing>
          <wp:inline xmlns:a="http://schemas.openxmlformats.org/drawingml/2006/main" xmlns:pic="http://schemas.openxmlformats.org/drawingml/2006/picture">
            <wp:extent cx="5303520" cy="3776976"/>
            <wp:docPr id="2" name="Picture 2"/>
            <wp:cNvGraphicFramePr>
              <a:graphicFrameLocks noChangeAspect="1"/>
            </wp:cNvGraphicFramePr>
            <a:graphic>
              <a:graphicData uri="http://schemas.openxmlformats.org/drawingml/2006/picture">
                <pic:pic>
                  <pic:nvPicPr>
                    <pic:cNvPr id="0" name="t02-overview-review.png"/>
                    <pic:cNvPicPr/>
                  </pic:nvPicPr>
                  <pic:blipFill>
                    <a:blip r:embed="rId12"/>
                    <a:stretch>
                      <a:fillRect/>
                    </a:stretch>
                  </pic:blipFill>
                  <pic:spPr>
                    <a:xfrm>
                      <a:off x="0" y="0"/>
                      <a:ext cx="5303520" cy="3776976"/>
                    </a:xfrm>
                    <a:prstGeom prst="rect"/>
                  </pic:spPr>
                </pic:pic>
              </a:graphicData>
            </a:graphic>
          </wp:inline>
        </w:drawing>
      </w:r>
    </w:p>
    <w:p>
      <w:pPr>
        <w:spacing w:after="140"/>
        <w:jc w:val="center"/>
      </w:pPr>
      <w:r>
        <w:rPr>
          <w:rFonts w:ascii="Times New Roman" w:hAnsi="Times New Roman" w:eastAsia="Times New Roman"/>
          <w:b w:val="0"/>
          <w:i/>
          <w:color w:val="596963"/>
          <w:sz w:val="24"/>
        </w:rPr>
        <w:t>Figure 3. T02 historical Overview review capture; not current interface evidence.</w:t>
      </w:r>
    </w:p>
    <w:p>
      <w:pPr>
        <w:pStyle w:val="Heading2"/>
        <w:spacing w:before="160" w:after="80"/>
      </w:pPr>
      <w:r>
        <w:rPr>
          <w:rFonts w:ascii="Times New Roman" w:hAnsi="Times New Roman" w:eastAsia="Times New Roman"/>
          <w:b/>
          <w:i w:val="0"/>
          <w:color w:val="183A35"/>
          <w:sz w:val="24"/>
        </w:rPr>
        <w:t>5.2 Required signed-in captures</w:t>
      </w:r>
    </w:p>
    <w:p>
      <w:pPr>
        <w:spacing w:after="120" w:line="259" w:lineRule="auto"/>
      </w:pPr>
      <w:r>
        <w:rPr>
          <w:rFonts w:ascii="Times New Roman" w:hAnsi="Times New Roman" w:eastAsia="Times New Roman"/>
          <w:b w:val="0"/>
          <w:i w:val="0"/>
          <w:sz w:val="24"/>
        </w:rPr>
        <w:t>Eight current signed-in page captures remain requested. Capture each at a 1440-pixel viewport after loading a synthetic case. Keep page title, case and synthetic-data label visible. The red-marked slots identify exact insertion locations; replace a slot only after a fresh capture exists and has been visually checked.</w:t>
      </w:r>
    </w:p>
    <w:p>
      <w:pPr>
        <w:pStyle w:val="Heading2"/>
        <w:spacing w:before="160" w:after="80"/>
      </w:pPr>
      <w:r>
        <w:rPr>
          <w:rFonts w:ascii="Times New Roman" w:hAnsi="Times New Roman" w:eastAsia="Times New Roman"/>
          <w:b/>
          <w:i w:val="0"/>
          <w:color w:val="183A35"/>
          <w:sz w:val="24"/>
        </w:rPr>
        <w:t>Figure 4 — Cash Flow</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docs/img/cashflow.png HERE. Capture: Current signed-in cash path with ACTUAL history, FORECAST weeks, reserve line and uncertainty band.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4. Cash Flow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5 — Decision Lab</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docs/img/lab.png HERE. Capture: Option 0/A/B/C comparison, recommendation and reserve outcome.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5. Decision Lab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6 — Financing</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docs/img/financing.png HERE. Capture: Illustrative template, repayment schedule, cost and terms notice.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6. Financing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7 — Analysis</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docs/img/analysis.png HERE. Capture: Business metrics and receivables watchlist for a synthetic case.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7. Analysis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8 — Copilot</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docs/img/copilot.png HERE. Capture: Grounded answer, Evidence used drawer and receipt; note offline/configured mode.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8. Copilot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9 — Approvals</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docs/img/approvals.png HERE. Capture: Draft submission, owner review controls and timeline; no real message sent.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9. Approvals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10 — Upload</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docs/img/upload.png HERE. Capture: Validation results including formula-like cell neutralization and row-level report.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10. Upload evidence placeholder. Replace with a fresh signed-in capture and factual caption.</w:t>
      </w:r>
    </w:p>
    <w:p>
      <w:pPr>
        <w:pStyle w:val="Heading2"/>
        <w:spacing w:before="160" w:after="80"/>
      </w:pPr>
      <w:r>
        <w:rPr>
          <w:rFonts w:ascii="Times New Roman" w:hAnsi="Times New Roman" w:eastAsia="Times New Roman"/>
          <w:b/>
          <w:i w:val="0"/>
          <w:color w:val="183A35"/>
          <w:sz w:val="24"/>
        </w:rPr>
        <w:t>Figure 11 — Security</w:t>
      </w:r>
    </w:p>
    <w:tbl>
      <w:tblPr>
        <w:tblW w:type="auto" w:w="0"/>
        <w:jc w:val="center"/>
        <w:tblLook w:firstColumn="1" w:firstRow="1" w:lastColumn="0" w:lastRow="0" w:noHBand="0" w:noVBand="1" w:val="04A0"/>
      </w:tblPr>
      <w:tblGrid>
        <w:gridCol w:w="10166"/>
      </w:tblGrid>
      <w:tr>
        <w:tc>
          <w:tcPr>
            <w:tcW w:type="dxa" w:w="10166"/>
            <w:shd w:fill="FCE4D6"/>
            <w:tcBorders>
              <w:top w:val="single" w:sz="5" w:color="D7E4DD"/>
              <w:left w:val="single" w:sz="5" w:color="D7E4DD"/>
              <w:bottom w:val="single" w:sz="5" w:color="D7E4DD"/>
              <w:right w:val="single" w:sz="5" w:color="D7E4DD"/>
              <w:insideH w:val="single" w:sz="5" w:color="D7E4DD"/>
              <w:insideV w:val="single" w:sz="5" w:color="D7E4DD"/>
            </w:tcBorders>
          </w:tcPr>
          <w:p>
            <w:r>
              <w:rPr>
                <w:rFonts w:ascii="Times New Roman" w:hAnsi="Times New Roman" w:eastAsia="Times New Roman"/>
                <w:sz w:val="24"/>
              </w:rPr>
            </w:r>
            <w:r>
              <w:rPr>
                <w:rFonts w:ascii="Times New Roman" w:hAnsi="Times New Roman" w:eastAsia="Times New Roman"/>
                <w:b/>
                <w:i w:val="0"/>
                <w:color w:val="C00000"/>
                <w:sz w:val="24"/>
              </w:rPr>
              <w:t>[RED — INSERT docs/img/security.png HERE. Capture: Role/action matrix and security status with role context. Viewport: 1440px. Record case and role in caption. Use a fresh capture; do not substitute historical imagery.]</w:t>
            </w:r>
          </w:p>
        </w:tc>
      </w:tr>
    </w:tbl>
    <w:p/>
    <w:p>
      <w:pPr>
        <w:spacing w:after="140"/>
        <w:jc w:val="center"/>
      </w:pPr>
      <w:r>
        <w:rPr>
          <w:rFonts w:ascii="Times New Roman" w:hAnsi="Times New Roman" w:eastAsia="Times New Roman"/>
          <w:b w:val="0"/>
          <w:i/>
          <w:color w:val="596963"/>
          <w:sz w:val="24"/>
        </w:rPr>
        <w:t>Fig. 11. Security evidence placeholder. Replace with a fresh signed-in capture and factual caption.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Requested file</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Proof point</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Reviewed repository status</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docs/img/cashflow.png</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Forecast, reserve and uncertainty</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docs/img/lab.png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Plans and levers</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docs/img/financing.png</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Illustrative schedule</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docs/img/analysis.png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Analysis and watchlist</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docs/img/copilot.png</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Answer, evidence and receipt</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docs/img/approvals.png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Draft and owner approval</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docs/img/upload.png</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Upload validation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docs/img/security.png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Security role matrix</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Absent</w:t>
            </w:r>
          </w:p>
        </w:tc>
      </w:tr>
    </w:tbl>
    <w:p>
      <w:pPr>
        <w:spacing w:after="20"/>
      </w:pPr>
    </w:p>
    <w:p>
      <w:pPr>
        <w:spacing w:after="140"/>
        <w:jc w:val="center"/>
      </w:pPr>
      <w:r>
        <w:rPr>
          <w:rFonts w:ascii="Times New Roman" w:hAnsi="Times New Roman" w:eastAsia="Times New Roman"/>
          <w:b w:val="0"/>
          <w:i/>
          <w:color w:val="596963"/>
          <w:sz w:val="24"/>
        </w:rPr>
        <w:t>Table 7. Requested screenshots and current status [E6].</w:t>
      </w:r>
    </w:p>
    <w:p>
      <w:pPr>
        <w:pStyle w:val="Heading1"/>
        <w:spacing w:before="160" w:after="80"/>
      </w:pPr>
      <w:r>
        <w:rPr>
          <w:rFonts w:ascii="Times New Roman" w:hAnsi="Times New Roman" w:eastAsia="Times New Roman"/>
          <w:b/>
          <w:i w:val="0"/>
          <w:color w:val="166B52"/>
          <w:sz w:val="24"/>
        </w:rPr>
        <w:t>6. Reproduction and evidence capture protocol</w:t>
      </w:r>
    </w:p>
    <w:p>
      <w:pPr>
        <w:spacing w:after="120" w:line="259" w:lineRule="auto"/>
      </w:pPr>
      <w:r>
        <w:rPr>
          <w:rFonts w:ascii="Times New Roman" w:hAnsi="Times New Roman" w:eastAsia="Times New Roman"/>
          <w:b w:val="0"/>
          <w:i w:val="0"/>
          <w:sz w:val="24"/>
        </w:rPr>
        <w:t>Use a clean local checkout and retain the complete output of each run. Preserve the existing dated transcript; create a new timestamped artifact for new execution results.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Purpose</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Command or capture</w:t>
            </w:r>
          </w:p>
        </w:tc>
        <w:tc>
          <w:tcPr>
            <w:tcW w:type="dxa" w:w="3389"/>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Minimum evidence to retain</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Full test suite</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python -m pytest -q</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stdout, stderr, exit code, UTC time and dependency versions</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Health check</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python run.py check</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Complete output and exit code</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Evaluation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python run.py eval</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Timestamped backtest, decision-quality, security and test artifacts</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Workflow suite</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python scripts/run_tasks.py</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13-workflow report and exit code</w:t>
            </w:r>
          </w:p>
        </w:tc>
      </w:tr>
      <w:tr>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Visual session</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python run.py demo</w:t>
            </w:r>
          </w:p>
        </w:tc>
        <w:tc>
          <w:tcPr>
            <w:tcW w:type="dxa" w:w="3389"/>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Role, case, mode, viewport and capture time</w:t>
            </w:r>
          </w:p>
        </w:tc>
      </w:tr>
      <w:tr>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Page capture</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1440px browser PNG</w:t>
            </w:r>
          </w:p>
        </w:tc>
        <w:tc>
          <w:tcPr>
            <w:tcW w:type="dxa" w:w="3389"/>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Original PNG, expected docs/img name, factual caption and synthetic label</w:t>
            </w:r>
          </w:p>
        </w:tc>
      </w:tr>
    </w:tbl>
    <w:p>
      <w:pPr>
        <w:spacing w:after="20"/>
      </w:pPr>
    </w:p>
    <w:p>
      <w:pPr>
        <w:spacing w:after="140"/>
        <w:jc w:val="center"/>
      </w:pPr>
      <w:r>
        <w:rPr>
          <w:rFonts w:ascii="Times New Roman" w:hAnsi="Times New Roman" w:eastAsia="Times New Roman"/>
          <w:b w:val="0"/>
          <w:i/>
          <w:color w:val="596963"/>
          <w:sz w:val="24"/>
        </w:rPr>
        <w:t>Table 8. Reproduction commands and minimum provenance.</w:t>
      </w:r>
    </w:p>
    <w:p>
      <w:pPr>
        <w:spacing w:after="120" w:line="259" w:lineRule="auto"/>
      </w:pPr>
      <w:r>
        <w:rPr>
          <w:rFonts w:ascii="Times New Roman" w:hAnsi="Times New Roman" w:eastAsia="Times New Roman"/>
          <w:b w:val="0"/>
          <w:i w:val="0"/>
          <w:sz w:val="24"/>
        </w:rPr>
        <w:t>For screenshots, remove browser chrome without cropping away application context. Do not expose credentials, API keys, real personal data or unsanitized local paths. The runtime simulated-action log at evidence/sandbox_log.jsonl is a default destination only; it is absent from the reviewed tree and must not be represented as an existing execution artifact [E7].</w:t>
      </w:r>
    </w:p>
    <w:p>
      <w:pPr>
        <w:pStyle w:val="Heading1"/>
        <w:spacing w:before="160" w:after="80"/>
      </w:pPr>
      <w:r>
        <w:rPr>
          <w:rFonts w:ascii="Times New Roman" w:hAnsi="Times New Roman" w:eastAsia="Times New Roman"/>
          <w:b/>
          <w:i w:val="0"/>
          <w:color w:val="166B52"/>
          <w:sz w:val="24"/>
        </w:rPr>
        <w:t>7. Artifact register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ID</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Artifact</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Purpose / reported result</w:t>
            </w:r>
          </w:p>
        </w:tc>
        <w:tc>
          <w:tcPr>
            <w:tcW w:type="dxa" w:w="2541"/>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Reviewed status</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E1</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evidence/test_results.txt</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197-test full pytest output, timestamp, command and exit code</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2026-10-18</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E2</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evidence/task_suite_results.md</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Scripted service workflow outcomes</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13/13 PASS</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E3</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evidence/security_eval.md</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Authorization, injection/masking and tamper checks</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summarized results</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E4</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evidence/backtest_results.md and .csv</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Method and five-case MAE/WAPE</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model loses on all five cases</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E5</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evidence/decision_quality.json</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Selected plans, balances, reserve status and breach probability</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1/5 keeps reserve</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E6</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docs/img/overview.png; evidence/t02-overview-review.png</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Current public and historical UI captures</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Both present; historical clearly labeled</w:t>
            </w:r>
          </w:p>
        </w:tc>
      </w:tr>
      <w:tr>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E7</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docs/EXECUTION_EVIDENCE.md</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Evidence index, screenshot requests and absent runtime log note</w:t>
            </w:r>
          </w:p>
        </w:tc>
        <w:tc>
          <w:tcPr>
            <w:tcW w:type="dxa" w:w="2541"/>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w:t>
            </w:r>
          </w:p>
        </w:tc>
      </w:tr>
      <w:tr>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E8</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docs/SECURITY_SELF_ASSESSMENT.md</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Controls, STRIDE, test map and residual risks</w:t>
            </w:r>
          </w:p>
        </w:tc>
        <w:tc>
          <w:tcPr>
            <w:tcW w:type="dxa" w:w="2541"/>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Present; self-assessment only</w:t>
            </w:r>
          </w:p>
        </w:tc>
      </w:tr>
    </w:tbl>
    <w:p>
      <w:pPr>
        <w:spacing w:after="20"/>
      </w:pPr>
    </w:p>
    <w:p>
      <w:pPr>
        <w:spacing w:after="140"/>
        <w:jc w:val="center"/>
      </w:pPr>
      <w:r>
        <w:rPr>
          <w:rFonts w:ascii="Times New Roman" w:hAnsi="Times New Roman" w:eastAsia="Times New Roman"/>
          <w:b w:val="0"/>
          <w:i/>
          <w:color w:val="596963"/>
          <w:sz w:val="24"/>
        </w:rPr>
        <w:t>Table 9. Reviewed evidence source inventory.</w:t>
      </w:r>
    </w:p>
    <w:p>
      <w:pPr>
        <w:pStyle w:val="Heading1"/>
        <w:spacing w:before="160" w:after="80"/>
      </w:pPr>
      <w:r>
        <w:rPr>
          <w:rFonts w:ascii="Times New Roman" w:hAnsi="Times New Roman" w:eastAsia="Times New Roman"/>
          <w:b/>
          <w:i w:val="0"/>
          <w:color w:val="166B52"/>
          <w:sz w:val="24"/>
        </w:rPr>
        <w:t>8. Limitations and claims boundary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Supported wording</w:t>
            </w:r>
          </w:p>
        </w:tc>
        <w:tc>
          <w:tcPr>
            <w:tcW w:type="dxa" w:w="5083"/>
            <w:shd w:fill="166B52"/>
            <w:tcBorders>
              <w:top w:val="single" w:sz="5" w:color="D7E4DD"/>
              <w:left w:val="single" w:sz="5" w:color="D7E4DD"/>
              <w:bottom w:val="single" w:sz="5" w:color="D7E4DD"/>
              <w:right w:val="single" w:sz="5" w:color="D7E4DD"/>
              <w:insideH w:val="single" w:sz="5" w:color="D7E4DD"/>
              <w:insideV w:val="single" w:sz="5" w:color="D7E4DD"/>
            </w:tcBorders>
            <w:vAlign w:val="center"/>
          </w:tcPr>
          <w:p>
            <w:r>
              <w:rPr>
                <w:rFonts w:ascii="Times New Roman" w:hAnsi="Times New Roman" w:eastAsia="Times New Roman"/>
                <w:sz w:val="24"/>
              </w:rPr>
            </w:r>
            <w:r>
              <w:rPr>
                <w:rFonts w:ascii="Times New Roman" w:hAnsi="Times New Roman" w:eastAsia="Times New Roman"/>
                <w:b/>
                <w:i w:val="0"/>
                <w:color w:val="FFFFFF"/>
                <w:sz w:val="24"/>
              </w:rPr>
              <w:t>Unsupported extension</w:t>
            </w:r>
          </w:p>
        </w:tc>
      </w:tr>
      <w:tr>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archived 18 Oct test run completed with 197 passes and exit code 0.</w:t>
            </w:r>
          </w:p>
        </w:tc>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archived test artifact proves 205 tests passed; that count appears only in a later progress summary here.</w:t>
            </w:r>
          </w:p>
        </w:tc>
      </w:tr>
      <w:tr>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listed 13 workflows and 60 role/action decisions passed in their recorded runs.</w:t>
            </w:r>
          </w:p>
        </w:tc>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project passed independent penetration testing, certification or a complete security audit.</w:t>
            </w:r>
          </w:p>
        </w:tc>
      </w:tr>
      <w:tr>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Every measured synthetic holdout case has higher model MAE than the naive baseline.</w:t>
            </w:r>
          </w:p>
        </w:tc>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forecast is accurate, generalizes to SMEs or outperforms a baseline.</w:t>
            </w:r>
          </w:p>
        </w:tc>
      </w:tr>
      <w:tr>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recorded selected plan kept reserve in one of five cases.</w:t>
            </w:r>
          </w:p>
        </w:tc>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Recommendations improve outcomes or reliably preserve liquidity.</w:t>
            </w:r>
          </w:p>
        </w:tc>
      </w:tr>
      <w:tr>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 public Overview screenshot exists; eight signed-in captures remain.</w:t>
            </w:r>
          </w:p>
        </w:tc>
        <w:tc>
          <w:tcPr>
            <w:tcW w:type="dxa" w:w="5083"/>
            <w:shd w:fill="F4F8F5"/>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All pages were visually verified or the historical image shows the current design.</w:t>
            </w:r>
          </w:p>
        </w:tc>
      </w:tr>
      <w:tr>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The described action simulation is local-only; its runtime log is absent from the reviewed tree.</w:t>
            </w:r>
          </w:p>
        </w:tc>
        <w:tc>
          <w:tcPr>
            <w:tcW w:type="dxa" w:w="5083"/>
            <w:shd w:fill="FFFFFF"/>
            <w:tcBorders>
              <w:top w:val="single" w:sz="5" w:color="D7E4DD"/>
              <w:left w:val="single" w:sz="5" w:color="D7E4DD"/>
              <w:bottom w:val="single" w:sz="5" w:color="D7E4DD"/>
              <w:right w:val="single" w:sz="5" w:color="D7E4DD"/>
              <w:insideH w:val="single" w:sz="5" w:color="D7E4DD"/>
              <w:insideV w:val="single" w:sz="5" w:color="D7E4DD"/>
            </w:tcBorders>
            <w:vAlign w:val="center"/>
          </w:tcPr>
          <w:p>
            <w:pPr>
              <w:spacing w:after="20" w:line="240" w:lineRule="auto"/>
            </w:pPr>
            <w:r>
              <w:rPr>
                <w:rFonts w:ascii="Times New Roman" w:hAnsi="Times New Roman" w:eastAsia="Times New Roman"/>
                <w:sz w:val="24"/>
              </w:rPr>
            </w:r>
            <w:r>
              <w:rPr>
                <w:rFonts w:ascii="Times New Roman" w:hAnsi="Times New Roman" w:eastAsia="Times New Roman"/>
                <w:b w:val="0"/>
                <w:i w:val="0"/>
                <w:color w:val="183A35"/>
                <w:sz w:val="24"/>
              </w:rPr>
              <w:t>A runtime action log exists or any real payment/action was executed.</w:t>
            </w:r>
          </w:p>
        </w:tc>
      </w:tr>
    </w:tbl>
    <w:p>
      <w:pPr>
        <w:spacing w:after="20"/>
      </w:pPr>
    </w:p>
    <w:p>
      <w:pPr>
        <w:spacing w:after="140"/>
        <w:jc w:val="center"/>
      </w:pPr>
      <w:r>
        <w:rPr>
          <w:rFonts w:ascii="Times New Roman" w:hAnsi="Times New Roman" w:eastAsia="Times New Roman"/>
          <w:b w:val="0"/>
          <w:i/>
          <w:color w:val="596963"/>
          <w:sz w:val="24"/>
        </w:rPr>
        <w:t>Table 10. Claim language supported by the inspected artifacts.</w:t>
      </w:r>
    </w:p>
    <w:p>
      <w:pPr>
        <w:spacing w:after="120" w:line="259" w:lineRule="auto"/>
      </w:pPr>
      <w:r>
        <w:rPr>
          <w:rFonts w:ascii="Times New Roman" w:hAnsi="Times New Roman" w:eastAsia="Times New Roman"/>
          <w:b w:val="0"/>
          <w:i w:val="0"/>
          <w:sz w:val="24"/>
        </w:rPr>
        <w:t>All conclusions are limited to a synthetic-data prototype and the recorded runs. Forecast calibration, external review, production identity, monitoring, provider privacy controls and complete signed-in visual evidence are outside these results. For security caveats see [E8]; for algorithms and state transitions see docs/TECHNICAL_DOC.md and the Technical Documentation report.</w:t>
      </w:r>
    </w:p>
    <w:p>
      <w:pPr>
        <w:pStyle w:val="Heading1"/>
        <w:spacing w:before="160" w:after="80"/>
      </w:pPr>
      <w:r>
        <w:rPr>
          <w:rFonts w:ascii="Times New Roman" w:hAnsi="Times New Roman" w:eastAsia="Times New Roman"/>
          <w:b/>
          <w:i w:val="0"/>
          <w:color w:val="166B52"/>
          <w:sz w:val="24"/>
        </w:rPr>
        <w:t>References to project evidence</w:t>
      </w:r>
    </w:p>
    <w:p>
      <w:pPr>
        <w:pStyle w:val="ListNumber"/>
      </w:pPr>
      <w:r>
        <w:rPr>
          <w:rFonts w:ascii="Times New Roman" w:hAnsi="Times New Roman" w:eastAsia="Times New Roman"/>
          <w:b w:val="0"/>
          <w:i w:val="0"/>
          <w:sz w:val="24"/>
        </w:rPr>
        <w:t>[E1] StratifyAI repository, evidence/test_results.txt, full pytest transcript dated 2026-10-18.</w:t>
      </w:r>
    </w:p>
    <w:p>
      <w:pPr>
        <w:pStyle w:val="ListNumber"/>
      </w:pPr>
      <w:r>
        <w:rPr>
          <w:rFonts w:ascii="Times New Roman" w:hAnsi="Times New Roman" w:eastAsia="Times New Roman"/>
          <w:b w:val="0"/>
          <w:i w:val="0"/>
          <w:sz w:val="24"/>
        </w:rPr>
        <w:t>[E2] StratifyAI repository, evidence/task_suite_results.md, scripted workflows dated 2026-10-18.</w:t>
      </w:r>
    </w:p>
    <w:p>
      <w:pPr>
        <w:pStyle w:val="ListNumber"/>
      </w:pPr>
      <w:r>
        <w:rPr>
          <w:rFonts w:ascii="Times New Roman" w:hAnsi="Times New Roman" w:eastAsia="Times New Roman"/>
          <w:b w:val="0"/>
          <w:i w:val="0"/>
          <w:sz w:val="24"/>
        </w:rPr>
        <w:t>[E3] StratifyAI repository, evidence/security_eval.md, focused security evaluation dated 2026-10-18.</w:t>
      </w:r>
    </w:p>
    <w:p>
      <w:pPr>
        <w:pStyle w:val="ListNumber"/>
      </w:pPr>
      <w:r>
        <w:rPr>
          <w:rFonts w:ascii="Times New Roman" w:hAnsi="Times New Roman" w:eastAsia="Times New Roman"/>
          <w:b w:val="0"/>
          <w:i w:val="0"/>
          <w:sz w:val="24"/>
        </w:rPr>
        <w:t>[E4] StratifyAI repository, evidence/backtest_results.md and evidence/backtest_results.csv.</w:t>
      </w:r>
    </w:p>
    <w:p>
      <w:pPr>
        <w:pStyle w:val="ListNumber"/>
      </w:pPr>
      <w:r>
        <w:rPr>
          <w:rFonts w:ascii="Times New Roman" w:hAnsi="Times New Roman" w:eastAsia="Times New Roman"/>
          <w:b w:val="0"/>
          <w:i w:val="0"/>
          <w:sz w:val="24"/>
        </w:rPr>
        <w:t>[E5] StratifyAI repository, evidence/decision_quality.json.</w:t>
      </w:r>
    </w:p>
    <w:p>
      <w:pPr>
        <w:pStyle w:val="ListNumber"/>
      </w:pPr>
      <w:r>
        <w:rPr>
          <w:rFonts w:ascii="Times New Roman" w:hAnsi="Times New Roman" w:eastAsia="Times New Roman"/>
          <w:b w:val="0"/>
          <w:i w:val="0"/>
          <w:sz w:val="24"/>
        </w:rPr>
        <w:t>[E6] StratifyAI repository, docs/img/overview.png and evidence/t02-overview-review.png.</w:t>
      </w:r>
    </w:p>
    <w:p>
      <w:pPr>
        <w:pStyle w:val="ListNumber"/>
      </w:pPr>
      <w:r>
        <w:rPr>
          <w:rFonts w:ascii="Times New Roman" w:hAnsi="Times New Roman" w:eastAsia="Times New Roman"/>
          <w:b w:val="0"/>
          <w:i w:val="0"/>
          <w:sz w:val="24"/>
        </w:rPr>
        <w:t>[E7] StratifyAI repository, docs/EXECUTION_EVIDENCE.md; reviewed 2026-10-20.</w:t>
      </w:r>
    </w:p>
    <w:p>
      <w:pPr>
        <w:pStyle w:val="ListNumber"/>
      </w:pPr>
      <w:r>
        <w:rPr>
          <w:rFonts w:ascii="Times New Roman" w:hAnsi="Times New Roman" w:eastAsia="Times New Roman"/>
          <w:b w:val="0"/>
          <w:i w:val="0"/>
          <w:sz w:val="24"/>
        </w:rPr>
        <w:t>[E8] StratifyAI repository, docs/SECURITY_SELF_ASSESSMENT.md; reviewed 2026-10-20.</w:t>
      </w:r>
    </w:p>
    <w:p>
      <w:pPr>
        <w:pStyle w:val="ListNumber"/>
      </w:pPr>
      <w:r>
        <w:rPr>
          <w:rFonts w:ascii="Times New Roman" w:hAnsi="Times New Roman" w:eastAsia="Times New Roman"/>
          <w:b w:val="0"/>
          <w:i w:val="0"/>
          <w:sz w:val="24"/>
        </w:rPr>
        <w:t>Context: README.md, docs/TECHNICAL_DOC.md and docs/PROGRESS.md; reviewed 2026-10-20.</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6963"/>
        <w:sz w:val="24"/>
      </w:rPr>
      <w:t>Neuroprop  •  Synthetic prototype evidence  •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166B52"/>
        <w:sz w:val="24"/>
      </w:rPr>
      <w:t>STRATIFYAI  |  EXECUTION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66B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83A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66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83A35"/>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StratifyAI Execution Evidence Report</dc:title>
  <dc:subject>Execution evidence and evaluation report; Times New Roman 12 pt</dc:subject>
  <dc:creator>Neuroprop</dc:creator>
  <cp:keywords/>
  <dc:description>generated by python-docx</dc:description>
  <cp:lastModifiedBy/>
  <cp:revision>1</cp:revision>
  <dcterms:created xsi:type="dcterms:W3CDTF">2013-12-23T23:15:00Z</dcterms:created>
  <dcterms:modified xsi:type="dcterms:W3CDTF">2013-12-23T23:15:00Z</dcterms:modified>
  <cp:category/>
</cp:coreProperties>
</file>