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66B52"/>
          <w:sz w:val="30"/>
        </w:rPr>
        <w:t>STRATIFYAI</w:t>
      </w:r>
    </w:p>
    <w:p>
      <w:pPr>
        <w:spacing w:before="360" w:after="280"/>
        <w:jc w:val="center"/>
      </w:pPr>
      <w:r>
        <w:rPr>
          <w:rFonts w:ascii="Aptos Display" w:hAnsi="Aptos Display"/>
          <w:b/>
          <w:color w:val="183A35"/>
          <w:sz w:val="54"/>
        </w:rPr>
        <w:t>A Deterministic, Evidence-Grounded SME Finance Copilot with a Liquidity Decision Lab</w:t>
      </w:r>
    </w:p>
    <w:p>
      <w:pPr>
        <w:jc w:val="center"/>
      </w:pPr>
      <w:r>
        <w:rPr>
          <w:color w:val="166B52"/>
          <w:sz w:val="34"/>
        </w:rPr>
        <w:t>Technical Documentation</w:t>
      </w:r>
    </w:p>
    <w:p>
      <w:pPr>
        <w:spacing w:before="500"/>
        <w:jc w:val="center"/>
      </w:pPr>
      <w:r>
        <w:rPr>
          <w:color w:val="596963"/>
          <w:sz w:val="22"/>
        </w:rPr>
        <w:t>2026 Shenzhen International FinTech Competition (FinTechathon)</w:t>
        <w:br/>
        <w:t>International Track • Topic E: SME Finance Copilot</w:t>
      </w:r>
    </w:p>
    <w:p>
      <w:pPr>
        <w:spacing w:before="680"/>
        <w:jc w:val="center"/>
      </w:pPr>
      <w:r>
        <w:rPr>
          <w:b/>
          <w:color w:val="166B52"/>
          <w:sz w:val="26"/>
        </w:rPr>
        <w:t>NEUROPROP</w:t>
      </w:r>
    </w:p>
    <w:p>
      <w:pPr>
        <w:jc w:val="center"/>
      </w:pPr>
      <w:r>
        <w:rPr>
          <w:sz w:val="20"/>
        </w:rPr>
        <w:t>Md. Rafiqul Islam — Team Leader</w:t>
        <w:br/>
        <w:t>Abu Bakar Rafi</w:t>
        <w:br/>
        <w:t>Fatema Jahan</w:t>
        <w:br/>
        <w:t>Bangladesh</w:t>
        <w:br/>
        <w:t>20 October 2026</w:t>
      </w:r>
    </w:p>
    <w:p>
      <w:pPr>
        <w:spacing w:before="400"/>
        <w:jc w:val="center"/>
      </w:pPr>
      <w:r>
        <w:rPr>
          <w:color w:val="166B52"/>
          <w:sz w:val="18"/>
        </w:rPr>
        <w:t>Repository: https://github.com/Rafiqul-Islam12/stratifyai</w:t>
      </w:r>
    </w:p>
    <w:p>
      <w:pPr>
        <w:spacing w:before="720"/>
        <w:jc w:val="center"/>
      </w:pPr>
      <w:r>
        <w:rPr>
          <w:i/>
          <w:color w:val="596963"/>
          <w:sz w:val="17"/>
        </w:rPr>
        <w:t>Academic-style system report • Synthetic-data prototype • Not a production credit or payment system</w:t>
      </w:r>
    </w:p>
    <w:p>
      <w:r>
        <w:br w:type="page"/>
      </w:r>
    </w:p>
    <w:p>
      <w:pPr>
        <w:pStyle w:val="Heading1"/>
        <w:keepNext/>
      </w:pPr>
      <w:r>
        <w:t>Abstract</w:t>
      </w:r>
    </w:p>
    <w:p>
      <w:pPr>
        <w:spacing w:after="100" w:line="269" w:lineRule="auto"/>
      </w:pPr>
      <w:r>
        <w:rPr>
          <w:rFonts w:ascii="Aptos" w:hAnsi="Aptos"/>
          <w:sz w:val="18"/>
        </w:rPr>
        <w:t>Small and medium-sized enterprises may face short-term liquidity stress when receipts and obligations arrive at different times, while owners lack a structured way to compare possible responses. StratifyAI is a local-first decision-support prototype that combines a deterministic weekly cash-flow forecast, seeded uncertainty simulation, a rule-based Liquidity Decision Lab, illustrative financing schedules, financial-analysis indicators, and an evidence-grounded copilot. Its architecture separates recorded ACTUAL data, computed FORECAST results, unapproved HYPOTHETICAL scenarios, and owner-approved CONFIRMED assumptions. Financial values are computed by deterministic Python services; the optional language model explains a masked evidence pack and cannot execute actions. The prototype uses five synthetic business cases and enforces backend role checks, bounded upload validation, numeric and citation validation, a hash-linked local audit log, and owner-mediated simulated actions. The latest integrated quality record reports 205 passing tests; separately timestamped T15 artifacts report 13 of 13 scripted workflows and 60 of 60 role-action decisions passing. These results establish implementation checks, not real-world effectiveness. In the five synthetic holdouts, the forecast produced higher MAE than a naïve last-four-week baseline in every case, and only one of five selected plans maintained the reserve. StratifyAI is therefore presented as an inspectable prototype, not a validated forecasting model, loan-approval tool, or source of financial advice.</w:t>
      </w:r>
    </w:p>
    <w:p>
      <w:pPr>
        <w:spacing w:after="100" w:line="269" w:lineRule="auto"/>
      </w:pPr>
      <w:r>
        <w:rPr>
          <w:rFonts w:ascii="Aptos" w:hAnsi="Aptos"/>
          <w:i/>
          <w:color w:val="596963"/>
          <w:sz w:val="18"/>
        </w:rPr>
        <w:t>Keywords: SME finance; cash-flow forecasting; liquidity risk; decision support; human-in-the-loop; grounded language models; application security</w:t>
      </w:r>
    </w:p>
    <w:p>
      <w:pPr>
        <w:spacing w:after="100" w:line="269" w:lineRule="auto"/>
      </w:pPr>
      <w:r>
        <w:rPr>
          <w:rFonts w:ascii="Aptos" w:hAnsi="Aptos"/>
          <w:b/>
          <w:sz w:val="18"/>
        </w:rPr>
        <w:t>Evidence note.</w:t>
      </w:r>
      <w:r>
        <w:rPr>
          <w:rFonts w:ascii="Aptos" w:hAnsi="Aptos"/>
          <w:sz w:val="18"/>
        </w:rPr>
        <w:t xml:space="preserve"> The full-suite count (205) is the latest result recorded in docs/PROGRESS.md after UI-regression fixes. The detailed evaluation bundle dated 18 October 2026 records 197 passing tests for the earlier T15 build, alongside its workflow and authorization suites. These counts refer to different recorded runs and are not presented as one evaluation event.</w:t>
      </w:r>
    </w:p>
    <w:p>
      <w:pPr>
        <w:pStyle w:val="Heading1"/>
        <w:keepNext/>
      </w:pPr>
      <w:r>
        <w:t>Contents</w:t>
      </w:r>
    </w:p>
    <w:p>
      <w:pPr>
        <w:spacing w:after="40"/>
      </w:pPr>
      <w:r>
        <w:rPr>
          <w:sz w:val="19"/>
        </w:rPr>
        <w:t>0. Submission and evidence map</w:t>
      </w:r>
    </w:p>
    <w:p>
      <w:pPr>
        <w:spacing w:after="40"/>
      </w:pPr>
      <w:r>
        <w:rPr>
          <w:sz w:val="19"/>
        </w:rPr>
        <w:t>1. Introduction and motivation</w:t>
      </w:r>
    </w:p>
    <w:p>
      <w:pPr>
        <w:spacing w:after="40"/>
      </w:pPr>
      <w:r>
        <w:rPr>
          <w:sz w:val="19"/>
        </w:rPr>
        <w:t>2. Related work</w:t>
      </w:r>
    </w:p>
    <w:p>
      <w:pPr>
        <w:spacing w:after="40"/>
      </w:pPr>
      <w:r>
        <w:rPr>
          <w:sz w:val="19"/>
        </w:rPr>
        <w:t>3. System overview and architecture</w:t>
      </w:r>
    </w:p>
    <w:p>
      <w:pPr>
        <w:spacing w:after="40"/>
      </w:pPr>
      <w:r>
        <w:rPr>
          <w:sz w:val="19"/>
        </w:rPr>
        <w:t>4. Synthetic data and validation</w:t>
      </w:r>
    </w:p>
    <w:p>
      <w:pPr>
        <w:spacing w:after="40"/>
      </w:pPr>
      <w:r>
        <w:rPr>
          <w:sz w:val="19"/>
        </w:rPr>
        <w:t>5. Core algorithms</w:t>
      </w:r>
    </w:p>
    <w:p>
      <w:pPr>
        <w:spacing w:after="40"/>
      </w:pPr>
      <w:r>
        <w:rPr>
          <w:sz w:val="19"/>
        </w:rPr>
        <w:t>6. Copilot, agent actions and human control</w:t>
      </w:r>
    </w:p>
    <w:p>
      <w:pPr>
        <w:spacing w:after="40"/>
      </w:pPr>
      <w:r>
        <w:rPr>
          <w:sz w:val="19"/>
        </w:rPr>
        <w:t>7. Security design</w:t>
      </w:r>
    </w:p>
    <w:p>
      <w:pPr>
        <w:spacing w:after="40"/>
      </w:pPr>
      <w:r>
        <w:rPr>
          <w:sz w:val="19"/>
        </w:rPr>
        <w:t>8. Implementation and interface</w:t>
      </w:r>
    </w:p>
    <w:p>
      <w:pPr>
        <w:spacing w:after="40"/>
      </w:pPr>
      <w:r>
        <w:rPr>
          <w:sz w:val="19"/>
        </w:rPr>
        <w:t>9. Evaluation and evidence</w:t>
      </w:r>
    </w:p>
    <w:p>
      <w:pPr>
        <w:spacing w:after="40"/>
      </w:pPr>
      <w:r>
        <w:rPr>
          <w:sz w:val="19"/>
        </w:rPr>
        <w:t>10. Discussion, limitations and validity</w:t>
      </w:r>
    </w:p>
    <w:p>
      <w:pPr>
        <w:spacing w:after="40"/>
      </w:pPr>
      <w:r>
        <w:rPr>
          <w:sz w:val="19"/>
        </w:rPr>
        <w:t>11. Conclusion and future work</w:t>
      </w:r>
    </w:p>
    <w:p>
      <w:pPr>
        <w:spacing w:after="40"/>
      </w:pPr>
      <w:r>
        <w:rPr>
          <w:sz w:val="19"/>
        </w:rPr>
        <w:t>References</w:t>
      </w:r>
    </w:p>
    <w:p>
      <w:pPr>
        <w:spacing w:after="40"/>
      </w:pPr>
      <w:r>
        <w:rPr>
          <w:sz w:val="19"/>
        </w:rPr>
        <w:t>Appendices A–E</w:t>
      </w:r>
    </w:p>
    <w:p>
      <w:pPr>
        <w:pStyle w:val="Heading1"/>
        <w:keepNext/>
      </w:pPr>
      <w:r>
        <w:t>0. Submission and evidence map</w:t>
      </w:r>
    </w:p>
    <w:p>
      <w:pPr>
        <w:spacing w:after="100" w:line="269" w:lineRule="auto"/>
      </w:pPr>
      <w:r>
        <w:rPr>
          <w:rFonts w:ascii="Aptos" w:hAnsi="Aptos"/>
          <w:sz w:val="18"/>
        </w:rPr>
        <w:t>This map makes the principal report claims traceable to the implementation or evidence artifact. All quantitative statements are bounded by the synthetic prototype and the dated records identified below.</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Claim / deliverable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Report section</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Primary project evidence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Architecture and separation of responsibilities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§3</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docs/TECHNICAL_DOC.md; app/, services/, core/</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Cash forecast, uncertainty and decision rules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§5</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core/forecast.py; core/montecarlo.py; core/lab.py; docs/DECISIONS.md</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Authentication, permissions and audit controls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§7</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services/permissions.py; services/audit.py; docs/SECURITY_SELF_ASSESSMENT.md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Human approval and simulated action flow</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§6</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services/agent_actions.py; tests/test_agent_actions.py</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Task workflow evaluation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§9</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evidence/task_suite_results.md (13/13; 2026-10-18)</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Authorization and injection evaluation</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§7, §9</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evidence/security_eval.md (60 decisions; 10 masked-name cases; 2026-10-18)</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Forecast error and decision-quality outcomes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§9</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evidence/backtest_results.csv; evidence/backtest_results.md; evidence/decision_quality.json</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Current public UI capture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§8</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docs/img/overview.png (1440 px; public landing/shell capture)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Signed-in UI evidence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§8</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Capture instructions are marked in red; eight signed-in page captures are outstanding per docs/EXECUTION_EVIDENCE.md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Latest full-suite quality record</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Abstract, §9</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docs/PROGRESS.md (205 passed; integrated QA record dated 2026-10-20)</w:t>
            </w:r>
          </w:p>
        </w:tc>
      </w:tr>
    </w:tbl>
    <w:p>
      <w:pPr>
        <w:spacing w:after="0"/>
      </w:pPr>
    </w:p>
    <w:p>
      <w:pPr>
        <w:pStyle w:val="Heading1"/>
        <w:keepNext/>
      </w:pPr>
      <w:r>
        <w:t>1. Introduction and motivation</w:t>
      </w:r>
    </w:p>
    <w:p>
      <w:pPr>
        <w:pStyle w:val="Heading2"/>
        <w:keepNext/>
      </w:pPr>
      <w:r>
        <w:t>1.1. Liquidity visibility for small businesses</w:t>
      </w:r>
    </w:p>
    <w:p>
      <w:pPr>
        <w:spacing w:after="100" w:line="269" w:lineRule="auto"/>
      </w:pPr>
      <w:r>
        <w:rPr>
          <w:rFonts w:ascii="Aptos" w:hAnsi="Aptos"/>
          <w:sz w:val="18"/>
        </w:rPr>
        <w:t>A business can report sales and still experience a near-term cash shortfall when customer receipts are delayed, supplier bills fall due, or operating costs rise. The practical issue is temporal: which week is likely to breach a minimum reserve, what obligations drive the gap, and which plausible actions improve the path? Working-capital research shows that liquidity policy involves trade-offs rather than a universal rule to minimize current assets [1, 2]. Small firms also face financing frictions associated with firm size, age, and information availability [3]. StratifyAI turns these concerns into a transparent scenario workflow over structured synthetic records; it does not claim to remove financing frictions or predict actual lender decisions.</w:t>
      </w:r>
    </w:p>
    <w:p>
      <w:pPr>
        <w:pStyle w:val="Heading2"/>
        <w:keepNext/>
      </w:pPr>
      <w:r>
        <w:t>1.2. Scope and contributions</w:t>
      </w:r>
    </w:p>
    <w:p>
      <w:pPr>
        <w:spacing w:after="100" w:line="269" w:lineRule="auto"/>
      </w:pPr>
      <w:r>
        <w:rPr>
          <w:rFonts w:ascii="Aptos" w:hAnsi="Aptos"/>
          <w:sz w:val="18"/>
        </w:rPr>
        <w:t>The contribution is an integrated, inspectable application design rather than a new statistical forecasting method. The project contributes: (1) explicit separation of actual, forecast, hypothetical, and owner-confirmed information; (2) a deterministic weekly cash engine paired with seeded scenario uncertainty; (3) a transparent liquidity comparison that models collection, deferral, expense-reduction, and financing options; (4) a read-only, evidence-grounded copilot separated from privileged action services; and (5) backend authorization, human approval, audit evidence, and candid synthetic evaluation. These are prototype engineering contributions. No causal effect, general forecast superiority, or production security assurance is claimed.</w:t>
      </w:r>
    </w:p>
    <w:p>
      <w:pPr>
        <w:pStyle w:val="Heading2"/>
        <w:keepNext/>
      </w:pPr>
      <w:r>
        <w:t>1.3. Topic E alignment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Topic E capability</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StratifyAI component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Boundary / evidence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Cash-flow management and alerts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Weekly FORECAST, reserve breach and funding gap</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Deterministic rules; five synthetic cases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Financing-option comparison</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Four editable illustrative templates and repayment schedules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lender connection, approval or application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Business financial analysis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Historical summaries, aging, DSO/DPO availability, readiness and watchlist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Indicators are explainable heuristics, not credit scores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Finance copilot</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Offline-by-default answers over computed evidence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Optional endpoint; answer validator; read-only</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Secure task interaction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RBAC, draft/approval workflow, audit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Execution is local simulation; money movement denied</w:t>
            </w:r>
          </w:p>
        </w:tc>
      </w:tr>
    </w:tbl>
    <w:p>
      <w:pPr>
        <w:spacing w:after="0"/>
      </w:pPr>
    </w:p>
    <w:p>
      <w:pPr>
        <w:spacing w:after="100" w:line="269" w:lineRule="auto"/>
      </w:pPr>
      <w:r>
        <w:rPr>
          <w:rFonts w:ascii="Aptos" w:hAnsi="Aptos"/>
          <w:sz w:val="18"/>
        </w:rPr>
        <w:t>This capability mapping operationalizes the competition brief’s Topic E scope for cash-flow management, financing-option comparison, and business analysis [13].</w:t>
      </w:r>
    </w:p>
    <w:p>
      <w:pPr>
        <w:pStyle w:val="Heading2"/>
        <w:keepNext/>
      </w:pPr>
      <w:r>
        <w:t>1.4. Research questions</w:t>
      </w:r>
    </w:p>
    <w:p>
      <w:pPr>
        <w:spacing w:after="100" w:line="269" w:lineRule="auto"/>
      </w:pPr>
      <w:r>
        <w:rPr>
          <w:rFonts w:ascii="Aptos" w:hAnsi="Aptos"/>
          <w:sz w:val="18"/>
        </w:rPr>
        <w:t>RQ1: How can near-term liquidity status and counterfactual action options be shown with explicit provenance and assumptions? RQ2: How can natural-language explanation be constrained to deterministic financial evidence and separated from action authority? RQ3: What do the prototype’s synthetic tests reveal about task completion, security checks, forecast errors, and reserve feasibility? These questions are addressed as a system evaluation, not as field or causal research.</w:t>
      </w:r>
    </w:p>
    <w:p>
      <w:pPr>
        <w:pStyle w:val="Heading1"/>
        <w:keepNext/>
      </w:pPr>
      <w:r>
        <w:t>2. Related work</w:t>
      </w:r>
    </w:p>
    <w:p>
      <w:pPr>
        <w:spacing w:after="100" w:line="269" w:lineRule="auto"/>
      </w:pPr>
      <w:r>
        <w:rPr>
          <w:rFonts w:ascii="Aptos" w:hAnsi="Aptos"/>
          <w:sz w:val="18"/>
        </w:rPr>
        <w:t>Working-capital scholarship motivates the focus on timing and operational trade-offs. Deloof’s firm-level analysis links working-capital measures with profitability, while Baños-Caballero, García-Teruel, and Martínez-Solano report a non-monotonic relationship for Spanish SMEs, consistent with firm-specific rather than one-directional policies [1, 2]. Berger and Udell describe how small-firm financing sources change over a financial growth cycle, emphasizing the importance of firm characteristics and information in financing access [3]. Beaver’s foundational failure-prediction study shows the historical role of financial ratios in distress analysis, but a ratio-based population model differs materially from this project’s short-horizon cash ledger [4].</w:t>
      </w:r>
    </w:p>
    <w:p>
      <w:pPr>
        <w:spacing w:after="100" w:line="269" w:lineRule="auto"/>
      </w:pPr>
      <w:r>
        <w:rPr>
          <w:rFonts w:ascii="Aptos" w:hAnsi="Aptos"/>
          <w:sz w:val="18"/>
        </w:rPr>
        <w:t>Research on retrieval-augmented generation demonstrates how an external evidence source can support knowledge-intensive generation and provenance [5]. Self-RAG explores adaptive retrieval and self-critique to improve factuality and citation behavior [6]. StratifyAI adopts the narrower engineering principle of grounding answers in a bounded, recomputed evidence pack and validating cited IDs and numerical literals. It does not implement a general retrieval index, train a model, or claim the research performance reported in those papers.</w:t>
      </w:r>
    </w:p>
    <w:p>
      <w:pPr>
        <w:spacing w:after="100" w:line="269" w:lineRule="auto"/>
      </w:pPr>
      <w:r>
        <w:rPr>
          <w:rFonts w:ascii="Aptos" w:hAnsi="Aptos"/>
          <w:sz w:val="18"/>
        </w:rPr>
        <w:t>For application security, OWASP’s 2025 LLM risk taxonomy identifies prompt injection, sensitive-information disclosure, excessive agency, misinformation, and unbounded consumption among relevant risk classes [7]. NIST’s AI Risk Management Framework and Generative AI Profile provide broader voluntary risk-management guidance [8, 9]. StratifyAI maps selected controls to these concepts in its self-assessment; this mapping is an internal design exercise, not certification. The project uses Streamlit for interactive Python UI and Plotly for chart rendering [10, 11].</w:t>
      </w:r>
    </w:p>
    <w:p>
      <w:pPr>
        <w:spacing w:after="100" w:line="269" w:lineRule="auto"/>
      </w:pPr>
      <w:r>
        <w:rPr>
          <w:rFonts w:ascii="Aptos" w:hAnsi="Aptos"/>
          <w:sz w:val="18"/>
        </w:rPr>
        <w:t>Positioning gap. Many cited streams study either SME working capital/credit risk or language-model grounding and security. StratifyAI’s system-level focus is the integration boundary: deterministic financial computation, explicit uncertainty and scenario labels, constrained natural-language explanation, and owner-controlled action simulation. The present evaluation is too small and synthetic to establish operational benefit or forecast validity.</w:t>
      </w:r>
    </w:p>
    <w:p>
      <w:pPr>
        <w:pStyle w:val="Heading1"/>
        <w:keepNext/>
      </w:pPr>
      <w:r>
        <w:t>3. System overview and architecture</w:t>
      </w:r>
    </w:p>
    <w:p>
      <w:pPr>
        <w:pStyle w:val="Heading2"/>
        <w:keepNext/>
      </w:pPr>
      <w:r>
        <w:t>3.1. Layered design</w:t>
      </w:r>
    </w:p>
    <w:p>
      <w:pPr>
        <w:spacing w:after="100" w:line="269" w:lineRule="auto"/>
      </w:pPr>
      <w:r>
        <w:rPr>
          <w:rFonts w:ascii="Aptos" w:hAnsi="Aptos"/>
          <w:sz w:val="18"/>
        </w:rPr>
        <w:t>The application is organized into three code layers. core/ contains typed data structures and pure deterministic calculations; it does not import Streamlit. services/ contains authentication, permission enforcement, upload validation, approval/action transitions, copilot evidence construction, and audit persistence. app/ contains the Streamlit shell, pages, shared components, styling, and chart presentation. Synthetic case data is stored under data/; evaluation artifacts are under evidence/.</w:t>
      </w:r>
    </w:p>
    <w:p>
      <w:r>
        <w:drawing>
          <wp:inline xmlns:a="http://schemas.openxmlformats.org/drawingml/2006/main" xmlns:pic="http://schemas.openxmlformats.org/drawingml/2006/picture">
            <wp:extent cx="5806440" cy="2941930"/>
            <wp:docPr id="1" name="Picture 1"/>
            <wp:cNvGraphicFramePr>
              <a:graphicFrameLocks noChangeAspect="1"/>
            </wp:cNvGraphicFramePr>
            <a:graphic>
              <a:graphicData uri="http://schemas.openxmlformats.org/drawingml/2006/picture">
                <pic:pic>
                  <pic:nvPicPr>
                    <pic:cNvPr id="0" name="_td_arch.png"/>
                    <pic:cNvPicPr/>
                  </pic:nvPicPr>
                  <pic:blipFill>
                    <a:blip r:embed="rId11"/>
                    <a:stretch>
                      <a:fillRect/>
                    </a:stretch>
                  </pic:blipFill>
                  <pic:spPr>
                    <a:xfrm>
                      <a:off x="0" y="0"/>
                      <a:ext cx="5806440" cy="2941930"/>
                    </a:xfrm>
                    <a:prstGeom prst="rect"/>
                  </pic:spPr>
                </pic:pic>
              </a:graphicData>
            </a:graphic>
          </wp:inline>
        </w:drawing>
      </w:r>
    </w:p>
    <w:p>
      <w:pPr>
        <w:spacing w:after="160"/>
        <w:jc w:val="center"/>
      </w:pPr>
      <w:r>
        <w:rPr>
          <w:rFonts w:ascii="Aptos" w:hAnsi="Aptos"/>
          <w:i/>
          <w:color w:val="596963"/>
          <w:sz w:val="16"/>
        </w:rPr>
        <w:t>Figure 1. Layered system architecture and evidence flow. Financial computation is kept in the deterministic core; mutations and authorization are mediated by services.</w:t>
      </w:r>
    </w:p>
    <w:p>
      <w:pPr>
        <w:spacing w:after="100" w:line="269" w:lineRule="auto"/>
      </w:pPr>
      <w:r>
        <w:rPr>
          <w:rFonts w:ascii="Aptos" w:hAnsi="Aptos"/>
          <w:sz w:val="18"/>
        </w:rPr>
        <w:t>The UI calls service functions for protected reads and state changes. Services resolve the authenticated principal and authorize actions before invoking core calculations or persistence. Financial outputs and their provenance are returned to the UI for rendering. The optional LLM path is isolated to copilot explanation: offline deterministic responses are the default, while configured mode receives the user question and a masked evidence pack. It has no action tools.</w:t>
      </w:r>
    </w:p>
    <w:p>
      <w:pPr>
        <w:pStyle w:val="Heading2"/>
        <w:keepNext/>
      </w:pPr>
      <w:r>
        <w:t>3.2. Four semantic data layers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Layer</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Meaning</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Example</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Control / interpretation</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ACTUAL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Recorded historical records supplied by the synthetic case or validated upload</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Past transactions and balances</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Source records; not independently audited</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FORECAST</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Deterministic output calculated from actuals and explicit assumptions</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Projected weekly closing cash</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Computed, model-dependent estimate</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HYPOTHETICAL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Unapproved what-if changes</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Earlier collection, supplier deferral, cost reduction, financing</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Never treat as agreed or committed</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CONFIRMED</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 hypothetical assumption explicitly approved by the owner</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Owner accepts a scenario proposal</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Owner assertion only; not external verification</w:t>
            </w:r>
          </w:p>
        </w:tc>
      </w:tr>
    </w:tbl>
    <w:p>
      <w:pPr>
        <w:spacing w:after="0"/>
      </w:pPr>
    </w:p>
    <w:p>
      <w:pPr>
        <w:spacing w:after="100" w:line="269" w:lineRule="auto"/>
      </w:pPr>
      <w:r>
        <w:rPr>
          <w:rFonts w:ascii="Aptos" w:hAnsi="Aptos"/>
          <w:sz w:val="18"/>
        </w:rPr>
        <w:t>These labels are semantic state, not statistical confidence levels. A CONFIRMED assumption records human approval; it does not assert that a customer will pay, a supplier will consent, or a lender will approve financing.</w:t>
      </w:r>
    </w:p>
    <w:p>
      <w:pPr>
        <w:pStyle w:val="Heading2"/>
        <w:keepNext/>
      </w:pPr>
      <w:r>
        <w:t>3.3. Processing flow</w:t>
      </w:r>
    </w:p>
    <w:p>
      <w:pPr>
        <w:pStyle w:val="ListNumber"/>
        <w:spacing w:after="40"/>
      </w:pPr>
      <w:r>
        <w:t>1. Load a labelled synthetic case or parse an uploaded CSV/XLSX file.</w:t>
      </w:r>
    </w:p>
    <w:p>
      <w:pPr>
        <w:pStyle w:val="ListNumber"/>
        <w:spacing w:after="40"/>
      </w:pPr>
      <w:r>
        <w:t>2. Validate size, schema, required fields, data types, dates, values, duplicates, currency, text length, and formula-like cells.</w:t>
      </w:r>
    </w:p>
    <w:p>
      <w:pPr>
        <w:pStyle w:val="ListNumber"/>
        <w:spacing w:after="40"/>
      </w:pPr>
      <w:r>
        <w:t>3. Map valid records into typed case models and compute actual summaries.</w:t>
      </w:r>
    </w:p>
    <w:p>
      <w:pPr>
        <w:pStyle w:val="ListNumber"/>
        <w:spacing w:after="40"/>
      </w:pPr>
      <w:r>
        <w:t>4. Produce deterministic forecasts, financial-analysis metrics, readiness components, and receivables watchlist records.</w:t>
      </w:r>
    </w:p>
    <w:p>
      <w:pPr>
        <w:pStyle w:val="ListNumber"/>
        <w:spacing w:after="40"/>
      </w:pPr>
      <w:r>
        <w:t>5. Run scenario changes only on copied cash-flow series; preserve original case inputs.</w:t>
      </w:r>
    </w:p>
    <w:p>
      <w:pPr>
        <w:pStyle w:val="ListNumber"/>
        <w:spacing w:after="40"/>
      </w:pPr>
      <w:r>
        <w:t>6. Build a masked copilot evidence pack from computed results; validate candidate answer citations and numbers.</w:t>
      </w:r>
    </w:p>
    <w:p>
      <w:pPr>
        <w:pStyle w:val="ListNumber"/>
        <w:spacing w:after="40"/>
      </w:pPr>
      <w:r>
        <w:t>7. Persist authorized drafts/decisions and sanitized audit events locally; simulated execution remains explicitly non-networked.</w:t>
      </w:r>
    </w:p>
    <w:p>
      <w:pPr>
        <w:pStyle w:val="Heading1"/>
        <w:keepNext/>
      </w:pPr>
      <w:r>
        <w:t>4. Synthetic data and validation</w:t>
      </w:r>
    </w:p>
    <w:p>
      <w:pPr>
        <w:spacing w:after="100" w:line="269" w:lineRule="auto"/>
      </w:pPr>
      <w:r>
        <w:rPr>
          <w:rFonts w:ascii="Aptos" w:hAnsi="Aptos"/>
          <w:sz w:val="18"/>
        </w:rPr>
        <w:t>The demonstration uses five generated synthetic SME cases representing stable operations, sales deterioration/cost pressure, high expenses, delayed customer payments, and import-financing assumptions. Each checked-in case contains 78 transactions across 39 weeks, 12 receivables, 12 payables, 10 synthetic customer profiles, and 6 synthetic supplier profiles. No real customer, supplier, account, or lender data is required. Case generation is deterministic; these fixtures are not a representative sample of Bangladeshi businesses.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Record family</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Core fields represented</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Purpose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Transactions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ID, date, direction, category, amount, balance after, description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Actual cash history and observed balances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Receivables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Invoice/customer IDs, issue/due/paid dates, amount, paid amount, currency</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Outstanding collections, aging, payment-delay evidence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Payables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Bill/supplier IDs, issue/due/paid dates, amount, paid amount, category, deferrable/discretionary flags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Obligations, deferral and expense what-ifs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Profiles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Business opening cash; customer/supplier identifiers and editable assumptions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Synthetic case metadata and delay assumptions</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Assumptions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Forecast horizon, reserve, random seed, variability and Lab/financing defaults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Explicit editable model parameters</w:t>
            </w:r>
          </w:p>
        </w:tc>
      </w:tr>
    </w:tbl>
    <w:p>
      <w:pPr>
        <w:spacing w:after="0"/>
      </w:pPr>
    </w:p>
    <w:p>
      <w:pPr>
        <w:spacing w:after="100" w:line="269" w:lineRule="auto"/>
      </w:pPr>
      <w:r>
        <w:rPr>
          <w:rFonts w:ascii="Aptos" w:hAnsi="Aptos"/>
          <w:sz w:val="18"/>
        </w:rPr>
        <w:t>Upload controls documented by services/validation.py cap the file at 5 MiB, rows at 50,000, and text fields at 500 characters. The validator checks supported CSV/XLSX form, header-to-record kind, required fields, dates, numeric values, transaction types, duplicate identifiers, currency consistency, and text bounds. Formula-like text is neutralized and reported instead of executed. Untrusted content is never promoted to instructions. A passing upload means structural validation succeeded; it does not certify the accuracy or ownership of the source data.</w:t>
      </w:r>
    </w:p>
    <w:p>
      <w:pPr>
        <w:spacing w:after="100" w:line="269" w:lineRule="auto"/>
      </w:pPr>
      <w:r>
        <w:rPr>
          <w:rFonts w:ascii="Aptos" w:hAnsi="Aptos"/>
          <w:sz w:val="18"/>
        </w:rPr>
        <w:t>The currently available checked-in case generator and evaluation records do not establish statistical representativeness, population coverage, or external data validity. All tables, examples, and screenshots in this report must remain labelled synthetic.</w:t>
      </w:r>
    </w:p>
    <w:p>
      <w:pPr>
        <w:pStyle w:val="Heading1"/>
        <w:keepNext/>
      </w:pPr>
      <w:r>
        <w:t>5. Core algorithms</w:t>
      </w:r>
    </w:p>
    <w:p>
      <w:pPr>
        <w:pStyle w:val="Heading2"/>
        <w:keepNext/>
      </w:pPr>
      <w:r>
        <w:t>5.1. Weekly cash-flow forecast</w:t>
      </w:r>
    </w:p>
    <w:p>
      <w:pPr>
        <w:spacing w:after="100" w:line="269" w:lineRule="auto"/>
      </w:pPr>
      <w:r>
        <w:rPr>
          <w:rFonts w:ascii="Aptos" w:hAnsi="Aptos"/>
          <w:sz w:val="18"/>
        </w:rPr>
        <w:t>core.forecast.forecast groups actual transactions into Monday-start weeks. The latest recorded balance is the forecast opening cash, and the forecast begins in the following week. The default horizon is 13 weeks, with a minimum of eight. Category run rates use the most recent eight weeks. When receivable records exist, inflow categories are excluded from run-rate projection; when payable records exist for a category, matching outflow run rates are excluded to avoid double counting. Outstanding invoices are bucketed by due date plus an estimated customer delay; the median observed delay is used when at least three paid invoices are available, otherwise the profile assumption is used. Outstanding bills are bucketed on their due dates.</w:t>
      </w: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
              <w:rPr>
                <w:rFonts w:ascii="Cambria Math" w:hAnsi="Cambria Math"/>
                <w:b/>
                <w:color w:val="183A35"/>
                <w:sz w:val="20"/>
              </w:rPr>
              <w:t>ClosingCash_t = ClosingCash_(t−1) + ProjectedInflows_t − ProjectedOutflows_t</w:t>
            </w:r>
          </w:p>
        </w:tc>
      </w:tr>
    </w:tbl>
    <w:p>
      <w:pPr>
        <w:spacing w:after="0"/>
      </w:pP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
              <w:rPr>
                <w:rFonts w:ascii="Cambria Math" w:hAnsi="Cambria Math"/>
                <w:b/>
                <w:color w:val="183A35"/>
                <w:sz w:val="20"/>
              </w:rPr>
              <w:t>Reserve = configured reserve weeks × average fixed weekly outflow  (default: 2 weeks)</w:t>
            </w:r>
          </w:p>
        </w:tc>
      </w:tr>
    </w:tbl>
    <w:p>
      <w:pPr>
        <w:spacing w:after="0"/>
      </w:pP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
              <w:rPr>
                <w:rFonts w:ascii="Cambria Math" w:hAnsi="Cambria Math"/>
                <w:b/>
                <w:color w:val="183A35"/>
                <w:sz w:val="20"/>
              </w:rPr>
              <w:t>FundingGap = max(0, Reserve − minimum projected closing cash) × (1 + buffer% / 100)</w:t>
            </w:r>
          </w:p>
        </w:tc>
      </w:tr>
    </w:tbl>
    <w:p>
      <w:pPr>
        <w:spacing w:after="0"/>
      </w:pPr>
    </w:p>
    <w:p>
      <w:pPr>
        <w:spacing w:after="100" w:line="269" w:lineRule="auto"/>
      </w:pPr>
      <w:r>
        <w:rPr>
          <w:rFonts w:ascii="Aptos" w:hAnsi="Aptos"/>
          <w:sz w:val="18"/>
        </w:rPr>
        <w:t>The first closing balance below reserve defines the shortage week; the first balance below zero is reported separately. Severity is none when the reserve is maintained, watch for reserve breach without a below-zero week, and critical when a below-zero week occurs. This is deterministic arithmetic over provided records and assumptions, not a learned forecast model.</w:t>
      </w:r>
    </w:p>
    <w:p>
      <w:pPr>
        <w:pStyle w:val="Heading2"/>
        <w:keepNext/>
      </w:pPr>
      <w:r>
        <w:t>5.2. Seeded Monte Carlo uncertainty</w:t>
      </w:r>
    </w:p>
    <w:p>
      <w:pPr>
        <w:spacing w:after="100" w:line="269" w:lineRule="auto"/>
      </w:pPr>
      <w:r>
        <w:rPr>
          <w:rFonts w:ascii="Aptos" w:hAnsi="Aptos"/>
          <w:sz w:val="18"/>
        </w:rPr>
        <w:t>core.montecarlo.simulate produces 2,000 paths by default using NumPy’s seeded random generator and the seed stored in the selected case assumptions. The checked-in case profiles assign distinct reproducible seeds; docs/DECISIONS.md also mentions 42 as a generic seed, so case-profile values are the runtime source of truth. When invoice-delay sampling is enabled, customer payment delays are drawn from observed fully paid invoice history when at least five observations exist; otherwise a non-negative normal draw around the configured delay is used. Projected inflows are multiplied by a mean-one log-normal factor parameterized by the editable coefficient of variation. Each path is accumulated into weekly closing balances. The outputs include weekly P10/P50/P90 balances, weekly reserve/zero breach frequencies, and the fraction of paths with any reserve breach.</w:t>
      </w: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
              <w:rPr>
                <w:rFonts w:ascii="Cambria Math" w:hAnsi="Cambria Math"/>
                <w:b/>
                <w:color w:val="183A35"/>
                <w:sz w:val="20"/>
              </w:rPr>
              <w:t>P_breach(any) = (1 / N) Σᵢ 𝟙[min_t(balanceᵢ,t) &lt; reserve],  N = 2,000 by default</w:t>
            </w:r>
          </w:p>
        </w:tc>
      </w:tr>
    </w:tbl>
    <w:p>
      <w:pPr>
        <w:spacing w:after="0"/>
      </w:pPr>
    </w:p>
    <w:p>
      <w:pPr>
        <w:spacing w:after="100" w:line="269" w:lineRule="auto"/>
      </w:pPr>
      <w:r>
        <w:rPr>
          <w:rFonts w:ascii="Aptos" w:hAnsi="Aptos"/>
          <w:sz w:val="18"/>
        </w:rPr>
        <w:t>A fixed seed makes a run repeatable for the same inputs and runtime behavior; it does not make the estimated event probabilities calibrated. Invoice amounts are fixed in source records, so the log-normal multiplier is a receipt-amount variability proxy. The model does not estimate uncertainty from a sufficiently large real business history.</w:t>
      </w:r>
    </w:p>
    <w:p>
      <w:pPr>
        <w:pStyle w:val="Heading2"/>
        <w:keepNext/>
      </w:pPr>
      <w:r>
        <w:t>5.3. Liquidity Decision Lab</w:t>
      </w:r>
    </w:p>
    <w:p>
      <w:pPr>
        <w:spacing w:after="100" w:line="269" w:lineRule="auto"/>
      </w:pPr>
      <w:r>
        <w:rPr>
          <w:rFonts w:ascii="Aptos" w:hAnsi="Aptos"/>
          <w:sz w:val="18"/>
        </w:rPr>
        <w:t>The Lab recomputes a baseline forecast and evaluates three levers independently, their combination, and financing alternatives. Every lever is labelled HYPOTHETICAL until the owner confirms the corresponding assumption.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Lever</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Default</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Transformation</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Risk retained in result</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L1 — Collections</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50% of eligible overdue receivables, within 2 weeks; 0% haircut</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Distributes assumed early collection across selected weeks and removes the same amount from its later expected receipt bucket</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Customer timing/amount remains unconfirmed; haircut is configurable</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L2 — Reschedule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Move deferrable payables by 2 weeks; 0% late fee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Shifts an obligation into a later bucket; it is not erased, including when beyond horizon</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Supplier agreement and relationship effect are uncertain</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L3 — Expense reduction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 of selected discretionary expense, starting week 1</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Reduces eligible discretionary payable in the selected scenario</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Avoidability and operational effect are unverified</w:t>
            </w:r>
          </w:p>
        </w:tc>
      </w:tr>
    </w:tbl>
    <w:p>
      <w:pPr>
        <w:spacing w:after="0"/>
      </w:pPr>
    </w:p>
    <w:p>
      <w:r>
        <w:drawing>
          <wp:inline xmlns:a="http://schemas.openxmlformats.org/drawingml/2006/main" xmlns:pic="http://schemas.openxmlformats.org/drawingml/2006/picture">
            <wp:extent cx="5806440" cy="2941930"/>
            <wp:docPr id="2" name="Picture 2"/>
            <wp:cNvGraphicFramePr>
              <a:graphicFrameLocks noChangeAspect="1"/>
            </wp:cNvGraphicFramePr>
            <a:graphic>
              <a:graphicData uri="http://schemas.openxmlformats.org/drawingml/2006/picture">
                <pic:pic>
                  <pic:nvPicPr>
                    <pic:cNvPr id="0" name="_td_lab.png"/>
                    <pic:cNvPicPr/>
                  </pic:nvPicPr>
                  <pic:blipFill>
                    <a:blip r:embed="rId12"/>
                    <a:stretch>
                      <a:fillRect/>
                    </a:stretch>
                  </pic:blipFill>
                  <pic:spPr>
                    <a:xfrm>
                      <a:off x="0" y="0"/>
                      <a:ext cx="5806440" cy="2941930"/>
                    </a:xfrm>
                    <a:prstGeom prst="rect"/>
                  </pic:spPr>
                </pic:pic>
              </a:graphicData>
            </a:graphic>
          </wp:inline>
        </w:drawing>
      </w:r>
    </w:p>
    <w:p>
      <w:pPr>
        <w:spacing w:after="160"/>
        <w:jc w:val="center"/>
      </w:pPr>
      <w:r>
        <w:rPr>
          <w:rFonts w:ascii="Aptos" w:hAnsi="Aptos"/>
          <w:i/>
          <w:color w:val="596963"/>
          <w:sz w:val="16"/>
        </w:rPr>
        <w:t>Figure 2. Lab evaluation sequence from baseline forecast through scenario comparison and explanation.</w:t>
      </w:r>
    </w:p>
    <w:p>
      <w:pPr>
        <w:spacing w:after="100" w:line="269" w:lineRule="auto"/>
      </w:pPr>
      <w:r>
        <w:rPr>
          <w:rFonts w:ascii="Aptos" w:hAnsi="Aptos"/>
          <w:sz w:val="18"/>
        </w:rPr>
        <w:t>Option 0 is the unmodified baseline. Option A combines L1/L2/L3. Option B finances the remaining gap after those combined levers. Option C finances the original baseline gap. Candidate feasibility is determined on the deterministic path: the minimum closing balance must remain at or above reserve. Among feasible candidates, the rule minimizes modelled financing cost, then repayment-pressure rank, then count of unconfirmed assumptions. If no candidate is feasible, the Lab reports that fact and selects the smallest remaining gap; it does not force a “successful” recommendation. Monte Carlo breach probability is displayed as separate risk context, not substituted into the deterministic selection rule.</w:t>
      </w:r>
    </w:p>
    <w:p>
      <w:pPr>
        <w:pStyle w:val="Heading2"/>
        <w:keepNext/>
      </w:pPr>
      <w:r>
        <w:t>5.4. Financing calculations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Illustrative template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Default terms in the prototype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Repayment treatment</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Term loan</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14% annual nominal rate; 1% fee; 6 months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Equal monthly instalments using annuity; interest on declining principal</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Invoice financing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80% advance; 2.0% per 30 days outstanding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Principal/charge due at maturity; gross facility to deliver the rounded net need</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Supplier credit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30-day extension; 1.5% of invoice value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Principal and explicit cost due at maturity</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Credit line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16% annual rate on drawn amount; 0.5% fee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Drawn balance interest; principal at maturity</w:t>
            </w:r>
          </w:p>
        </w:tc>
      </w:tr>
    </w:tbl>
    <w:p>
      <w:pPr>
        <w:spacing w:after="0"/>
      </w:pPr>
    </w:p>
    <w:tbl>
      <w:tblPr>
        <w:tblW w:type="auto" w:w="0"/>
        <w:tblLook w:firstColumn="1" w:firstRow="1" w:lastColumn="0" w:lastRow="0" w:noHBand="0" w:noVBand="1" w:val="04A0"/>
      </w:tblPr>
      <w:tblGrid>
        <w:gridCol w:w="9994"/>
      </w:tblGrid>
      <w:tr>
        <w:tc>
          <w:tcPr>
            <w:tcW w:type="dxa" w:w="9994"/>
            <w:shd w:fill="EAF4EF"/>
            <w:tcBorders>
              <w:top w:val="single" w:sz="10" w:color="166B52"/>
              <w:left w:val="single" w:sz="10" w:color="166B52"/>
              <w:bottom w:val="single" w:sz="10" w:color="166B52"/>
              <w:right w:val="single" w:sz="10" w:color="166B52"/>
              <w:insideH w:val="single" w:sz="10" w:color="166B52"/>
              <w:insideV w:val="single" w:sz="10" w:color="166B52"/>
            </w:tcBorders>
          </w:tcPr>
          <w:p>
            <w:pPr>
              <w:spacing w:before="100" w:after="100"/>
              <w:jc w:val="center"/>
            </w:pPr>
            <w:r/>
            <w:r>
              <w:rPr>
                <w:rFonts w:ascii="Cambria Math" w:hAnsi="Cambria Math"/>
                <w:b/>
                <w:color w:val="183A35"/>
                <w:sz w:val="20"/>
              </w:rPr>
              <w:t>A = P × r / [1 − (1 + r)^(−n)]   ;   A = P / n when r = 0</w:t>
            </w:r>
          </w:p>
        </w:tc>
      </w:tr>
    </w:tbl>
    <w:p>
      <w:pPr>
        <w:spacing w:after="0"/>
      </w:pPr>
    </w:p>
    <w:p>
      <w:pPr>
        <w:spacing w:after="100" w:line="269" w:lineRule="auto"/>
      </w:pPr>
      <w:r>
        <w:rPr>
          <w:rFonts w:ascii="Aptos" w:hAnsi="Aptos"/>
          <w:sz w:val="18"/>
        </w:rPr>
        <w:t>Here P is principal, r is monthly rate (nominal annual percentage divided by 12), and n is number of monthly instalments. Amounts are rounded upward to the next BDT 1,000. Invoice-financing facility size is grossed up by its selected advance rate. Total cost sums modeled interest, fees, and explicit hypothetical charges. Repayment capacity is average weekly net operating cash flow scaled to debt-service period divided by debt service for that period. Labels at 1.25x and 1.0x are editable rules of thumb only; the project makes no lender underwriting claim.</w:t>
      </w:r>
    </w:p>
    <w:p>
      <w:pPr>
        <w:pStyle w:val="Heading2"/>
        <w:keepNext/>
      </w:pPr>
      <w:r>
        <w:t>5.5. Readiness and receivables watchlist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Indicator component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Default weight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Implemented scale / interpretation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Repayment capacity</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35%</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capacity ratio ÷ 1.25 × 100, bounded 0–100</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Cash buffer</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25%</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latest recorded cash ÷ reserve × 100, bounded 0–100</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Receivable quality</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20%</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100 minus overdue share of open receivables</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Data completeness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proportion of five core source groups containing records</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Trend</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latest versus preceding four-week average net cash, scaled around 50</w:t>
            </w:r>
          </w:p>
        </w:tc>
      </w:tr>
    </w:tbl>
    <w:p>
      <w:pPr>
        <w:spacing w:after="0"/>
      </w:pPr>
    </w:p>
    <w:p>
      <w:pPr>
        <w:spacing w:after="100" w:line="269" w:lineRule="auto"/>
      </w:pPr>
      <w:r>
        <w:rPr>
          <w:rFonts w:ascii="Aptos" w:hAnsi="Aptos"/>
          <w:sz w:val="18"/>
        </w:rPr>
        <w:t>Unavailable components are excluded and the remaining component weights renormalized. The resulting score is explicitly “Readiness indicator, not a loan approval prediction.” The receivables watchlist separately combines overdue-amount share (40 points), amount-weighted days overdue capped at 90 days (30), payment-delay trend (20 when history supports it), and customer concentration in total open receivables (10). Its labels are Normal below 30, Watch from 30 through 60, and Urgent above 60. Each row lists source invoice IDs. These are project-defined explainable heuristics, not validated credit scores.</w:t>
      </w:r>
    </w:p>
    <w:p>
      <w:pPr>
        <w:pStyle w:val="Heading1"/>
        <w:keepNext/>
      </w:pPr>
      <w:r>
        <w:t>6. Copilot, agent actions and human control</w:t>
      </w:r>
    </w:p>
    <w:p>
      <w:pPr>
        <w:pStyle w:val="Heading2"/>
        <w:keepNext/>
      </w:pPr>
      <w:r>
        <w:t>6.1. Evidence-grounded Copilot</w:t>
      </w:r>
    </w:p>
    <w:p>
      <w:pPr>
        <w:spacing w:after="100" w:line="269" w:lineRule="auto"/>
      </w:pPr>
      <w:r>
        <w:rPr>
          <w:rFonts w:ascii="Aptos" w:hAnsi="Aptos"/>
          <w:sz w:val="18"/>
        </w:rPr>
        <w:t>services.copilot rebuilds a compact evidence pack from selected deterministic forecast, Lab, analysis, and readiness outputs after checking copilot.ask permission. Entity names and free-text source fields are omitted; identifiers may remain. The query is bounded to 500 characters. Offline deterministic templates are the default. Optional LLM mode is activated only by local configuration and sends the question plus masked evidence to a generic OpenAI-compatible endpoint. The service has no draft, approval, or execution tools.</w:t>
      </w:r>
    </w:p>
    <w:p>
      <w:r>
        <w:drawing>
          <wp:inline xmlns:a="http://schemas.openxmlformats.org/drawingml/2006/main" xmlns:pic="http://schemas.openxmlformats.org/drawingml/2006/picture">
            <wp:extent cx="5806440" cy="2709672"/>
            <wp:docPr id="3" name="Picture 3"/>
            <wp:cNvGraphicFramePr>
              <a:graphicFrameLocks noChangeAspect="1"/>
            </wp:cNvGraphicFramePr>
            <a:graphic>
              <a:graphicData uri="http://schemas.openxmlformats.org/drawingml/2006/picture">
                <pic:pic>
                  <pic:nvPicPr>
                    <pic:cNvPr id="0" name="_td_copilot.png"/>
                    <pic:cNvPicPr/>
                  </pic:nvPicPr>
                  <pic:blipFill>
                    <a:blip r:embed="rId13"/>
                    <a:stretch>
                      <a:fillRect/>
                    </a:stretch>
                  </pic:blipFill>
                  <pic:spPr>
                    <a:xfrm>
                      <a:off x="0" y="0"/>
                      <a:ext cx="5806440" cy="2709672"/>
                    </a:xfrm>
                    <a:prstGeom prst="rect"/>
                  </pic:spPr>
                </pic:pic>
              </a:graphicData>
            </a:graphic>
          </wp:inline>
        </w:drawing>
      </w:r>
    </w:p>
    <w:p>
      <w:pPr>
        <w:spacing w:after="160"/>
        <w:jc w:val="center"/>
      </w:pPr>
      <w:r>
        <w:rPr>
          <w:rFonts w:ascii="Aptos" w:hAnsi="Aptos"/>
          <w:i/>
          <w:color w:val="596963"/>
          <w:sz w:val="16"/>
        </w:rPr>
        <w:t>Figure 3. Copilot evidence, optional generation, answer checks, and receipt sequence.</w:t>
      </w:r>
    </w:p>
    <w:p>
      <w:pPr>
        <w:spacing w:after="100" w:line="269" w:lineRule="auto"/>
      </w:pPr>
      <w:r>
        <w:rPr>
          <w:rFonts w:ascii="Aptos" w:hAnsi="Aptos"/>
          <w:sz w:val="18"/>
        </w:rPr>
        <w:t>A candidate response must use known evidence IDs, and every numeric literal must be supported by computed evidence. If the endpoint errors or validation fails, the service returns a safe offline answer. The audit event stores a SHA-256 query hash and receipt rather than raw query text. This constrained pattern is inspired by the broader grounding/provenance motivation in RAG literature [5, 6], but it is not a conventional RAG system: there is no corpus retriever, vector database, or model training.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Receipt field</w:t>
            </w:r>
          </w:p>
        </w:tc>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Purpose</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mode</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Records offline or configured LLM mode</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evidence_ids</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Identifies evidence referenced by the answer</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masked_fields</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Counts fields withheld from the evidence pack</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external_call</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Indicates whether a configured external endpoint was called</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validator_result</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Records citation/number validation or safe fallback status</w:t>
            </w:r>
          </w:p>
        </w:tc>
      </w:tr>
    </w:tbl>
    <w:p>
      <w:pPr>
        <w:spacing w:after="0"/>
      </w:pPr>
    </w:p>
    <w:p>
      <w:pPr>
        <w:pStyle w:val="Heading2"/>
        <w:keepNext/>
      </w:pPr>
      <w:r>
        <w:t>6.2. Draft, approval and simulated execution</w:t>
      </w:r>
    </w:p>
    <w:p>
      <w:pPr>
        <w:spacing w:after="100" w:line="269" w:lineRule="auto"/>
      </w:pPr>
      <w:r>
        <w:rPr>
          <w:rFonts w:ascii="Aptos" w:hAnsi="Aptos"/>
          <w:sz w:val="18"/>
        </w:rPr>
        <w:t>Agent actions are deterministic templates stored as local drafts. finance_ops may create and submit eligible drafts; owner-only checks govern approval/rejection and simulated execution. Service code checks both permission and current state before each transition. An approved item can be recorded as simulated execution in a local JSONL log with network_sent=false. The audit trail records the actor and transition. The MONEY_MOVEMENT action is denied for every role, including owner. The simulation does not connect to a bank, lender, customer, or supplier.</w:t>
      </w:r>
    </w:p>
    <w:p>
      <w:r>
        <w:drawing>
          <wp:inline xmlns:a="http://schemas.openxmlformats.org/drawingml/2006/main" xmlns:pic="http://schemas.openxmlformats.org/drawingml/2006/picture">
            <wp:extent cx="5806440" cy="2847029"/>
            <wp:docPr id="4" name="Picture 4"/>
            <wp:cNvGraphicFramePr>
              <a:graphicFrameLocks noChangeAspect="1"/>
            </wp:cNvGraphicFramePr>
            <a:graphic>
              <a:graphicData uri="http://schemas.openxmlformats.org/drawingml/2006/picture">
                <pic:pic>
                  <pic:nvPicPr>
                    <pic:cNvPr id="0" name="_td_state.png"/>
                    <pic:cNvPicPr/>
                  </pic:nvPicPr>
                  <pic:blipFill>
                    <a:blip r:embed="rId14"/>
                    <a:stretch>
                      <a:fillRect/>
                    </a:stretch>
                  </pic:blipFill>
                  <pic:spPr>
                    <a:xfrm>
                      <a:off x="0" y="0"/>
                      <a:ext cx="5806440" cy="2847029"/>
                    </a:xfrm>
                    <a:prstGeom prst="rect"/>
                  </pic:spPr>
                </pic:pic>
              </a:graphicData>
            </a:graphic>
          </wp:inline>
        </w:drawing>
      </w:r>
    </w:p>
    <w:p>
      <w:pPr>
        <w:spacing w:after="160"/>
        <w:jc w:val="center"/>
      </w:pPr>
      <w:r>
        <w:rPr>
          <w:rFonts w:ascii="Aptos" w:hAnsi="Aptos"/>
          <w:i/>
          <w:color w:val="596963"/>
          <w:sz w:val="16"/>
        </w:rPr>
        <w:t>Figure 4. Action state machine. Rejected and simulated items are terminal; execution represents only a local record.</w:t>
      </w:r>
    </w:p>
    <w:p>
      <w:pPr>
        <w:pStyle w:val="Heading2"/>
        <w:keepNext/>
      </w:pPr>
      <w:r>
        <w:t>6.3. Human oversight boundary</w:t>
      </w:r>
    </w:p>
    <w:p>
      <w:pPr>
        <w:spacing w:after="100" w:line="269" w:lineRule="auto"/>
      </w:pPr>
      <w:r>
        <w:rPr>
          <w:rFonts w:ascii="Aptos" w:hAnsi="Aptos"/>
          <w:sz w:val="18"/>
        </w:rPr>
        <w:t>The owner must review assumptions and authorize proposed state changes. A scenario may be arithmetically feasible while depending on an unconfirmed payment, supplier concession, or cost reduction. Consequently, the UI surfaces assumptions, source references, risks, and next steps. Human approval in this prototype is an application event, not an external counterparty confirmation or legal authorization.</w:t>
      </w:r>
    </w:p>
    <w:p>
      <w:pPr>
        <w:pStyle w:val="Heading1"/>
        <w:keepNext/>
      </w:pPr>
      <w:r>
        <w:t>7. Security design</w:t>
      </w:r>
    </w:p>
    <w:p>
      <w:pPr>
        <w:pStyle w:val="Heading2"/>
        <w:keepNext/>
      </w:pPr>
      <w:r>
        <w:t>7.1. Role and permission model</w:t>
      </w:r>
    </w:p>
    <w:p>
      <w:pPr>
        <w:spacing w:after="100" w:line="269" w:lineRule="auto"/>
      </w:pPr>
      <w:r>
        <w:rPr>
          <w:rFonts w:ascii="Aptos" w:hAnsi="Aptos"/>
          <w:sz w:val="18"/>
        </w:rPr>
        <w:t>The application defines owner, finance_ops, viewer, and auditor roles. The identity resolved for an action comes from a server-issued session token and user record. Permission checks occur in services, not solely through hidden navigation. Action classes are READ, DRAFT, APPROVAL_REQUIRED, and MONEY_MOVEMENT (always denied). Denial events are audited.</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Action</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Owner</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finance_ops</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Viewer</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Auditor</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Tier</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dashboard.view; security.view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READ</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copilot.ask</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READ</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audit.view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READ</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approvals.view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READ</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lab.run; scenario.change; data.upload; draft.create</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DRAFT</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assumptions.manage</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DRAFT</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draft.approve; draft.reject; execution.simulate</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Allow</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APPROVAL_REQUIRED</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money.move</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MONEY_MOVEMENT</w:t>
            </w:r>
          </w:p>
        </w:tc>
      </w:tr>
    </w:tbl>
    <w:p>
      <w:pPr>
        <w:spacing w:after="0"/>
      </w:pPr>
    </w:p>
    <w:p>
      <w:pPr>
        <w:pStyle w:val="Heading2"/>
        <w:keepNext/>
      </w:pPr>
      <w:r>
        <w:t>7.2. Audit integrity and storage</w:t>
      </w:r>
    </w:p>
    <w:p>
      <w:pPr>
        <w:spacing w:after="100" w:line="269" w:lineRule="auto"/>
      </w:pPr>
      <w:r>
        <w:rPr>
          <w:rFonts w:ascii="Aptos" w:hAnsi="Aptos"/>
          <w:sz w:val="18"/>
        </w:rPr>
        <w:t>Audit records are sanitized and size-limited, appended to SQLite, and linked by SHA-256 previous-record hashes. Local SQLite update/delete triggers guard ordinary application paths; a verifier detects broken links and tampering. This is tamper-evident local storage, not immutable or independently replicated evidence. A host administrator can replace the file or disable local triggers. Agent drafts and simulated-action logs are also local; backup, tenant isolation, and disaster recovery are not implemented.</w:t>
      </w:r>
    </w:p>
    <w:p>
      <w:pPr>
        <w:pStyle w:val="Heading2"/>
        <w:keepNext/>
      </w:pPr>
      <w:r>
        <w:t>7.3. Upload and prompt-injection controls</w:t>
      </w:r>
    </w:p>
    <w:p>
      <w:pPr>
        <w:spacing w:after="100" w:line="269" w:lineRule="auto"/>
      </w:pPr>
      <w:r>
        <w:rPr>
          <w:rFonts w:ascii="Aptos" w:hAnsi="Aptos"/>
          <w:sz w:val="18"/>
        </w:rPr>
        <w:t>Uploads use bounded size/row/text inputs, typed field validation, duplicate/currency/date checks, and formula neutralization. Copilot treats both questions and imported text as untrusted; it excludes free text and entity names from evidence, restricts supported intents, has no tools, checks evidence IDs and numbers, and falls back offline. The project’s security suite documents 10 poisoned-name cases excluded from the evidence pack and grounded-receipt checks. These controls reduce exposure in the implemented workflow but do not solve prompt injection generally. An optional provider still receives the question and masked numeric evidence; its retention and security are outside this project’s control.</w:t>
      </w:r>
    </w:p>
    <w:p>
      <w:pPr>
        <w:pStyle w:val="Heading2"/>
        <w:keepNext/>
      </w:pPr>
      <w:r>
        <w:t>7.4. STRIDE summary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Threat</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Example</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Controls implemented</w:t>
            </w:r>
          </w:p>
        </w:tc>
        <w:tc>
          <w:tcPr>
            <w:tcW w:type="dxa" w:w="2498"/>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Residual risk</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Spoofing</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Forged session role</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PBKDF2 password hashes; server-side token resolution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Demo credentials/quick sign-in; no MFA or production identity provider</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Tampering</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Alter draft or audit history</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State-checked transitions; SQLite triggers; SHA-256 chain and verifier</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Local administrator can replace DB or disable guards</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Repudiation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Deny an approval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Actor/role/action events linked in local audit chain</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independent clock or host attestation</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Information disclosure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Names/query text sent to LLM</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Masked pack; query hash in audit; environment-held key</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Configured provider receives query and masked financial values</w:t>
            </w:r>
          </w:p>
        </w:tc>
      </w:tr>
      <w:tr>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Denial of service</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Large upload/provider call</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5 MiB/50k-row/500-char bounds; 20s provider timeout</w:t>
            </w:r>
          </w:p>
        </w:tc>
        <w:tc>
          <w:tcPr>
            <w:tcW w:type="dxa" w:w="2498"/>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rate limit, quota, or concurrent-job scheduler</w:t>
            </w:r>
          </w:p>
        </w:tc>
      </w:tr>
      <w:tr>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Elevation of privilege</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Viewer moves money</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Backend authorize checks; owner-only approvals; money movement denied</w:t>
            </w:r>
          </w:p>
        </w:tc>
        <w:tc>
          <w:tcPr>
            <w:tcW w:type="dxa" w:w="2498"/>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Local source/database administrator can alter prototype</w:t>
            </w:r>
          </w:p>
        </w:tc>
      </w:tr>
    </w:tbl>
    <w:p>
      <w:pPr>
        <w:spacing w:after="0"/>
      </w:pPr>
    </w:p>
    <w:p>
      <w:pPr>
        <w:spacing w:after="100" w:line="269" w:lineRule="auto"/>
      </w:pPr>
      <w:r>
        <w:rPr>
          <w:rFonts w:ascii="Aptos" w:hAnsi="Aptos"/>
          <w:sz w:val="18"/>
        </w:rPr>
        <w:t>This mapping is a project self-assessment against common threat categories and OWASP GenAI risks [7–9]. It is not a penetration test, compliance attestation, or independent security review. The project self-assessment should be reconciled against the current official OWASP edition before submission: the public OWASP archive currently identifies its list as the 2025 edition, while an existing project note labels it 2026 [7].</w:t>
      </w:r>
    </w:p>
    <w:p>
      <w:pPr>
        <w:pStyle w:val="Heading1"/>
        <w:keepNext/>
      </w:pPr>
      <w:r>
        <w:t>8. Implementation and interface</w:t>
      </w:r>
    </w:p>
    <w:p>
      <w:pPr>
        <w:spacing w:after="100" w:line="269" w:lineRule="auto"/>
      </w:pPr>
      <w:r>
        <w:rPr>
          <w:rFonts w:ascii="Aptos" w:hAnsi="Aptos"/>
          <w:sz w:val="18"/>
        </w:rPr>
        <w:t>The project is implemented in Python 3.11 with Streamlit 1.66.0, pandas 3.0.6, NumPy 2.4.6, Plotly 7.1.0, Pydantic 2.14.1, SQLite, pytest 9.1.1, and Ruff 0.17.1 as recorded in the project requirements. The app is designed to run locally and offline; optional LLM configuration is external and unset by default. The public Overview image below is a current 1440 px capture of the redesigned green interface. It is not a signed-in Case 3 financial dashboard; the report therefore marks the required signed-in screenshots individually in red.</w:t>
      </w:r>
    </w:p>
    <w:p>
      <w:r>
        <w:drawing>
          <wp:inline xmlns:a="http://schemas.openxmlformats.org/drawingml/2006/main" xmlns:pic="http://schemas.openxmlformats.org/drawingml/2006/picture">
            <wp:extent cx="5669280" cy="4330700"/>
            <wp:docPr id="5" name="Picture 5"/>
            <wp:cNvGraphicFramePr>
              <a:graphicFrameLocks noChangeAspect="1"/>
            </wp:cNvGraphicFramePr>
            <a:graphic>
              <a:graphicData uri="http://schemas.openxmlformats.org/drawingml/2006/picture">
                <pic:pic>
                  <pic:nvPicPr>
                    <pic:cNvPr id="0" name="overview.png"/>
                    <pic:cNvPicPr/>
                  </pic:nvPicPr>
                  <pic:blipFill>
                    <a:blip r:embed="rId15"/>
                    <a:stretch>
                      <a:fillRect/>
                    </a:stretch>
                  </pic:blipFill>
                  <pic:spPr>
                    <a:xfrm>
                      <a:off x="0" y="0"/>
                      <a:ext cx="5669280" cy="4330700"/>
                    </a:xfrm>
                    <a:prstGeom prst="rect"/>
                  </pic:spPr>
                </pic:pic>
              </a:graphicData>
            </a:graphic>
          </wp:inline>
        </w:drawing>
      </w:r>
    </w:p>
    <w:p>
      <w:pPr>
        <w:spacing w:after="160"/>
        <w:jc w:val="center"/>
      </w:pPr>
      <w:r>
        <w:rPr>
          <w:rFonts w:ascii="Aptos" w:hAnsi="Aptos"/>
          <w:i/>
          <w:color w:val="596963"/>
          <w:sz w:val="16"/>
        </w:rPr>
        <w:t>Figure 5. Current public StratifyAI landing/Overview shell capture (docs/img/overview.png, 1440 px). This view does not replace the signed-in dashboard evidence requested below.</w:t>
      </w: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[F2 — signed-in dashboard — IMAGE REQUIRED: Overview, Case 3, owner role]</w:t>
            </w:r>
          </w:p>
          <w:p>
            <w:pPr>
              <w:spacing w:after="40"/>
            </w:pPr>
            <w:r>
              <w:rPr>
                <w:rFonts w:ascii="Aptos" w:hAnsi="Aptos"/>
                <w:b w:val="0"/>
                <w:color w:val="C00000"/>
                <w:sz w:val="17"/>
              </w:rPr>
              <w:t>Source: app/pages/overview.py; current UI capture to be saved as docs/img/overview-owner-case3.png</w:t>
            </w:r>
          </w:p>
          <w:p>
            <w:pPr>
              <w:spacing w:after="40"/>
            </w:pPr>
            <w:r>
              <w:rPr>
                <w:rFonts w:ascii="Aptos" w:hAnsi="Aptos"/>
                <w:b w:val="0"/>
                <w:color w:val="C00000"/>
                <w:sz w:val="17"/>
              </w:rPr>
              <w:t>Capture: Sign in as demo owner, select Case 3, show headline cash/reserve metrics and the actual/forecast/P10–P90 chart. Crop browser chrome; retain page labels and data-layer labels.</w:t>
            </w:r>
          </w:p>
          <w:p>
            <w:pPr>
              <w:spacing w:after="40"/>
            </w:pPr>
            <w:r>
              <w:rPr>
                <w:rFonts w:ascii="Aptos" w:hAnsi="Aptos"/>
                <w:b w:val="0"/>
                <w:color w:val="C00000"/>
                <w:sz w:val="17"/>
              </w:rPr>
              <w:t>Placement: 6.2 in wide; landscape; keep chart and KPI labels readable.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[F3 — IMAGE REQUIRED: Cash Flow forecast]</w:t>
            </w:r>
          </w:p>
          <w:p>
            <w:pPr>
              <w:spacing w:after="40"/>
            </w:pPr>
            <w:r>
              <w:rPr>
                <w:rFonts w:ascii="Aptos" w:hAnsi="Aptos"/>
                <w:b w:val="0"/>
                <w:color w:val="C00000"/>
                <w:sz w:val="17"/>
              </w:rPr>
              <w:t>Source: app/pages/cashflow.py → docs/img/cashflow.png</w:t>
            </w:r>
          </w:p>
          <w:p>
            <w:pPr>
              <w:spacing w:after="40"/>
            </w:pPr>
            <w:r>
              <w:rPr>
                <w:rFonts w:ascii="Aptos" w:hAnsi="Aptos"/>
                <w:b w:val="0"/>
                <w:color w:val="C00000"/>
                <w:sz w:val="17"/>
              </w:rPr>
              <w:t>Capture: Case 3 signed-in view showing actual history, forecast horizon, reserve line, P10–P90 band, shortage alert and weekly labels.</w:t>
            </w:r>
          </w:p>
          <w:p>
            <w:pPr>
              <w:spacing w:after="40"/>
            </w:pPr>
            <w:r>
              <w:rPr>
                <w:rFonts w:ascii="Aptos" w:hAnsi="Aptos"/>
                <w:b w:val="0"/>
                <w:color w:val="C00000"/>
                <w:sz w:val="17"/>
              </w:rPr>
              <w:t>Placement: 6.2 in wide; landscape chart plus alert, not the entire long page.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[F4 — IMAGE REQUIRED: Decision Lab comparison and recommended plan]</w:t>
            </w:r>
          </w:p>
          <w:p>
            <w:pPr>
              <w:spacing w:after="40"/>
            </w:pPr>
            <w:r>
              <w:rPr>
                <w:rFonts w:ascii="Aptos" w:hAnsi="Aptos"/>
                <w:b w:val="0"/>
                <w:color w:val="C00000"/>
                <w:sz w:val="17"/>
              </w:rPr>
              <w:t>Source: app/pages/lab.py → docs/img/lab.png</w:t>
            </w:r>
          </w:p>
          <w:p>
            <w:pPr>
              <w:spacing w:after="40"/>
            </w:pPr>
            <w:r>
              <w:rPr>
                <w:rFonts w:ascii="Aptos" w:hAnsi="Aptos"/>
                <w:b w:val="0"/>
                <w:color w:val="C00000"/>
                <w:sz w:val="17"/>
              </w:rPr>
              <w:t>Capture: Case 3 owner view showing Option 0/A/B/C comparison, selected best plan, reserve threshold, costs and explicit feasibility.</w:t>
            </w:r>
          </w:p>
          <w:p>
            <w:pPr>
              <w:spacing w:after="40"/>
            </w:pPr>
            <w:r>
              <w:rPr>
                <w:rFonts w:ascii="Aptos" w:hAnsi="Aptos"/>
                <w:b w:val="0"/>
                <w:color w:val="C00000"/>
                <w:sz w:val="17"/>
              </w:rPr>
              <w:t>Placement: 6.2 in wide; landscape; include recommendation explanation if legible.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[F5 — IMAGE REQUIRED: Decision Lab levers and stress controls]</w:t>
            </w:r>
          </w:p>
          <w:p>
            <w:pPr>
              <w:spacing w:after="40"/>
            </w:pPr>
            <w:r>
              <w:rPr>
                <w:rFonts w:ascii="Aptos" w:hAnsi="Aptos"/>
                <w:b w:val="0"/>
                <w:color w:val="C00000"/>
                <w:sz w:val="17"/>
              </w:rPr>
              <w:t>Source: app/pages/lab.py → docs/img/lab-levers.png</w:t>
            </w:r>
          </w:p>
          <w:p>
            <w:pPr>
              <w:spacing w:after="40"/>
            </w:pPr>
            <w:r>
              <w:rPr>
                <w:rFonts w:ascii="Aptos" w:hAnsi="Aptos"/>
                <w:b w:val="0"/>
                <w:color w:val="C00000"/>
                <w:sz w:val="17"/>
              </w:rPr>
              <w:t>Capture: Show L1/L2/L3 controls and one stress/import assumption panel; visible slider values and HYPOTHETICAL labels.</w:t>
            </w:r>
          </w:p>
          <w:p>
            <w:pPr>
              <w:spacing w:after="40"/>
            </w:pPr>
            <w:r>
              <w:rPr>
                <w:rFonts w:ascii="Aptos" w:hAnsi="Aptos"/>
                <w:b w:val="0"/>
                <w:color w:val="C00000"/>
                <w:sz w:val="17"/>
              </w:rPr>
              <w:t>Placement: 6.2 in wide; crop to controls and resulting comparison.</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[F6 — IMAGE REQUIRED: Financing schedule and readiness]</w:t>
            </w:r>
          </w:p>
          <w:p>
            <w:pPr>
              <w:spacing w:after="40"/>
            </w:pPr>
            <w:r>
              <w:rPr>
                <w:rFonts w:ascii="Aptos" w:hAnsi="Aptos"/>
                <w:b w:val="0"/>
                <w:color w:val="C00000"/>
                <w:sz w:val="17"/>
              </w:rPr>
              <w:t>Source: app/pages/financing.py → docs/img/financing.png</w:t>
            </w:r>
          </w:p>
          <w:p>
            <w:pPr>
              <w:spacing w:after="40"/>
            </w:pPr>
            <w:r>
              <w:rPr>
                <w:rFonts w:ascii="Aptos" w:hAnsi="Aptos"/>
                <w:b w:val="0"/>
                <w:color w:val="C00000"/>
                <w:sz w:val="17"/>
              </w:rPr>
              <w:t>Capture: Show selected illustrative template, editable terms, schedule/cost summary and readiness indicator disclaimer.</w:t>
            </w:r>
          </w:p>
          <w:p>
            <w:pPr>
              <w:spacing w:after="40"/>
            </w:pPr>
            <w:r>
              <w:rPr>
                <w:rFonts w:ascii="Aptos" w:hAnsi="Aptos"/>
                <w:b w:val="0"/>
                <w:color w:val="C00000"/>
                <w:sz w:val="17"/>
              </w:rPr>
              <w:t>Placement: 6.2 in wide; include illustrative-terms banner and table heading.</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[F7 — IMAGE REQUIRED: Business Analysis and watchlist]</w:t>
            </w:r>
          </w:p>
          <w:p>
            <w:pPr>
              <w:spacing w:after="40"/>
            </w:pPr>
            <w:r>
              <w:rPr>
                <w:rFonts w:ascii="Aptos" w:hAnsi="Aptos"/>
                <w:b w:val="0"/>
                <w:color w:val="C00000"/>
                <w:sz w:val="17"/>
              </w:rPr>
              <w:t>Source: app/pages/analysis.py → docs/img/analysis.png</w:t>
            </w:r>
          </w:p>
          <w:p>
            <w:pPr>
              <w:spacing w:after="40"/>
            </w:pPr>
            <w:r>
              <w:rPr>
                <w:rFonts w:ascii="Aptos" w:hAnsi="Aptos"/>
                <w:b w:val="0"/>
                <w:color w:val="C00000"/>
                <w:sz w:val="17"/>
              </w:rPr>
              <w:t>Capture: Case 2 signed-in view with analysis summary and customer watchlist; show score labels and invoice-level evidence when possible.</w:t>
            </w:r>
          </w:p>
          <w:p>
            <w:pPr>
              <w:spacing w:after="40"/>
            </w:pPr>
            <w:r>
              <w:rPr>
                <w:rFonts w:ascii="Aptos" w:hAnsi="Aptos"/>
                <w:b w:val="0"/>
                <w:color w:val="C00000"/>
                <w:sz w:val="17"/>
              </w:rPr>
              <w:t>Placement: 6.2 in wide; include synthetic-data label.</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[F8 — IMAGE REQUIRED: Copilot answer and evidence used]</w:t>
            </w:r>
          </w:p>
          <w:p>
            <w:pPr>
              <w:spacing w:after="40"/>
            </w:pPr>
            <w:r>
              <w:rPr>
                <w:rFonts w:ascii="Aptos" w:hAnsi="Aptos"/>
                <w:b w:val="0"/>
                <w:color w:val="C00000"/>
                <w:sz w:val="17"/>
              </w:rPr>
              <w:t>Source: app/pages/copilot.py → docs/img/copilot.png</w:t>
            </w:r>
          </w:p>
          <w:p>
            <w:pPr>
              <w:spacing w:after="40"/>
            </w:pPr>
            <w:r>
              <w:rPr>
                <w:rFonts w:ascii="Aptos" w:hAnsi="Aptos"/>
                <w:b w:val="0"/>
                <w:color w:val="C00000"/>
                <w:sz w:val="17"/>
              </w:rPr>
              <w:t>Capture: Show a grounded liquidity/funding answer, evidence IDs/receipt, offline mode, and expanded “Evidence used” panel.</w:t>
            </w:r>
          </w:p>
          <w:p>
            <w:pPr>
              <w:spacing w:after="40"/>
            </w:pPr>
            <w:r>
              <w:rPr>
                <w:rFonts w:ascii="Aptos" w:hAnsi="Aptos"/>
                <w:b w:val="0"/>
                <w:color w:val="C00000"/>
                <w:sz w:val="17"/>
              </w:rPr>
              <w:t>Placement: 6.2 in wide; mask any local secrets; synthetic case only.</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[F9 — IMAGE REQUIRED: Draft approval workflow]</w:t>
            </w:r>
          </w:p>
          <w:p>
            <w:pPr>
              <w:spacing w:after="40"/>
            </w:pPr>
            <w:r>
              <w:rPr>
                <w:rFonts w:ascii="Aptos" w:hAnsi="Aptos"/>
                <w:b w:val="0"/>
                <w:color w:val="C00000"/>
                <w:sz w:val="17"/>
              </w:rPr>
              <w:t>Source: app/pages/approvals.py → docs/img/approvals.png</w:t>
            </w:r>
          </w:p>
          <w:p>
            <w:pPr>
              <w:spacing w:after="40"/>
            </w:pPr>
            <w:r>
              <w:rPr>
                <w:rFonts w:ascii="Aptos" w:hAnsi="Aptos"/>
                <w:b w:val="0"/>
                <w:color w:val="C00000"/>
                <w:sz w:val="17"/>
              </w:rPr>
              <w:t>Capture: Show a submitted draft, owner approval/rejection controls and status timeline; use synthetic draft content.</w:t>
            </w:r>
          </w:p>
          <w:p>
            <w:pPr>
              <w:spacing w:after="40"/>
            </w:pPr>
            <w:r>
              <w:rPr>
                <w:rFonts w:ascii="Aptos" w:hAnsi="Aptos"/>
                <w:b w:val="0"/>
                <w:color w:val="C00000"/>
                <w:sz w:val="17"/>
              </w:rPr>
              <w:t>Placement: 6.2 in wide; include actor/role/status context without browser chrome.</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[F10 — IMAGE REQUIRED: Audit chain verification]</w:t>
            </w:r>
          </w:p>
          <w:p>
            <w:pPr>
              <w:spacing w:after="40"/>
            </w:pPr>
            <w:r>
              <w:rPr>
                <w:rFonts w:ascii="Aptos" w:hAnsi="Aptos"/>
                <w:b w:val="0"/>
                <w:color w:val="C00000"/>
                <w:sz w:val="17"/>
              </w:rPr>
              <w:t>Source: app/pages/approvals.py → docs/img/audit-verify.png</w:t>
            </w:r>
          </w:p>
          <w:p>
            <w:pPr>
              <w:spacing w:after="40"/>
            </w:pPr>
            <w:r>
              <w:rPr>
                <w:rFonts w:ascii="Aptos" w:hAnsi="Aptos"/>
                <w:b w:val="0"/>
                <w:color w:val="C00000"/>
                <w:sz w:val="17"/>
              </w:rPr>
              <w:t>Capture: Show Verify chain action and successful verification result on a fresh demo database.</w:t>
            </w:r>
          </w:p>
          <w:p>
            <w:pPr>
              <w:spacing w:after="40"/>
            </w:pPr>
            <w:r>
              <w:rPr>
                <w:rFonts w:ascii="Aptos" w:hAnsi="Aptos"/>
                <w:b w:val="0"/>
                <w:color w:val="C00000"/>
                <w:sz w:val="17"/>
              </w:rPr>
              <w:t>Placement: 6.2 in wide; include verification status and event list context.</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[F11 — IMAGE REQUIRED: Upload validation report]</w:t>
            </w:r>
          </w:p>
          <w:p>
            <w:pPr>
              <w:spacing w:after="40"/>
            </w:pPr>
            <w:r>
              <w:rPr>
                <w:rFonts w:ascii="Aptos" w:hAnsi="Aptos"/>
                <w:b w:val="0"/>
                <w:color w:val="C00000"/>
                <w:sz w:val="17"/>
              </w:rPr>
              <w:t>Source: app/pages/upload.py → docs/img/upload.png</w:t>
            </w:r>
          </w:p>
          <w:p>
            <w:pPr>
              <w:spacing w:after="40"/>
            </w:pPr>
            <w:r>
              <w:rPr>
                <w:rFonts w:ascii="Aptos" w:hAnsi="Aptos"/>
                <w:b w:val="0"/>
                <w:color w:val="C00000"/>
                <w:sz w:val="17"/>
              </w:rPr>
              <w:t>Capture: Use a synthetic upload with a formula-like cell (=1+1); show it neutralized/reported and the validation result.</w:t>
            </w:r>
          </w:p>
          <w:p>
            <w:pPr>
              <w:spacing w:after="40"/>
            </w:pPr>
            <w:r>
              <w:rPr>
                <w:rFonts w:ascii="Aptos" w:hAnsi="Aptos"/>
                <w:b w:val="0"/>
                <w:color w:val="C00000"/>
                <w:sz w:val="17"/>
              </w:rPr>
              <w:t>Placement: 6.2 in wide; ensure the formula cell is visible as input and neutralized output.</w:t>
            </w:r>
          </w:p>
        </w:tc>
      </w:tr>
    </w:tbl>
    <w:p>
      <w:pPr>
        <w:spacing w:after="0"/>
      </w:pPr>
    </w:p>
    <w:tbl>
      <w:tblPr>
        <w:tblW w:type="auto" w:w="0"/>
        <w:tblLook w:firstColumn="1" w:firstRow="1" w:lastColumn="0" w:lastRow="0" w:noHBand="0" w:noVBand="1" w:val="04A0"/>
      </w:tblPr>
      <w:tblGrid>
        <w:gridCol w:w="9994"/>
      </w:tblGrid>
      <w:tr>
        <w:tc>
          <w:tcPr>
            <w:tcW w:type="dxa" w:w="9994"/>
            <w:shd w:fill="FCE4D6"/>
            <w:tcBorders>
              <w:top w:val="single" w:sz="14" w:color="C00000"/>
              <w:left w:val="single" w:sz="14" w:color="C00000"/>
              <w:bottom w:val="single" w:sz="14" w:color="C00000"/>
              <w:right w:val="single" w:sz="14" w:color="C00000"/>
              <w:insideH w:val="single" w:sz="14" w:color="C00000"/>
              <w:insideV w:val="single" w:sz="14" w:color="C00000"/>
            </w:tcBorders>
          </w:tcPr>
          <w:p>
            <w:pPr>
              <w:spacing w:after="40"/>
            </w:pPr>
            <w:r/>
            <w:r>
              <w:rPr>
                <w:rFonts w:ascii="Aptos" w:hAnsi="Aptos"/>
                <w:b/>
                <w:color w:val="C00000"/>
                <w:sz w:val="18"/>
              </w:rPr>
              <w:t>[F12 — IMAGE REQUIRED: Security role matrix]</w:t>
            </w:r>
          </w:p>
          <w:p>
            <w:pPr>
              <w:spacing w:after="40"/>
            </w:pPr>
            <w:r>
              <w:rPr>
                <w:rFonts w:ascii="Aptos" w:hAnsi="Aptos"/>
                <w:b w:val="0"/>
                <w:color w:val="C00000"/>
                <w:sz w:val="17"/>
              </w:rPr>
              <w:t>Source: app/pages/security.py → docs/img/security.png</w:t>
            </w:r>
          </w:p>
          <w:p>
            <w:pPr>
              <w:spacing w:after="40"/>
            </w:pPr>
            <w:r>
              <w:rPr>
                <w:rFonts w:ascii="Aptos" w:hAnsi="Aptos"/>
                <w:b w:val="0"/>
                <w:color w:val="C00000"/>
                <w:sz w:val="17"/>
              </w:rPr>
              <w:t>Capture: Show role-action matrix and backend/security status panel.</w:t>
            </w:r>
          </w:p>
          <w:p>
            <w:pPr>
              <w:spacing w:after="40"/>
            </w:pPr>
            <w:r>
              <w:rPr>
                <w:rFonts w:ascii="Aptos" w:hAnsi="Aptos"/>
                <w:b w:val="0"/>
                <w:color w:val="C00000"/>
                <w:sz w:val="17"/>
              </w:rPr>
              <w:t>Placement: 6.2 in wide; include role headings and MONEY_MOVEMENT denial if visible.</w:t>
            </w:r>
          </w:p>
        </w:tc>
      </w:tr>
    </w:tbl>
    <w:p>
      <w:pPr>
        <w:spacing w:after="0"/>
      </w:pPr>
    </w:p>
    <w:p>
      <w:pPr>
        <w:spacing w:after="100" w:line="269" w:lineRule="auto"/>
      </w:pPr>
      <w:r>
        <w:rPr>
          <w:rFonts w:ascii="Aptos" w:hAnsi="Aptos"/>
          <w:sz w:val="18"/>
        </w:rPr>
        <w:t>All requested captures should be taken from the current signed-in UI at a 1440 px viewport, use synthetic cases, and be stored under docs/img/. Preserve enough surrounding UI to identify the page and scenario; crop browser chrome and unrelated empty space. Red placeholders are production instructions, not actual evidence and must be replaced before final submission.</w:t>
      </w:r>
    </w:p>
    <w:p>
      <w:pPr>
        <w:pStyle w:val="Heading1"/>
        <w:keepNext/>
      </w:pPr>
      <w:r>
        <w:t>9. Evaluation and evidence</w:t>
      </w:r>
    </w:p>
    <w:p>
      <w:pPr>
        <w:pStyle w:val="Heading2"/>
        <w:keepNext/>
      </w:pPr>
      <w:r>
        <w:t>9.1. Evaluation design and provenance</w:t>
      </w:r>
    </w:p>
    <w:p>
      <w:pPr>
        <w:spacing w:after="100" w:line="269" w:lineRule="auto"/>
      </w:pPr>
      <w:r>
        <w:rPr>
          <w:rFonts w:ascii="Aptos" w:hAnsi="Aptos"/>
          <w:sz w:val="18"/>
        </w:rPr>
        <w:t>The repository contains several different evidence events and they are reported separately. The T15 evaluation bundle is timestamped 18 October 2026. It includes 13 scripted service workflows, 60 role/action decisions, 10 poisoned-name masking cases, grounding receipts, and audit tamper detection. The latest integrated QA record in docs/PROGRESS.md, dated 20 October 2026, records 205 passing tests after UI regression fixes. The older checked-in full test output records 197 tests for the earlier evaluation build. The current document does not claim that all security/workflow artifacts were rerun with the later UI test count.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Measure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Recorded result</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Interpretation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Latest integrated test suite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205 passed; recorded 2026-10-20</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Project progress record; implementation regression coverage, not field validation</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T15 service workflow suite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13/13 passed; 2026-10-18</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Scripted case/service tasks in evidence/task_suite_results.md</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Authorization matrix</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60/60 decisions matched; 2026-10-18</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Role/action registry checks in evidence/security_eval.md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Poisoned-name evidence filtering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10/10 excluded; 2026-10-18</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Security evaluation fixture, not comprehensive adversarial testing</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Audit tampering</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Tamper detected at entry 1</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Local chain-verifier test evidence</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Latest quality tooling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Ruff, health check, secret scan recorded passing</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Per docs/PROGRESS.md; no claim these were rerun for this report</w:t>
            </w:r>
          </w:p>
        </w:tc>
      </w:tr>
    </w:tbl>
    <w:p>
      <w:pPr>
        <w:spacing w:after="0"/>
      </w:pPr>
    </w:p>
    <w:p>
      <w:pPr>
        <w:pStyle w:val="Heading2"/>
        <w:keepNext/>
      </w:pPr>
      <w:r>
        <w:t>9.2. Synthetic holdout forecast comparison</w:t>
      </w:r>
    </w:p>
    <w:p>
      <w:pPr>
        <w:spacing w:after="100" w:line="269" w:lineRule="auto"/>
      </w:pPr>
      <w:r>
        <w:rPr>
          <w:rFonts w:ascii="Aptos" w:hAnsi="Aptos"/>
          <w:sz w:val="18"/>
        </w:rPr>
        <w:t>The checked-in backtest uses 29 training weeks and a 10-week holdout per case, with a 4 May 2026 cutoff. The deterministic model is compared with a naïve average of the last four weeks’ net cash flow. MAE is stated in BDT per week and WAPE as a percentage. In all five cases, the project forecast has higher MAE and WAPE than the naïve baseline. This is a negative result and rules out any claim of demonstrated forecast improvement in this experiment.</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5"/>
              </w:rPr>
              <w:t>Synthetic case</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5"/>
              </w:rPr>
              <w:t>Model MAE (BDT/wk)</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5"/>
              </w:rPr>
              <w:t>Model WAPE</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5"/>
              </w:rPr>
              <w:t>Naive MAE (BDT/wk)</w:t>
            </w:r>
          </w:p>
        </w:tc>
        <w:tc>
          <w:tcPr>
            <w:tcW w:type="dxa" w:w="1999"/>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5"/>
              </w:rPr>
              <w:t>Naive WAPE</w:t>
            </w:r>
          </w:p>
        </w:tc>
      </w:tr>
      <w:tr>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Stable healthy</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255,371</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3.3099 (330.99%)</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32,631</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0.4229 (42.29%)</w:t>
            </w:r>
          </w:p>
        </w:tc>
      </w:tr>
      <w:tr>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Sales drop / cost rise</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166,949</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2.3137 (231.37%)</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140,806</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1.9514 (195.14%)</w:t>
            </w:r>
          </w:p>
        </w:tc>
      </w:tr>
      <w:tr>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High-expense shortage</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256,412</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3.7469 (374.69%)</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26,177</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0.3825 (38.25%)</w:t>
            </w:r>
          </w:p>
        </w:tc>
      </w:tr>
      <w:tr>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Delayed customer payments</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297,374</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9.8917 (989.17%)</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18,340</w:t>
            </w:r>
          </w:p>
        </w:tc>
        <w:tc>
          <w:tcPr>
            <w:tcW w:type="dxa" w:w="1999"/>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0.6101 (61.01%)</w:t>
            </w:r>
          </w:p>
        </w:tc>
      </w:tr>
      <w:tr>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Import financing</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299,113</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5.7699 (576.99%)</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23,607</w:t>
            </w:r>
          </w:p>
        </w:tc>
        <w:tc>
          <w:tcPr>
            <w:tcW w:type="dxa" w:w="1999"/>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5"/>
              </w:rPr>
              <w:t>0.4554 (45.54%)</w:t>
            </w:r>
          </w:p>
        </w:tc>
      </w:tr>
    </w:tbl>
    <w:p>
      <w:pPr>
        <w:spacing w:after="0"/>
      </w:pPr>
    </w:p>
    <w:p>
      <w:pPr>
        <w:spacing w:after="160"/>
        <w:jc w:val="center"/>
      </w:pPr>
      <w:r>
        <w:rPr>
          <w:rFonts w:ascii="Aptos" w:hAnsi="Aptos"/>
          <w:i/>
          <w:color w:val="596963"/>
          <w:sz w:val="16"/>
        </w:rPr>
        <w:t>Table 5. Per-case holdout metrics transcribed from evidence/backtest_results.csv. Lower is better; the model loses to the naïve baseline in every case.</w:t>
      </w:r>
    </w:p>
    <w:p>
      <w:pPr>
        <w:pStyle w:val="Heading2"/>
        <w:keepNext/>
      </w:pPr>
      <w:r>
        <w:t>9.3. Reserve and decision quality</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Case</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Selected plan</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Minimum balance (BDT)</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Reserve (BDT)</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Maintains reserve?</w:t>
            </w:r>
          </w:p>
        </w:tc>
        <w:tc>
          <w:tcPr>
            <w:tcW w:type="dxa" w:w="1666"/>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Any-breach probability</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stable_healthy</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 0</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3,246,587</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389,266</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Yes</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0.0%</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sales_drop_cost_rise</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 0</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−1,594,784</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529,254</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100.0%</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high_expense_shortage</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 A</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−6,229,560</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622,696</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100.0%</w:t>
            </w:r>
          </w:p>
        </w:tc>
      </w:tr>
      <w:tr>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delayed_customer_payments</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 0</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−188,551</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452,786</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w:t>
            </w:r>
          </w:p>
        </w:tc>
        <w:tc>
          <w:tcPr>
            <w:tcW w:type="dxa" w:w="1666"/>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100.0%</w:t>
            </w:r>
          </w:p>
        </w:tc>
      </w:tr>
      <w:tr>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import_financing</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 A</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253,079</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420,887</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w:t>
            </w:r>
          </w:p>
        </w:tc>
        <w:tc>
          <w:tcPr>
            <w:tcW w:type="dxa" w:w="1666"/>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98.45%</w:t>
            </w:r>
          </w:p>
        </w:tc>
      </w:tr>
    </w:tbl>
    <w:p>
      <w:pPr>
        <w:spacing w:after="0"/>
      </w:pPr>
    </w:p>
    <w:p>
      <w:pPr>
        <w:spacing w:after="160"/>
        <w:jc w:val="center"/>
      </w:pPr>
      <w:r>
        <w:rPr>
          <w:rFonts w:ascii="Aptos" w:hAnsi="Aptos"/>
          <w:i/>
          <w:color w:val="596963"/>
          <w:sz w:val="16"/>
        </w:rPr>
        <w:t>Table 6. Decision-quality evidence from evidence/decision_quality.json. Only one of five selected plans maintained the reserve; breach probabilities are simulation outputs under the configured model.</w:t>
      </w:r>
    </w:p>
    <w:p>
      <w:pPr>
        <w:spacing w:after="100" w:line="269" w:lineRule="auto"/>
      </w:pPr>
      <w:r>
        <w:rPr>
          <w:rFonts w:ascii="Aptos" w:hAnsi="Aptos"/>
          <w:sz w:val="18"/>
        </w:rPr>
        <w:t>The simulator’s 100% probabilities in several fixtures are outcomes for the configured synthetic assumptions and 2,000-run simulation. They should not be interpreted as empirical default or insolvency probabilities. Four cases have no selected plan that keeps reserve under the deterministic path. The report therefore emphasizes transparent shortfall disclosure rather than success rates.</w:t>
      </w:r>
    </w:p>
    <w:p>
      <w:pPr>
        <w:pStyle w:val="Heading2"/>
        <w:keepNext/>
      </w:pPr>
      <w:r>
        <w:t>9.4. Evaluation limitations</w:t>
      </w:r>
    </w:p>
    <w:p>
      <w:pPr>
        <w:spacing w:after="100" w:line="269" w:lineRule="auto"/>
      </w:pPr>
      <w:r>
        <w:rPr>
          <w:rFonts w:ascii="Aptos" w:hAnsi="Aptos"/>
          <w:sz w:val="18"/>
        </w:rPr>
        <w:t>There are only five synthetic cases and a single holdout arrangement. The forecasting system is rule-based, uses short recent run rates, and shows poor performance against the selected naïve baseline. The task suite checks expected workflow behavior, not user comprehension, operational savings, accessibility, or field deployment. Security checks cover enumerated controls and fixtures, not a full penetration test. The latest 205-test count is a progress-record result rather than an archived stdout file in the evidence directory. Before external presentation, the team should preserve a fresh dated test transcript and capture the requested signed-in screenshots.</w:t>
      </w:r>
    </w:p>
    <w:p>
      <w:pPr>
        <w:pStyle w:val="Heading1"/>
        <w:keepNext/>
      </w:pPr>
      <w:r>
        <w:t>10. Discussion, limitations and validity</w:t>
      </w:r>
    </w:p>
    <w:p>
      <w:pPr>
        <w:pStyle w:val="Heading2"/>
        <w:keepNext/>
      </w:pPr>
      <w:r>
        <w:t>10.1. What the results support</w:t>
      </w:r>
    </w:p>
    <w:p>
      <w:pPr>
        <w:spacing w:after="100" w:line="269" w:lineRule="auto"/>
      </w:pPr>
      <w:r>
        <w:rPr>
          <w:rFonts w:ascii="Aptos" w:hAnsi="Aptos"/>
          <w:sz w:val="18"/>
        </w:rPr>
        <w:t>The implementation evidence supports that the tested workflows can be exercised end-to-end in the local synthetic prototype; service permissions matched the tested matrix; the audit verifier detected the tested tamper operation; and the answer validator is wired to computed evidence. It also supports that this particular forecast configuration did not outperform the chosen simple baseline in any of five synthetic cases and that the Lab often cannot maintain the configured reserve. Both findings are material to interpreting the system.</w:t>
      </w:r>
    </w:p>
    <w:p>
      <w:pPr>
        <w:pStyle w:val="Heading2"/>
        <w:keepNext/>
      </w:pPr>
      <w:r>
        <w:t>10.2. What the results do not support</w:t>
      </w:r>
    </w:p>
    <w:p>
      <w:pPr>
        <w:spacing w:after="100" w:line="269" w:lineRule="auto"/>
      </w:pPr>
      <w:r>
        <w:rPr>
          <w:rFonts w:ascii="Aptos" w:hAnsi="Aptos"/>
          <w:sz w:val="18"/>
        </w:rPr>
        <w:t>The evidence does not establish forecast accuracy for real firms, a causal improvement in financial decisions, better access to finance, model calibration, fairness across populations, or deployment-grade security. Five generated cases cannot represent sector, geography, accounting practice, seasonal variation, or customer behavior. The backtest is short and synthetic, and the baseline is one comparator. Consequently, conclusions are limited to design and test behavior under the specified fixtures.</w:t>
      </w:r>
    </w:p>
    <w:p>
      <w:pPr>
        <w:pStyle w:val="Heading2"/>
        <w:keepNext/>
      </w:pPr>
      <w:r>
        <w:t>10.3. Ethical and operational boundaries</w:t>
      </w:r>
    </w:p>
    <w:p>
      <w:pPr>
        <w:spacing w:after="100" w:line="269" w:lineRule="auto"/>
      </w:pPr>
      <w:r>
        <w:rPr>
          <w:rFonts w:ascii="Aptos" w:hAnsi="Aptos"/>
          <w:sz w:val="18"/>
        </w:rPr>
        <w:t>All data and financing terms are synthetic or illustrative. Readiness is not an approval prediction; the interface must not be used to make credit decisions. The prototype has no real bank/lender/customer integrations or payments. Optional LLM mode transfers the question and masked numeric evidence to the operator-selected endpoint; offline mode should be retained unless data handling has been reviewed. Seeded demo identities, single-process operation, local databases, no rate limiter, no tenant isolation, and no independent audit replication make the current build unsuitable for public production deployment.</w:t>
      </w:r>
    </w:p>
    <w:p>
      <w:pPr>
        <w:pStyle w:val="Heading2"/>
        <w:keepNext/>
      </w:pPr>
      <w:r>
        <w:t>10.4. Threats to validity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Validity dimension</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Risk</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Mitigation / current status</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Construct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Reserve breach is a narrow proxy for liquidity health</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Report computed thresholds and assumptions; no general financial-health claim</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Internal</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Short synthetic holdout and heuristic event rules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Publish per-case metrics and adverse result; no accuracy superiority claim</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External</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Five generated cases do not represent SMEs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population inference; real consented, governed data needed for future research</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Measurement</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Task scripts encode expected outcomes selected by developers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Treat as functional acceptance evidence, not independent user evaluation</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Security</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Local checks and tests are not independent adversarial review</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Self-assessment only; residual risks and missing controls disclosed</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Reproducibility</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Full-suite and evaluation artifacts are from different dates/builds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Keep timestamps and count provenance separate; preserve fresh outputs before submission</w:t>
            </w:r>
          </w:p>
        </w:tc>
      </w:tr>
    </w:tbl>
    <w:p>
      <w:pPr>
        <w:spacing w:after="0"/>
      </w:pPr>
    </w:p>
    <w:p>
      <w:pPr>
        <w:pStyle w:val="Heading1"/>
        <w:keepNext/>
      </w:pPr>
      <w:r>
        <w:t>11. Conclusion and future work</w:t>
      </w:r>
    </w:p>
    <w:p>
      <w:pPr>
        <w:spacing w:after="100" w:line="269" w:lineRule="auto"/>
      </w:pPr>
      <w:r>
        <w:rPr>
          <w:rFonts w:ascii="Aptos" w:hAnsi="Aptos"/>
          <w:sz w:val="18"/>
        </w:rPr>
        <w:t>StratifyAI demonstrates a local synthetic-data workflow that connects weekly cash projections, scenario comparisons, illustrative financing math, business-analysis indicators, evidence-grounded explanations, role-based services, owner approval, and local audit evidence. Its principal design choice is to keep financial arithmetic deterministic and to make the distinction between recorded, forecast, hypothetical, and owner-confirmed information visible. The evaluation is deliberately mixed: functional and security checks passed in their recorded runs, but the model underperformed a simple baseline in all five holdouts and only one of five recommended plans maintained reserve. These results position the application as a transparent engineering prototype for further study, not a validated financial decision system.</w:t>
      </w:r>
    </w:p>
    <w:p>
      <w:pPr>
        <w:pStyle w:val="Heading2"/>
        <w:keepNext/>
      </w:pPr>
      <w:r>
        <w:t>Future work</w:t>
      </w:r>
    </w:p>
    <w:p>
      <w:pPr>
        <w:pStyle w:val="ListBullet"/>
        <w:spacing w:after="60"/>
      </w:pPr>
      <w:r>
        <w:t>Replace synthetic fixtures with a consented, anonymized, and legally governed SME dataset; preserve a time-aware holdout and compare against multiple simple baselines.</w:t>
      </w:r>
    </w:p>
    <w:p>
      <w:pPr>
        <w:pStyle w:val="ListBullet"/>
        <w:spacing w:after="60"/>
      </w:pPr>
      <w:r>
        <w:t>Revisit forecast event handling and calibrate uncertainty with more observations; report confidence intervals and subgroup behavior only when sample size supports them.</w:t>
      </w:r>
    </w:p>
    <w:p>
      <w:pPr>
        <w:pStyle w:val="ListBullet"/>
        <w:spacing w:after="60"/>
      </w:pPr>
      <w:r>
        <w:t>Conduct moderated usability testing with SME owners and measure comprehension of scenario labels, uncertainty, and financing assumptions.</w:t>
      </w:r>
    </w:p>
    <w:p>
      <w:pPr>
        <w:pStyle w:val="ListBullet"/>
        <w:spacing w:after="60"/>
      </w:pPr>
      <w:r>
        <w:t>Commission independent security testing; add production identity, tenant isolation, rate limiting, managed secrets, dependency scanning, backups, and externally controlled audit retention before any production use.</w:t>
      </w:r>
    </w:p>
    <w:p>
      <w:pPr>
        <w:pStyle w:val="ListBullet"/>
        <w:spacing w:after="60"/>
      </w:pPr>
      <w:r>
        <w:t>Reconcile the OWASP edition reference, refresh test evidence, and capture remaining signed-in page screenshots before final submission.</w:t>
      </w:r>
    </w:p>
    <w:p>
      <w:pPr>
        <w:pStyle w:val="Heading1"/>
        <w:keepNext/>
      </w:pPr>
      <w:r>
        <w:t>References</w:t>
      </w:r>
    </w:p>
    <w:p>
      <w:pPr>
        <w:spacing w:after="80"/>
        <w:ind w:left="259" w:hanging="259"/>
      </w:pPr>
      <w:r>
        <w:rPr>
          <w:rFonts w:ascii="Aptos" w:hAnsi="Aptos"/>
          <w:sz w:val="16"/>
        </w:rPr>
        <w:t>[1] M. Deloof, “Does Working Capital Management Affect Profitability of Belgian Firms?,” Journal of Business Finance &amp; Accounting, vol. 30, no. 3–4, pp. 573–588, 2003. https://doi.org/10.1111/1468-5957.00008</w:t>
      </w:r>
    </w:p>
    <w:p>
      <w:pPr>
        <w:spacing w:after="80"/>
        <w:ind w:left="259" w:hanging="259"/>
      </w:pPr>
      <w:r>
        <w:rPr>
          <w:rFonts w:ascii="Aptos" w:hAnsi="Aptos"/>
          <w:sz w:val="16"/>
        </w:rPr>
        <w:t>[2] S. Baños-Caballero, P. J. García-Teruel, and P. Martínez-Solano, “How does working capital management affect the profitability of Spanish SMEs?,” Small Business Economics, vol. 39, pp. 517–529, 2012. https://doi.org/10.1007/s11187-011-9317-8</w:t>
      </w:r>
    </w:p>
    <w:p>
      <w:pPr>
        <w:spacing w:after="80"/>
        <w:ind w:left="259" w:hanging="259"/>
      </w:pPr>
      <w:r>
        <w:rPr>
          <w:rFonts w:ascii="Aptos" w:hAnsi="Aptos"/>
          <w:sz w:val="16"/>
        </w:rPr>
        <w:t>[3] A. N. Berger and G. F. Udell, “The economics of small business finance: The roles of private equity and debt markets in the financial growth cycle,” Journal of Banking &amp; Finance, vol. 22, no. 6–8, pp. 613–673, 1998. https://doi.org/10.1016/S0378-4266(98)00038-7</w:t>
      </w:r>
    </w:p>
    <w:p>
      <w:pPr>
        <w:spacing w:after="80"/>
        <w:ind w:left="259" w:hanging="259"/>
      </w:pPr>
      <w:r>
        <w:rPr>
          <w:rFonts w:ascii="Aptos" w:hAnsi="Aptos"/>
          <w:sz w:val="16"/>
        </w:rPr>
        <w:t>[4] W. H. Beaver, “Financial Ratios as Predictors of Failure,” Journal of Accounting Research, vol. 4, pp. 71–111, 1966. https://doi.org/10.2307/2490171</w:t>
      </w:r>
    </w:p>
    <w:p>
      <w:pPr>
        <w:spacing w:after="80"/>
        <w:ind w:left="259" w:hanging="259"/>
      </w:pPr>
      <w:r>
        <w:rPr>
          <w:rFonts w:ascii="Aptos" w:hAnsi="Aptos"/>
          <w:sz w:val="16"/>
        </w:rPr>
        <w:t>[5] P. Lewis et al., “Retrieval-Augmented Generation for Knowledge-Intensive NLP Tasks,” Advances in Neural Information Processing Systems 33, 2020. https://arxiv.org/abs/2005.11401</w:t>
      </w:r>
    </w:p>
    <w:p>
      <w:pPr>
        <w:spacing w:after="80"/>
        <w:ind w:left="259" w:hanging="259"/>
      </w:pPr>
      <w:r>
        <w:rPr>
          <w:rFonts w:ascii="Aptos" w:hAnsi="Aptos"/>
          <w:sz w:val="16"/>
        </w:rPr>
        <w:t>[6] A. Asai, Z. Wu, Y. Wang, A. Sil, and H. Hajishirzi, “Self-RAG: Learning to Retrieve, Generate, and Critique through Self-Reflection,” arXiv:2310.11511, 2023. https://arxiv.org/abs/2310.11511</w:t>
      </w:r>
    </w:p>
    <w:p>
      <w:pPr>
        <w:spacing w:after="80"/>
        <w:ind w:left="259" w:hanging="259"/>
      </w:pPr>
      <w:r>
        <w:rPr>
          <w:rFonts w:ascii="Aptos" w:hAnsi="Aptos"/>
          <w:sz w:val="16"/>
        </w:rPr>
        <w:t>[7] OWASP GenAI Security Project, “Top 10 Risk &amp; Mitigations for LLMs and Gen AI Apps (2025),” official project archive. https://genai.owasp.org/llm-top-10/</w:t>
      </w:r>
    </w:p>
    <w:p>
      <w:pPr>
        <w:spacing w:after="80"/>
        <w:ind w:left="259" w:hanging="259"/>
      </w:pPr>
      <w:r>
        <w:rPr>
          <w:rFonts w:ascii="Aptos" w:hAnsi="Aptos"/>
          <w:sz w:val="16"/>
        </w:rPr>
        <w:t>[8] E. Tabassi, “Artificial Intelligence Risk Management Framework (AI RMF 1.0),” NIST AI 100-1, 2023. https://doi.org/10.6028/NIST.AI.100-1</w:t>
      </w:r>
    </w:p>
    <w:p>
      <w:pPr>
        <w:spacing w:after="80"/>
        <w:ind w:left="259" w:hanging="259"/>
      </w:pPr>
      <w:r>
        <w:rPr>
          <w:rFonts w:ascii="Aptos" w:hAnsi="Aptos"/>
          <w:sz w:val="16"/>
        </w:rPr>
        <w:t>[9] NIST, “Artificial Intelligence Risk Management Framework: Generative Artificial Intelligence Profile,” NIST AI 600-1, 2024. https://doi.org/10.6028/NIST.AI.600-1</w:t>
      </w:r>
    </w:p>
    <w:p>
      <w:pPr>
        <w:spacing w:after="80"/>
        <w:ind w:left="259" w:hanging="259"/>
      </w:pPr>
      <w:r>
        <w:rPr>
          <w:rFonts w:ascii="Aptos" w:hAnsi="Aptos"/>
          <w:sz w:val="16"/>
        </w:rPr>
        <w:t>[10] Streamlit, “Streamlit Documentation and API Reference,” accessed 20 October 2026. https://docs.streamlit.io/</w:t>
      </w:r>
    </w:p>
    <w:p>
      <w:pPr>
        <w:spacing w:after="80"/>
        <w:ind w:left="259" w:hanging="259"/>
      </w:pPr>
      <w:r>
        <w:rPr>
          <w:rFonts w:ascii="Aptos" w:hAnsi="Aptos"/>
          <w:sz w:val="16"/>
        </w:rPr>
        <w:t>[11] pandas Development Team, “pandas User Guide,” project documentation. https://pandas.pydata.org/docs/user_guide/</w:t>
      </w:r>
    </w:p>
    <w:p>
      <w:pPr>
        <w:spacing w:after="80"/>
        <w:ind w:left="259" w:hanging="259"/>
      </w:pPr>
      <w:r>
        <w:rPr>
          <w:rFonts w:ascii="Aptos" w:hAnsi="Aptos"/>
          <w:sz w:val="16"/>
        </w:rPr>
        <w:t>[12] Plotly Technologies Inc., “Getting Started with Plotly for Python,” project documentation. https://plotly.com/python/getting-started/</w:t>
      </w:r>
    </w:p>
    <w:p>
      <w:pPr>
        <w:spacing w:after="80"/>
        <w:ind w:left="259" w:hanging="259"/>
      </w:pPr>
      <w:r>
        <w:rPr>
          <w:rFonts w:ascii="Aptos" w:hAnsi="Aptos"/>
          <w:sz w:val="16"/>
        </w:rPr>
        <w:t>[13] 2026 Shenzhen International FinTech Competition (FinTechathon), International Track brief, Topic E: SME Finance Copilot. Project summary in docs/COMPETITION.md; official brief supplied with the project.</w:t>
      </w:r>
    </w:p>
    <w:p>
      <w:pPr>
        <w:pStyle w:val="Heading1"/>
        <w:keepNext/>
      </w:pPr>
      <w:r>
        <w:t>Appendix A. Threat model and trust boundaries</w:t>
      </w:r>
    </w:p>
    <w:p>
      <w:pPr>
        <w:spacing w:after="100" w:line="269" w:lineRule="auto"/>
      </w:pPr>
      <w:r>
        <w:rPr>
          <w:rFonts w:ascii="Aptos" w:hAnsi="Aptos"/>
          <w:sz w:val="18"/>
        </w:rPr>
        <w:t>Assets: synthetic business records, local credentials, session identity, scenario assumptions, drafts, audit events, optional LLM credentials, and generated outputs. Trust boundaries: uploaded files to parser; UI to service authorization; service to local SQLite/JSONL; and application to optional external LLM endpoint. Adversarial inputs include malformed spreadsheets, formula-like fields, forged UI state, oversized requests, malicious customer text, and unsupported/copied numeric claims. Primary controls and known limitations are summarized in §7 and docs/SECURITY_SELF_ASSESSMENT.md.</w:t>
      </w:r>
    </w:p>
    <w:p>
      <w:pPr>
        <w:pStyle w:val="Heading1"/>
        <w:keepNext/>
      </w:pPr>
      <w:r>
        <w:t>Appendix B. Permission matrix</w:t>
      </w:r>
    </w:p>
    <w:p>
      <w:pPr>
        <w:spacing w:after="100" w:line="269" w:lineRule="auto"/>
      </w:pPr>
      <w:r>
        <w:rPr>
          <w:rFonts w:ascii="Aptos" w:hAnsi="Aptos"/>
          <w:sz w:val="18"/>
        </w:rPr>
        <w:t>The concise action matrix appears in Table 4 (§7.1). The implementation source of truth is services/permissions.py, including its action registry. This appendix does not replace service-layer authorization checks.</w:t>
      </w:r>
    </w:p>
    <w:p>
      <w:pPr>
        <w:pStyle w:val="Heading1"/>
        <w:keepNext/>
      </w:pPr>
      <w:r>
        <w:t>Appendix C. Reproduction commands</w:t>
      </w:r>
    </w:p>
    <w:p>
      <w:pPr>
        <w:spacing w:after="100" w:line="269" w:lineRule="auto"/>
      </w:pPr>
      <w:r>
        <w:rPr>
          <w:rFonts w:ascii="Aptos" w:hAnsi="Aptos"/>
          <w:sz w:val="18"/>
        </w:rPr>
        <w:t>Run from the repository root with Python 3.11 and the pinned project environment. These commands reproduce the application and documented quality checks; current output may differ if code or dependencies change.</w:t>
      </w:r>
    </w:p>
    <w:p>
      <w:pPr>
        <w:spacing w:after="20"/>
        <w:ind w:left="360"/>
      </w:pPr>
      <w:r>
        <w:rPr>
          <w:rFonts w:ascii="Consolas" w:hAnsi="Consolas"/>
          <w:color w:val="166B52"/>
          <w:sz w:val="17"/>
        </w:rPr>
        <w:t>python run.py setup</w:t>
      </w:r>
    </w:p>
    <w:p>
      <w:pPr>
        <w:spacing w:after="20"/>
        <w:ind w:left="360"/>
      </w:pPr>
      <w:r>
        <w:rPr>
          <w:rFonts w:ascii="Consolas" w:hAnsi="Consolas"/>
          <w:color w:val="166B52"/>
          <w:sz w:val="17"/>
        </w:rPr>
        <w:t>python run.py demo</w:t>
      </w:r>
    </w:p>
    <w:p>
      <w:pPr>
        <w:spacing w:after="20"/>
        <w:ind w:left="360"/>
      </w:pPr>
      <w:r>
        <w:rPr>
          <w:rFonts w:ascii="Consolas" w:hAnsi="Consolas"/>
          <w:color w:val="166B52"/>
          <w:sz w:val="17"/>
        </w:rPr>
        <w:t>python run.py test</w:t>
      </w:r>
    </w:p>
    <w:p>
      <w:pPr>
        <w:spacing w:after="20"/>
        <w:ind w:left="360"/>
      </w:pPr>
      <w:r>
        <w:rPr>
          <w:rFonts w:ascii="Consolas" w:hAnsi="Consolas"/>
          <w:color w:val="166B52"/>
          <w:sz w:val="17"/>
        </w:rPr>
        <w:t>python run.py eval</w:t>
      </w:r>
    </w:p>
    <w:p>
      <w:pPr>
        <w:spacing w:after="20"/>
        <w:ind w:left="360"/>
      </w:pPr>
      <w:r>
        <w:rPr>
          <w:rFonts w:ascii="Consolas" w:hAnsi="Consolas"/>
          <w:color w:val="166B52"/>
          <w:sz w:val="17"/>
        </w:rPr>
        <w:t>python run.py check</w:t>
      </w:r>
    </w:p>
    <w:p>
      <w:pPr>
        <w:spacing w:after="20"/>
        <w:ind w:left="360"/>
      </w:pPr>
      <w:r>
        <w:rPr>
          <w:rFonts w:ascii="Consolas" w:hAnsi="Consolas"/>
          <w:color w:val="166B52"/>
          <w:sz w:val="17"/>
        </w:rPr>
        <w:t>python run.py report</w:t>
      </w:r>
    </w:p>
    <w:p>
      <w:pPr>
        <w:spacing w:after="20"/>
        <w:ind w:left="360"/>
      </w:pPr>
      <w:r>
        <w:rPr>
          <w:rFonts w:ascii="Consolas" w:hAnsi="Consolas"/>
          <w:color w:val="166B52"/>
          <w:sz w:val="17"/>
        </w:rPr>
        <w:t>python scripts/run_tasks.py</w:t>
      </w:r>
    </w:p>
    <w:p>
      <w:pPr>
        <w:spacing w:after="20"/>
        <w:ind w:left="360"/>
      </w:pPr>
      <w:r>
        <w:rPr>
          <w:rFonts w:ascii="Consolas" w:hAnsi="Consolas"/>
          <w:color w:val="166B52"/>
          <w:sz w:val="17"/>
        </w:rPr>
        <w:t>python scripts/check_secrets.py</w:t>
      </w:r>
    </w:p>
    <w:p>
      <w:pPr>
        <w:spacing w:after="100" w:line="269" w:lineRule="auto"/>
      </w:pPr>
      <w:r>
        <w:rPr>
          <w:rFonts w:ascii="Aptos" w:hAnsi="Aptos"/>
          <w:sz w:val="18"/>
        </w:rPr>
        <w:t>Use synthetic demo accounts only. The checked-in evidence files identify the historical runs described in §9; commands do not imply that those results were freshly rerun during report generation.</w:t>
      </w:r>
    </w:p>
    <w:p>
      <w:pPr>
        <w:pStyle w:val="Heading1"/>
        <w:keepNext/>
      </w:pPr>
      <w:r>
        <w:t>Appendix D. Copilot receipt example</w:t>
      </w:r>
    </w:p>
    <w:p>
      <w:pPr>
        <w:spacing w:after="100" w:line="269" w:lineRule="auto"/>
      </w:pPr>
      <w:r>
        <w:rPr>
          <w:rFonts w:ascii="Aptos" w:hAnsi="Aptos"/>
          <w:sz w:val="18"/>
        </w:rPr>
        <w:t>The receipt is a structured record, not an independent proof that a business fact is true. A representative schema (field names as implemented) is shown below; values are intentionally schematic and should not be presented as a captured production answer.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Field</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Representative value</w:t>
            </w:r>
          </w:p>
        </w:tc>
        <w:tc>
          <w:tcPr>
            <w:tcW w:type="dxa" w:w="3331"/>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Meaning</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mode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offline</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Deterministic default path</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evidence_ids</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[E1, E2, E4]</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IDs from the computed evidence pack</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masked_fields</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16</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Count of masked entity labels in this example only</w:t>
            </w:r>
          </w:p>
        </w:tc>
      </w:tr>
      <w:tr>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external_call</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false</w:t>
            </w:r>
          </w:p>
        </w:tc>
        <w:tc>
          <w:tcPr>
            <w:tcW w:type="dxa" w:w="3331"/>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provider call in offline mode</w:t>
            </w:r>
          </w:p>
        </w:tc>
      </w:tr>
      <w:tr>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validator_result</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passed</w:t>
            </w:r>
          </w:p>
        </w:tc>
        <w:tc>
          <w:tcPr>
            <w:tcW w:type="dxa" w:w="3331"/>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Citation and numeric checks passed</w:t>
            </w:r>
          </w:p>
        </w:tc>
      </w:tr>
    </w:tbl>
    <w:p>
      <w:pPr>
        <w:spacing w:after="0"/>
      </w:pPr>
    </w:p>
    <w:p>
      <w:pPr>
        <w:spacing w:after="100" w:line="269" w:lineRule="auto"/>
      </w:pPr>
      <w:r>
        <w:rPr>
          <w:rFonts w:ascii="Aptos" w:hAnsi="Aptos"/>
          <w:sz w:val="18"/>
        </w:rPr>
        <w:t>The sample masked_fields value above is illustrative, not a measured run. For a presentation capture, replace this schematic with a real local App screenshot and the receipt displayed by the application.</w:t>
      </w:r>
    </w:p>
    <w:p>
      <w:pPr>
        <w:pStyle w:val="Heading1"/>
        <w:keepNext/>
      </w:pPr>
      <w:r>
        <w:t>Appendix E. Known risks and non-implemented controls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Risk / gap</w:t>
            </w:r>
          </w:p>
        </w:tc>
        <w:tc>
          <w:tcPr>
            <w:tcW w:type="dxa" w:w="4997"/>
            <w:vAlign w:val="center"/>
            <w:shd w:fill="166B52"/>
            <w:tcBorders>
              <w:top w:val="single" w:sz="6" w:color="166B52"/>
              <w:left w:val="single" w:sz="6" w:color="166B52"/>
              <w:bottom w:val="single" w:sz="6" w:color="166B52"/>
              <w:right w:val="single" w:sz="6" w:color="166B52"/>
              <w:insideH w:val="single" w:sz="6" w:color="166B52"/>
              <w:insideV w:val="single" w:sz="6" w:color="166B52"/>
            </w:tcBorders>
          </w:tcPr>
          <w:p>
            <w:pPr>
              <w:spacing w:after="20" w:before="20"/>
            </w:pPr>
            <w:r/>
            <w:r>
              <w:rPr>
                <w:rFonts w:ascii="Aptos" w:hAnsi="Aptos"/>
                <w:b/>
                <w:color w:val="FFFFFF"/>
                <w:sz w:val="16"/>
              </w:rPr>
              <w:t>Current status</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Forecast underperformance on five synthetic holdouts</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Observed; higher MAE than naïve baseline in every case</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Synthetic-only data and illustrative products</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external data or lender terms validated</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Demo passwords and quick sign-in</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Local judging convenience only; not production identity</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Local audit database</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Tamper-evident, not immutable or externally replicated</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Optional external LLM</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Provider privacy, residency, retention and uptime not controlled here</w:t>
            </w:r>
          </w:p>
        </w:tc>
      </w:tr>
      <w:tr>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Availability and tenant controls</w:t>
            </w:r>
          </w:p>
        </w:tc>
        <w:tc>
          <w:tcPr>
            <w:tcW w:type="dxa" w:w="4997"/>
            <w:vAlign w:val="center"/>
            <w:shd w:fill="FFFFFF"/>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rate limit, per-user quota, tenant isolation, or recovery plan</w:t>
            </w:r>
          </w:p>
        </w:tc>
      </w:tr>
      <w:tr>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Absent controls</w:t>
            </w:r>
          </w:p>
        </w:tc>
        <w:tc>
          <w:tcPr>
            <w:tcW w:type="dxa" w:w="4997"/>
            <w:vAlign w:val="center"/>
            <w:shd w:fill="F4F8F5"/>
            <w:tcBorders>
              <w:top w:val="single" w:sz="6" w:color="D7E4DD"/>
              <w:left w:val="single" w:sz="6" w:color="D7E4DD"/>
              <w:bottom w:val="single" w:sz="6" w:color="D7E4DD"/>
              <w:right w:val="single" w:sz="6" w:color="D7E4DD"/>
              <w:insideH w:val="single" w:sz="6" w:color="D7E4DD"/>
              <w:insideV w:val="single" w:sz="6" w:color="D7E4DD"/>
            </w:tcBorders>
          </w:tcPr>
          <w:p>
            <w:pPr>
              <w:spacing w:after="20" w:before="20"/>
            </w:pPr>
            <w:r/>
            <w:r>
              <w:rPr>
                <w:rFonts w:ascii="Aptos" w:hAnsi="Aptos"/>
                <w:b w:val="0"/>
                <w:color w:val="183A35"/>
                <w:sz w:val="16"/>
              </w:rPr>
              <w:t>No production SSO/MFA, managed secret service, SBOM, vulnerability scanning, RAG, model fine-tuning, bank/lender API, loan application, or real money movement</w:t>
            </w:r>
          </w:p>
        </w:tc>
      </w:tr>
    </w:tbl>
    <w:p>
      <w:pPr>
        <w:spacing w:after="0"/>
      </w:pPr>
    </w:p>
    <w:p>
      <w:pPr>
        <w:spacing w:after="100" w:line="269" w:lineRule="auto"/>
      </w:pPr>
      <w:r>
        <w:rPr>
          <w:rFonts w:ascii="Aptos" w:hAnsi="Aptos"/>
          <w:sz w:val="18"/>
        </w:rPr>
        <w:t>Document status: Technical Documentation for the Neuroprop Topic E prototype. The report uses numbered citations, source-linked project evidence, a current public UI capture, and red placeholders for the remaining signed-in screenshots. Competition-brief details are summarized from the project’s docs/COMPETITION.md; the project notes that the source PDF could not be text-extracted locally, so organizers’ exact wording should be checked before final external submission.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963"/>
        <w:sz w:val="16"/>
      </w:rPr>
      <w:t xml:space="preserve">Neuroprop  •  Topic E  •  </w:t>
    </w:r>
    <w:r>
      <w:rPr>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6B52"/>
        <w:sz w:val="15"/>
      </w:rPr>
      <w:t>STRATIFYAI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83A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6B52"/>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3A35"/>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66B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83A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StratifyAI: A Deterministic, Evidence-Grounded SME Finance Copilot with a Liquidity Decision Lab</dc:title>
  <dc:subject>Technical Documentation — 2026 FinTechathon International Track Topic E</dc:subject>
  <dc:creator>Neuroprop</dc:creator>
  <cp:keywords>SME finance, liquidity, forecasting, security, human-in-the-loop, technical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