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Times New Roman"/>
          <w:b/>
          <w:color w:val="166B52"/>
          <w:sz w:val="22"/>
        </w:rPr>
        <w:t>STRATIFYAI</w:t>
      </w:r>
    </w:p>
    <w:p>
      <w:pPr>
        <w:spacing w:before="360" w:after="280"/>
        <w:jc w:val="center"/>
      </w:pPr>
      <w:r>
        <w:rPr>
          <w:rFonts w:ascii="Times New Roman" w:hAnsi="Times New Roman" w:eastAsia="Times New Roman"/>
          <w:b/>
          <w:color w:val="183A35"/>
          <w:sz w:val="22"/>
        </w:rPr>
        <w:t>A Deterministic, Evidence-Grounded SME Finance Copilot with a Liquidity Decision Lab</w:t>
      </w:r>
    </w:p>
    <w:p>
      <w:pPr>
        <w:jc w:val="center"/>
      </w:pPr>
      <w:r>
        <w:rPr>
          <w:rFonts w:ascii="Times New Roman" w:hAnsi="Times New Roman" w:eastAsia="Times New Roman"/>
          <w:color w:val="166B52"/>
          <w:sz w:val="22"/>
        </w:rPr>
        <w:t>Technical Documentation</w:t>
      </w:r>
    </w:p>
    <w:p>
      <w:pPr>
        <w:spacing w:before="500"/>
        <w:jc w:val="center"/>
      </w:pPr>
      <w:r>
        <w:rPr>
          <w:rFonts w:ascii="Times New Roman" w:hAnsi="Times New Roman" w:eastAsia="Times New Roman"/>
          <w:color w:val="596963"/>
          <w:sz w:val="22"/>
        </w:rPr>
        <w:t>2026 Shenzhen International FinTech Competition (FinTechathon)</w:t>
        <w:br/>
        <w:t>International Track • Topic E: SME Finance Copilot</w:t>
      </w:r>
    </w:p>
    <w:p>
      <w:pPr>
        <w:spacing w:before="680"/>
        <w:jc w:val="center"/>
      </w:pPr>
      <w:r>
        <w:rPr>
          <w:rFonts w:ascii="Times New Roman" w:hAnsi="Times New Roman" w:eastAsia="Times New Roman"/>
          <w:b/>
          <w:color w:val="166B52"/>
          <w:sz w:val="22"/>
        </w:rPr>
        <w:t>NEUROPROP</w:t>
      </w:r>
    </w:p>
    <w:p>
      <w:pPr>
        <w:jc w:val="center"/>
      </w:pPr>
      <w:r>
        <w:rPr>
          <w:rFonts w:ascii="Times New Roman" w:hAnsi="Times New Roman" w:eastAsia="Times New Roman"/>
          <w:sz w:val="22"/>
        </w:rPr>
        <w:t>Md. Rafiqul Islam — Team Leader</w:t>
        <w:br/>
        <w:t>Abu Bakar Rafi</w:t>
        <w:br/>
        <w:t>Fatema Jahan</w:t>
        <w:br/>
        <w:t>Bangladesh</w:t>
        <w:br/>
        <w:t>20 October 2026</w:t>
      </w:r>
    </w:p>
    <w:p>
      <w:pPr>
        <w:spacing w:before="400"/>
        <w:jc w:val="center"/>
      </w:pPr>
      <w:r>
        <w:rPr>
          <w:rFonts w:ascii="Times New Roman" w:hAnsi="Times New Roman" w:eastAsia="Times New Roman"/>
          <w:color w:val="166B52"/>
          <w:sz w:val="22"/>
        </w:rPr>
        <w:t>Repository: https://github.com/Rafiqul-Islam12/stratifyai</w:t>
      </w:r>
    </w:p>
    <w:p>
      <w:pPr>
        <w:spacing w:before="720"/>
        <w:jc w:val="center"/>
      </w:pPr>
      <w:r>
        <w:rPr>
          <w:rFonts w:ascii="Times New Roman" w:hAnsi="Times New Roman" w:eastAsia="Times New Roman"/>
          <w:i/>
          <w:color w:val="596963"/>
          <w:sz w:val="22"/>
        </w:rPr>
        <w:t>Academic-style system report • Synthetic-data prototype • Not a production credit or payment system</w:t>
      </w:r>
    </w:p>
    <w:p>
      <w:r>
        <w:rPr>
          <w:rFonts w:ascii="Times New Roman" w:hAnsi="Times New Roman" w:eastAsia="Times New Roman"/>
          <w:sz w:val="22"/>
        </w:rPr>
        <w:br w:type="page"/>
      </w:r>
    </w:p>
    <w:p>
      <w:pPr>
        <w:pStyle w:val="Heading1"/>
        <w:keepNext/>
      </w:pPr>
      <w:r>
        <w:rPr>
          <w:rFonts w:ascii="Times New Roman" w:hAnsi="Times New Roman" w:eastAsia="Times New Roman"/>
        </w:rPr>
        <w:t>Abstract</w:t>
      </w:r>
    </w:p>
    <w:p>
      <w:pPr>
        <w:spacing w:after="100" w:line="269" w:lineRule="auto"/>
      </w:pPr>
      <w:r>
        <w:rPr>
          <w:rFonts w:ascii="Times New Roman" w:hAnsi="Times New Roman" w:eastAsia="Times New Roman"/>
          <w:sz w:val="22"/>
        </w:rPr>
        <w:t>Small and medium-sized enterprises may face short-term liquidity stress when receipts and obligations arrive at different times, while owners lack a structured way to compare possible responses. StratifyAI is a local-first decision-support prototype that combines a deterministic weekly cash-flow forecast, seeded uncertainty simulation, a rule-based Liquidity Decision Lab, illustrative financing schedules, financial-analysis indicators, and an evidence-grounded copilot. Its architecture separates recorded ACTUAL data, computed FORECAST results, unapproved HYPOTHETICAL scenarios, and owner-approved CONFIRMED assumptions. Financial values are computed by deterministic Python services; the optional language model explains a masked evidence pack and cannot execute actions. The prototype uses five synthetic business cases and enforces backend role checks, bounded upload validation, numeric and citation validation, a hash-linked local audit log, and owner-mediated simulated actions. The latest integrated quality record reports 205 passing tests; separately timestamped T15 artifacts report 13 of 13 scripted workflows and 60 of 60 role-action decisions passing. These results establish implementation checks, not real-world effectiveness. In the five synthetic holdouts, the forecast produced higher MAE than a naïve last-four-week baseline in every case, and only one of five selected plans maintained the reserve. StratifyAI is therefore presented as an inspectable prototype, not a validated forecasting model, loan-approval tool, or source of financial advice.</w:t>
      </w:r>
    </w:p>
    <w:p>
      <w:pPr>
        <w:spacing w:after="100" w:line="269" w:lineRule="auto"/>
      </w:pPr>
      <w:r>
        <w:rPr>
          <w:rFonts w:ascii="Times New Roman" w:hAnsi="Times New Roman" w:eastAsia="Times New Roman"/>
          <w:i/>
          <w:color w:val="596963"/>
          <w:sz w:val="22"/>
        </w:rPr>
        <w:t>Keywords: SME finance; cash-flow forecasting; liquidity risk; decision support; human-in-the-loop; grounded language models; application security</w:t>
      </w:r>
    </w:p>
    <w:p>
      <w:pPr>
        <w:spacing w:after="100" w:line="269" w:lineRule="auto"/>
      </w:pPr>
      <w:r>
        <w:rPr>
          <w:rFonts w:ascii="Times New Roman" w:hAnsi="Times New Roman" w:eastAsia="Times New Roman"/>
          <w:b/>
          <w:sz w:val="22"/>
        </w:rPr>
        <w:t>Evidence note.</w:t>
      </w:r>
      <w:r>
        <w:rPr>
          <w:rFonts w:ascii="Times New Roman" w:hAnsi="Times New Roman" w:eastAsia="Times New Roman"/>
          <w:sz w:val="22"/>
        </w:rPr>
        <w:t xml:space="preserve"> The full-suite count (205) is the latest result recorded in docs/PROGRESS.md after UI-regression fixes. The detailed evaluation bundle dated 18 October 2026 records 197 passing tests for the earlier T15 build, alongside its workflow and authorization suites. These counts refer to different recorded runs and are not presented as one evaluation event.</w:t>
      </w:r>
    </w:p>
    <w:p>
      <w:pPr>
        <w:pStyle w:val="Heading1"/>
        <w:keepNext/>
      </w:pPr>
      <w:r>
        <w:rPr>
          <w:rFonts w:ascii="Times New Roman" w:hAnsi="Times New Roman" w:eastAsia="Times New Roman"/>
        </w:rPr>
        <w:t>Contents</w:t>
      </w:r>
    </w:p>
    <w:p>
      <w:pPr>
        <w:spacing w:after="40"/>
      </w:pPr>
      <w:r>
        <w:rPr>
          <w:rFonts w:ascii="Times New Roman" w:hAnsi="Times New Roman" w:eastAsia="Times New Roman"/>
          <w:sz w:val="22"/>
        </w:rPr>
        <w:t>1. Introduction and motivation</w:t>
      </w:r>
    </w:p>
    <w:p>
      <w:pPr>
        <w:spacing w:after="120" w:line="269" w:lineRule="auto"/>
      </w:pPr>
      <w:r>
        <w:rPr>
          <w:rFonts w:ascii="Times New Roman" w:hAnsi="Times New Roman" w:eastAsia="Times New Roman"/>
          <w:i w:val="0"/>
          <w:sz w:val="22"/>
        </w:rPr>
        <w:t>Table 1 distils the product brief into observable system behavior. Each owner question has a calculation path and an explicit boundary; the application presents evidence and trade-offs rather than promising an outcome.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Owner question</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Mechanism in StratifyAI</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What the output can and cannot say</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When and why may cash fall short?</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Weekly forecast; open invoice/bill timing; reserve alert</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Shows modeled weeks and inputs; not a guarantee that dates or balances are correct</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How much funding might be needed?</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Reserve gap from minimum projected closing balance</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Modelled amount under selected assumptions; not a credit offer</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Can a gap be reduced without borrowing?</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L1 collections, L2 rescheduling, L3 discretionary expense what-ifs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Hypothetical only until owner/counterparties confirm</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Which financing options are worth comparing?</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Four editable template schedules and costs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Illustrative calculations; no lender product or eligibility determination</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What if sales/cost/payment timing changes?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Stress inputs and seeded simulation</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Scenario sensitivity under explicit parameters; not calibrated prediction</w:t>
            </w:r>
          </w:p>
        </w:tc>
      </w:tr>
    </w:tbl>
    <w:p>
      <w:pPr>
        <w:keepNext w:val="0"/>
        <w:spacing w:after="160"/>
        <w:jc w:val="center"/>
      </w:pPr>
      <w:r>
        <w:rPr>
          <w:rFonts w:ascii="Times New Roman" w:hAnsi="Times New Roman" w:eastAsia="Times New Roman"/>
          <w:i/>
          <w:color w:val="596963"/>
          <w:sz w:val="22"/>
        </w:rPr>
        <w:t>Table 1. User questions, implemented mechanism, and decision boundary.</w:t>
      </w:r>
    </w:p>
    <w:p>
      <w:pPr>
        <w:spacing w:after="120" w:line="269" w:lineRule="auto"/>
      </w:pPr>
      <w:r>
        <w:rPr>
          <w:rFonts w:ascii="Times New Roman" w:hAnsi="Times New Roman" w:eastAsia="Times New Roman"/>
          <w:i w:val="0"/>
          <w:sz w:val="22"/>
        </w:rPr>
        <w:t>The flow in Table 1 is intentionally operational: a dashboard signal should be traceable to input records, a formula, an assumption, and a displayed caveat. This makes the user-facing answers reviewable even when the correct decision is “no available plan fully closes the gap.”</w:t>
      </w:r>
    </w:p>
    <w:p>
      <w:pPr>
        <w:spacing w:after="40"/>
      </w:pPr>
      <w:r>
        <w:rPr>
          <w:rFonts w:ascii="Times New Roman" w:hAnsi="Times New Roman" w:eastAsia="Times New Roman"/>
          <w:sz w:val="22"/>
        </w:rPr>
        <w:t>2. Related work</w:t>
      </w:r>
    </w:p>
    <w:p>
      <w:pPr>
        <w:spacing w:after="40"/>
      </w:pPr>
      <w:r>
        <w:rPr>
          <w:rFonts w:ascii="Times New Roman" w:hAnsi="Times New Roman" w:eastAsia="Times New Roman"/>
          <w:sz w:val="22"/>
        </w:rPr>
        <w:t>3. System overview and architecture</w:t>
      </w:r>
    </w:p>
    <w:p>
      <w:pPr>
        <w:spacing w:after="40"/>
      </w:pPr>
      <w:r>
        <w:rPr>
          <w:rFonts w:ascii="Times New Roman" w:hAnsi="Times New Roman" w:eastAsia="Times New Roman"/>
          <w:sz w:val="22"/>
        </w:rPr>
        <w:t>4. Synthetic data and validation</w:t>
      </w:r>
    </w:p>
    <w:p>
      <w:pPr>
        <w:spacing w:after="120" w:line="269" w:lineRule="auto"/>
      </w:pPr>
      <w:r>
        <w:rPr>
          <w:rFonts w:ascii="Times New Roman" w:hAnsi="Times New Roman" w:eastAsia="Times New Roman"/>
          <w:i w:val="0"/>
          <w:sz w:val="22"/>
        </w:rPr>
        <w:t>The fixed fixtures make the demos reproducible, not statistically representative. Each business folder contains 78 transaction rows spanning 39 weeks, 12 receivable records, 12 payable records, ten synthetic customer profiles, and six supplier profiles. Case profiles also carry currency, opening cash, import assumptions where relevant, and model parameters. The case generator uses deterministic per-case seeds; repeated generation is intended to reproduce the same fixture hashes.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Record family</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Typed fields / validation meaning</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Downstream use</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Transaction</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transaction_id, date, description, category, amount, direction, balance_after</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Actual weekly history; observed opening balance for forecast</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Receivable</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invoice_id, customer_id, issue_date, due_date, amount, paid_date, paid_amount</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Open amount, aging, expected collection and delay history</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Payable</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bill_id, supplier_id, issue_date, due_date, amount, paid_date, paid_amount, deferrable, discretionary, category</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Forecast due dates and eligible Lab transformations</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Business profile</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business_id, industry, BDT currency, opening_cash, customers, suppliers, optional import_scenario</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Synthetic identity and business-specific assumptions</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Assumptions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horizon, reserve, funding buffer, lever settings, variability, delay deviation, seed</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Editable model configuration; not source fact</w:t>
            </w:r>
          </w:p>
        </w:tc>
      </w:tr>
    </w:tbl>
    <w:p>
      <w:pPr>
        <w:keepNext w:val="0"/>
        <w:spacing w:after="160"/>
        <w:jc w:val="center"/>
      </w:pPr>
      <w:r>
        <w:rPr>
          <w:rFonts w:ascii="Times New Roman" w:hAnsi="Times New Roman" w:eastAsia="Times New Roman"/>
          <w:i/>
          <w:color w:val="596963"/>
          <w:sz w:val="22"/>
        </w:rPr>
        <w:t>Table 3. Synthetic input schema and how each record family enters the system.</w:t>
      </w:r>
    </w:p>
    <w:p>
      <w:pPr>
        <w:spacing w:after="120" w:line="269" w:lineRule="auto"/>
      </w:pPr>
      <w:r>
        <w:rPr>
          <w:rFonts w:ascii="Times New Roman" w:hAnsi="Times New Roman" w:eastAsia="Times New Roman"/>
          <w:i w:val="0"/>
          <w:sz w:val="22"/>
        </w:rPr>
        <w:t>Upload validation is a staged rejection/acceptance process. The file type and size are checked before parsing; inferred record type and column names are checked before row conversion; typed rows are then checked for date, amount, direction, duplicate and currency consistency. Formula-like cells are made inert and reported. Invalid rows are not silently dropped to create an apparently clean dataset. A valid upload establishes only schema compatibility, not truthfulness, completeness, or legal authority to use the data.</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Validation gate</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Project limit / rule</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User-visible consequence</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File</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CSV or XLSX; maximum 5 MiB</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Unsupported/oversized file is rejected before ingestion</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Rows and text</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Maximum 50,000 rows; text bounded to 500 characters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Oversized records are reported; no silent truncation as a valid dataset</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Schema</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Supported transaction, receivable, or payable headers; required fields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Row/column issues appear in validation report</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Values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Dates parse; amounts numeric and within schema constraints; transaction direction enumerated</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Invalid cells receive a validation error</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Integrity / safety</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Duplicate IDs and inconsistent currency are reported; formula prefixes are neutralized</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Upload is not executed as a spreadsheet formula or prompt instruction</w:t>
            </w:r>
          </w:p>
        </w:tc>
      </w:tr>
    </w:tbl>
    <w:p>
      <w:pPr>
        <w:keepNext w:val="0"/>
        <w:spacing w:after="160"/>
        <w:jc w:val="center"/>
      </w:pPr>
      <w:r>
        <w:rPr>
          <w:rFonts w:ascii="Times New Roman" w:hAnsi="Times New Roman" w:eastAsia="Times New Roman"/>
          <w:i/>
          <w:color w:val="596963"/>
          <w:sz w:val="22"/>
        </w:rPr>
        <w:t>Table 4. Upload validation gates and their meaning.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Demo fixture</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Expected check</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What it demonstrates</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sample_transactions_clean.csv</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Accepted if all rows meet transaction schema</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Positive upload path</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sample_transactions_invalid.csv</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Malformed date, nonnumeric/negative amount rejected with row/column issue</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Explicit validation failures</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sample_transactions_formula.csv</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Formula-like text prefixed/neutralized and warned</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Spreadsheet formula handling</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sample_transactions_prompt_injection.csv</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Ordinary description may validate but is excluded from Copilot evidence</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Untrusted text is data, not instruction</w:t>
            </w:r>
          </w:p>
        </w:tc>
      </w:tr>
    </w:tbl>
    <w:p>
      <w:pPr>
        <w:keepNext w:val="0"/>
        <w:spacing w:after="160"/>
        <w:jc w:val="center"/>
      </w:pPr>
      <w:r>
        <w:rPr>
          <w:rFonts w:ascii="Times New Roman" w:hAnsi="Times New Roman" w:eastAsia="Times New Roman"/>
          <w:i/>
          <w:color w:val="596963"/>
          <w:sz w:val="22"/>
        </w:rPr>
        <w:t>Table 5. README-linked demo fixtures and expected validation behavior.</w:t>
      </w:r>
    </w:p>
    <w:p>
      <w:pPr>
        <w:spacing w:after="120" w:line="269" w:lineRule="auto"/>
      </w:pPr>
      <w:r>
        <w:rPr>
          <w:rFonts w:ascii="Times New Roman" w:hAnsi="Times New Roman" w:eastAsia="Times New Roman"/>
          <w:i w:val="0"/>
          <w:sz w:val="22"/>
        </w:rPr>
        <w:t>The fixture suite therefore tests two separate questions: whether structured records can enter the model safely, and whether user-authored text can cross into an LLM evidence pack. A syntactically accepted description does not become trusted context.</w:t>
      </w:r>
    </w:p>
    <w:p>
      <w:pPr>
        <w:spacing w:after="40"/>
      </w:pPr>
      <w:r>
        <w:rPr>
          <w:rFonts w:ascii="Times New Roman" w:hAnsi="Times New Roman" w:eastAsia="Times New Roman"/>
          <w:sz w:val="22"/>
        </w:rPr>
        <w:t>5. Core algorithms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Business metric</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Calculation / availability condition</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Reason for unavailable state</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Income / expenses / net cash</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Historical inflow and outflow transactions grouped weekly/monthly</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No transaction history</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Receivable aging</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Open invoices at latest transaction date, grouped by days past due: 0–30, 31–60, 61–90, 90+</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No open invoice evidence</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DSO / DPO</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Ending open AR/AP divided by corresponding issued invoice/bill amounts over the history window, multiplied by window days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Matching denominator absent</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Gross margin</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Income less explicitly categorized COGS/Inventory cost</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No identifiable COGS category</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Burn / runway</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Positive average net outflow over up to 13 recorded weeks; latest cash divided by burn</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No net burn or insufficient transaction record</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Expense trend</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Category average weekly amount in latest four weeks vs preceding four; flag when increase exceeds 15%</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Insufficient comparable history</w:t>
            </w:r>
          </w:p>
        </w:tc>
      </w:tr>
    </w:tbl>
    <w:p>
      <w:pPr>
        <w:keepNext w:val="0"/>
        <w:spacing w:after="160"/>
        <w:jc w:val="center"/>
      </w:pPr>
      <w:r>
        <w:rPr>
          <w:rFonts w:ascii="Times New Roman" w:hAnsi="Times New Roman" w:eastAsia="Times New Roman"/>
          <w:i/>
          <w:color w:val="596963"/>
          <w:sz w:val="22"/>
        </w:rPr>
        <w:t>Table 9. Historical Analysis metrics and availability rules.</w:t>
      </w:r>
    </w:p>
    <w:p>
      <w:pPr>
        <w:spacing w:after="120" w:line="269" w:lineRule="auto"/>
      </w:pPr>
      <w:r>
        <w:rPr>
          <w:rFonts w:ascii="Times New Roman" w:hAnsi="Times New Roman" w:eastAsia="Times New Roman"/>
          <w:i w:val="0"/>
          <w:sz w:val="22"/>
        </w:rPr>
        <w:t>Analysis is a snapshot anchored to the latest transaction date, not a continuously reconciled accounting ledger. It avoids deriving ratios when their denominators are absent and exposes “not available” with a reason. The readiness score combines selected component values using available weights and renormalizes when a component is missing; its numeric scale is a navigation aid, not a probability of financing approval.</w:t>
      </w:r>
    </w:p>
    <w:p>
      <w:pPr>
        <w:spacing w:after="40"/>
      </w:pPr>
      <w:r>
        <w:rPr>
          <w:rFonts w:ascii="Times New Roman" w:hAnsi="Times New Roman" w:eastAsia="Times New Roman"/>
          <w:sz w:val="22"/>
        </w:rPr>
        <w:t>6. Copilot, agent actions and human control</w:t>
      </w:r>
    </w:p>
    <w:p>
      <w:pPr>
        <w:spacing w:after="40"/>
      </w:pPr>
      <w:r>
        <w:rPr>
          <w:rFonts w:ascii="Times New Roman" w:hAnsi="Times New Roman" w:eastAsia="Times New Roman"/>
          <w:sz w:val="22"/>
        </w:rPr>
        <w:t>7. Security design</w:t>
      </w:r>
    </w:p>
    <w:p>
      <w:pPr>
        <w:spacing w:after="40"/>
      </w:pPr>
      <w:r>
        <w:rPr>
          <w:rFonts w:ascii="Times New Roman" w:hAnsi="Times New Roman" w:eastAsia="Times New Roman"/>
          <w:sz w:val="22"/>
        </w:rPr>
        <w:t>8. Implementation and interface</w:t>
      </w:r>
    </w:p>
    <w:p>
      <w:pPr>
        <w:spacing w:after="120" w:line="269" w:lineRule="auto"/>
      </w:pPr>
      <w:r>
        <w:rPr>
          <w:rFonts w:ascii="Times New Roman" w:hAnsi="Times New Roman" w:eastAsia="Times New Roman"/>
          <w:i w:val="0"/>
          <w:sz w:val="22"/>
        </w:rPr>
        <w:t>The UI is organized around the end-to-end path described in the README: orient to business health, inspect cash timing, compare alternatives, examine financing and business quality, ask for a grounded explanation, then review an owner-controlled action and its audit trail. Figure 9 is the one existing public capture; it is not evidence of the signed-in case-specific workflows.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Page</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Primary user task</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Main computed evidence / interaction</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Overview</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Load synthetic business and orient to cash health</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Reserve/shortage status, KPIs, ACTUAL/FORECAST/P10–P90 chart, readiness and recent activity</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Cash Flow</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Inspect timing and near-term risk</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Weekly balance table/chart, reserve, first shortage, uncertainty band and adjustable assumptions</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Decision Lab</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Compare counterfactual responses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Option 0/A/B/C, separate L1/L2/L3, best-plan reason, risk and saved comparison</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Financing</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Review illustrative cost and repayment</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Editable template terms, monthly schedule, fee/cost, capacity indicator and caveats</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Analysis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Inspect past period and receivables/payables quality</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Aging, trend, DSO/DPO where computable, watchlist and missing-data reasons</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Copilot</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Ask a bounded question about computed evidence</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Answer, evidence used, receipt, offline/configured mode</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Approvals / Audit</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Review drafts and verify local chain</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Owner transition controls, timeline, filters, Verify chain</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Upload</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Import records and see row-level issues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Template download, preview, neutralization warning and validation report</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Security / Assumptions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Review controls and adjust model inputs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Role matrix, system status, per-case editable assumptions and reset</w:t>
            </w:r>
          </w:p>
        </w:tc>
      </w:tr>
    </w:tbl>
    <w:p>
      <w:pPr>
        <w:keepNext w:val="0"/>
        <w:spacing w:after="160"/>
        <w:jc w:val="center"/>
      </w:pPr>
      <w:r>
        <w:rPr>
          <w:rFonts w:ascii="Times New Roman" w:hAnsi="Times New Roman" w:eastAsia="Times New Roman"/>
          <w:i/>
          <w:color w:val="596963"/>
          <w:sz w:val="22"/>
        </w:rPr>
        <w:t>Table 13. Page-level workflow inventory based on README and current app/pages implementation.</w:t>
      </w:r>
    </w:p>
    <w:p>
      <w:pPr>
        <w:spacing w:after="120" w:line="269" w:lineRule="auto"/>
      </w:pPr>
      <w:r>
        <w:rPr>
          <w:rFonts w:ascii="Times New Roman" w:hAnsi="Times New Roman" w:eastAsia="Times New Roman"/>
          <w:i w:val="0"/>
          <w:sz w:val="22"/>
        </w:rPr>
        <w:t>For the figure placeholders, the requested capture composition is recorded directly beside each red box. Use the current signed-in app at a 1440-pixel viewport with a synthetic case, include the relevant labels and warning banner, and crop away browser chrome rather than cropping away context. A capture request is not counted as evidence until the file exists and has been visually checked.</w:t>
      </w:r>
    </w:p>
    <w:p>
      <w:pPr>
        <w:spacing w:after="40"/>
      </w:pPr>
      <w:r>
        <w:rPr>
          <w:rFonts w:ascii="Times New Roman" w:hAnsi="Times New Roman" w:eastAsia="Times New Roman"/>
          <w:sz w:val="22"/>
        </w:rPr>
        <w:t>9. Evaluation and evidence</w:t>
      </w:r>
    </w:p>
    <w:p>
      <w:pPr>
        <w:spacing w:after="40"/>
      </w:pPr>
      <w:r>
        <w:rPr>
          <w:rFonts w:ascii="Times New Roman" w:hAnsi="Times New Roman" w:eastAsia="Times New Roman"/>
          <w:sz w:val="22"/>
        </w:rPr>
        <w:t>10. Discussion, limitations and validity</w:t>
      </w:r>
    </w:p>
    <w:p>
      <w:pPr>
        <w:spacing w:after="40"/>
      </w:pPr>
      <w:r>
        <w:rPr>
          <w:rFonts w:ascii="Times New Roman" w:hAnsi="Times New Roman" w:eastAsia="Times New Roman"/>
          <w:sz w:val="22"/>
        </w:rPr>
        <w:t>11. Conclusion and future work</w:t>
      </w:r>
    </w:p>
    <w:p>
      <w:pPr>
        <w:spacing w:after="40"/>
      </w:pPr>
      <w:r>
        <w:rPr>
          <w:rFonts w:ascii="Times New Roman" w:hAnsi="Times New Roman" w:eastAsia="Times New Roman"/>
          <w:sz w:val="22"/>
        </w:rPr>
        <w:t>References</w:t>
      </w:r>
    </w:p>
    <w:p>
      <w:pPr>
        <w:spacing w:after="40"/>
      </w:pPr>
      <w:r>
        <w:rPr>
          <w:rFonts w:ascii="Times New Roman" w:hAnsi="Times New Roman" w:eastAsia="Times New Roman"/>
          <w:sz w:val="22"/>
        </w:rPr>
        <w:t>Appendices A–E</w:t>
      </w:r>
    </w:p>
    <w:p>
      <w:pPr>
        <w:spacing w:after="100" w:line="269" w:lineRule="auto"/>
      </w:pPr>
      <w:r>
        <w:rPr>
          <w:rFonts w:ascii="Times New Roman" w:hAnsi="Times New Roman" w:eastAsia="Times New Roman"/>
          <w:sz w:val="22"/>
        </w:rPr>
        <w:t>This map makes the principal report claims traceable to the implementation or evidence artifact. All quantitative statements are bounded by the synthetic prototype and the dated records identified below.</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Claim / deliverable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Report section</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Primary project evidence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Architecture and separation of responsibilities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§3</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docs/TECHNICAL_DOC.md; app/, services/, core/</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Cash forecast, uncertainty and decision rules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§5</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core/forecast.py; core/montecarlo.py; core/lab.py; docs/DECISIONS.md</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Authentication, permissions and audit controls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§7</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services/permissions.py; services/audit.py; docs/SECURITY_SELF_ASSESSMENT.md</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Human approval and simulated action flow</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§6</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services/agent_actions.py; tests/test_agent_actions.py</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Task workflow evaluation</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§9</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evidence/task_suite_results.md (13/13; 2026-10-18)</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Authorization and injection evaluation</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§7, §9</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evidence/security_eval.md (60 decisions; 10 masked-name cases; 2026-10-18)</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Forecast error and decision-quality outcomes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§9</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evidence/backtest_results.csv; evidence/backtest_results.md; evidence/decision_quality.json</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Current public UI capture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§8</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docs/img/overview.png (1440 px; public landing/shell capture)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Signed-in UI evidence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§8</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Capture instructions are marked in red; eight signed-in page captures are outstanding per docs/EXECUTION_EVIDENCE.md</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Latest full-suite quality record</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Abstract, §9</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docs/PROGRESS.md (205 passed; integrated QA record dated 2026-10-20)</w:t>
            </w:r>
          </w:p>
        </w:tc>
      </w:tr>
    </w:tbl>
    <w:p>
      <w:pPr>
        <w:spacing w:after="0"/>
      </w:pPr>
    </w:p>
    <w:p>
      <w:pPr>
        <w:pStyle w:val="Heading1"/>
        <w:keepNext/>
      </w:pPr>
      <w:r>
        <w:rPr>
          <w:rFonts w:ascii="Times New Roman" w:hAnsi="Times New Roman" w:eastAsia="Times New Roman"/>
        </w:rPr>
        <w:t>1. Introduction and motivation</w:t>
      </w:r>
    </w:p>
    <w:p>
      <w:pPr>
        <w:pStyle w:val="Heading2"/>
        <w:keepNext/>
      </w:pPr>
      <w:r>
        <w:rPr>
          <w:rFonts w:ascii="Times New Roman" w:hAnsi="Times New Roman" w:eastAsia="Times New Roman"/>
        </w:rPr>
        <w:t>1.1. Liquidity visibility for small businesses</w:t>
      </w:r>
    </w:p>
    <w:p>
      <w:pPr>
        <w:spacing w:after="100" w:line="269" w:lineRule="auto"/>
      </w:pPr>
      <w:r>
        <w:rPr>
          <w:rFonts w:ascii="Times New Roman" w:hAnsi="Times New Roman" w:eastAsia="Times New Roman"/>
          <w:sz w:val="22"/>
        </w:rPr>
        <w:t>A business can report sales and still experience a near-term cash shortfall when customer receipts are delayed, supplier bills fall due, or operating costs rise. The practical issue is temporal: which week is likely to breach a minimum reserve, what obligations drive the gap, and which plausible actions improve the path? Working-capital research shows that liquidity policy involves trade-offs rather than a universal rule to minimize current assets [1, 2]. Small firms also face financing frictions associated with firm size, age, and information availability [3]. StratifyAI turns these concerns into a transparent scenario workflow over structured synthetic records; it does not claim to remove financing frictions or predict actual lender decisions.</w:t>
      </w:r>
    </w:p>
    <w:p>
      <w:pPr>
        <w:pStyle w:val="Heading2"/>
        <w:keepNext/>
      </w:pPr>
      <w:r>
        <w:rPr>
          <w:rFonts w:ascii="Times New Roman" w:hAnsi="Times New Roman" w:eastAsia="Times New Roman"/>
        </w:rPr>
        <w:t>1.2. Scope and contributions</w:t>
      </w:r>
    </w:p>
    <w:p>
      <w:pPr>
        <w:spacing w:after="100" w:line="269" w:lineRule="auto"/>
      </w:pPr>
      <w:r>
        <w:rPr>
          <w:rFonts w:ascii="Times New Roman" w:hAnsi="Times New Roman" w:eastAsia="Times New Roman"/>
          <w:sz w:val="22"/>
        </w:rPr>
        <w:t>The contribution is an integrated, inspectable application design rather than a new statistical forecasting method. The project contributes: (1) explicit separation of actual, forecast, hypothetical, and owner-confirmed information; (2) a deterministic weekly cash engine paired with seeded scenario uncertainty; (3) a transparent liquidity comparison that models collection, deferral, expense-reduction, and financing options; (4) a read-only, evidence-grounded copilot separated from privileged action services; and (5) backend authorization, human approval, audit evidence, and candid synthetic evaluation. These are prototype engineering contributions. No causal effect, general forecast superiority, or production security assurance is claimed.</w:t>
      </w:r>
    </w:p>
    <w:p>
      <w:pPr>
        <w:pStyle w:val="Heading2"/>
        <w:keepNext/>
      </w:pPr>
      <w:r>
        <w:rPr>
          <w:rFonts w:ascii="Times New Roman" w:hAnsi="Times New Roman" w:eastAsia="Times New Roman"/>
        </w:rPr>
        <w:t>1.3. Topic E alignment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Topic E capability</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StratifyAI component</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Boundary / evidence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Cash-flow management and alerts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Weekly FORECAST, reserve breach and funding gap</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Deterministic rules; five synthetic cases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Financing-option comparison</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Four editable illustrative templates and repayment schedules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 lender connection, approval or application</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Business financial analysis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Historical summaries, aging, DSO/DPO availability, readiness and watchlist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Indicators are explainable heuristics, not credit scores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Finance copilot</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Offline-by-default answers over computed evidence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Optional endpoint; answer validator; read-only</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Secure task interaction</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RBAC, draft/approval workflow, audit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Execution is local simulation; money movement denied</w:t>
            </w:r>
          </w:p>
        </w:tc>
      </w:tr>
    </w:tbl>
    <w:p>
      <w:pPr>
        <w:spacing w:after="0"/>
      </w:pPr>
    </w:p>
    <w:p>
      <w:pPr>
        <w:spacing w:after="100" w:line="269" w:lineRule="auto"/>
      </w:pPr>
      <w:r>
        <w:rPr>
          <w:rFonts w:ascii="Times New Roman" w:hAnsi="Times New Roman" w:eastAsia="Times New Roman"/>
          <w:sz w:val="22"/>
        </w:rPr>
        <w:t>This capability mapping operationalizes the competition brief’s Topic E scope for cash-flow management, financing-option comparison, and business analysis [13].</w:t>
      </w:r>
    </w:p>
    <w:p>
      <w:pPr>
        <w:pStyle w:val="Heading2"/>
        <w:keepNext/>
      </w:pPr>
      <w:r>
        <w:rPr>
          <w:rFonts w:ascii="Times New Roman" w:hAnsi="Times New Roman" w:eastAsia="Times New Roman"/>
        </w:rPr>
        <w:t>1.4. Research questions</w:t>
      </w:r>
    </w:p>
    <w:p>
      <w:pPr>
        <w:spacing w:after="100" w:line="269" w:lineRule="auto"/>
      </w:pPr>
      <w:r>
        <w:rPr>
          <w:rFonts w:ascii="Times New Roman" w:hAnsi="Times New Roman" w:eastAsia="Times New Roman"/>
          <w:sz w:val="22"/>
        </w:rPr>
        <w:t>RQ1: How can near-term liquidity status and counterfactual action options be shown with explicit provenance and assumptions? RQ2: How can natural-language explanation be constrained to deterministic financial evidence and separated from action authority? RQ3: What do the prototype’s synthetic tests reveal about task completion, security checks, forecast errors, and reserve feasibility? These questions are addressed as a system evaluation, not as field or causal research.</w:t>
      </w:r>
    </w:p>
    <w:p>
      <w:pPr>
        <w:pStyle w:val="Heading1"/>
        <w:keepNext/>
      </w:pPr>
      <w:r>
        <w:rPr>
          <w:rFonts w:ascii="Times New Roman" w:hAnsi="Times New Roman" w:eastAsia="Times New Roman"/>
        </w:rPr>
        <w:t>2. Related work</w:t>
      </w:r>
    </w:p>
    <w:p>
      <w:pPr>
        <w:spacing w:after="100" w:line="269" w:lineRule="auto"/>
      </w:pPr>
      <w:r>
        <w:rPr>
          <w:rFonts w:ascii="Times New Roman" w:hAnsi="Times New Roman" w:eastAsia="Times New Roman"/>
          <w:sz w:val="22"/>
        </w:rPr>
        <w:t>Working-capital scholarship motivates the focus on timing and operational trade-offs. Deloof’s firm-level analysis links working-capital measures with profitability, while Baños-Caballero, García-Teruel, and Martínez-Solano report a non-monotonic relationship for Spanish SMEs, consistent with firm-specific rather than one-directional policies [1, 2]. Berger and Udell describe how small-firm financing sources change over a financial growth cycle, emphasizing the importance of firm characteristics and information in financing access [3]. Beaver’s foundational failure-prediction study shows the historical role of financial ratios in distress analysis, but a ratio-based population model differs materially from this project’s short-horizon cash ledger [4].</w:t>
      </w:r>
    </w:p>
    <w:p>
      <w:pPr>
        <w:spacing w:after="100" w:line="269" w:lineRule="auto"/>
      </w:pPr>
      <w:r>
        <w:rPr>
          <w:rFonts w:ascii="Times New Roman" w:hAnsi="Times New Roman" w:eastAsia="Times New Roman"/>
          <w:sz w:val="22"/>
        </w:rPr>
        <w:t>Research on retrieval-augmented generation demonstrates how an external evidence source can support knowledge-intensive generation and provenance [5]. Self-RAG explores adaptive retrieval and self-critique to improve factuality and citation behavior [6]. StratifyAI adopts the narrower engineering principle of grounding answers in a bounded, recomputed evidence pack and validating cited IDs and numerical literals. It does not implement a general retrieval index, train a model, or claim the research performance reported in those papers.</w:t>
      </w:r>
    </w:p>
    <w:p>
      <w:pPr>
        <w:spacing w:after="100" w:line="269" w:lineRule="auto"/>
      </w:pPr>
      <w:r>
        <w:rPr>
          <w:rFonts w:ascii="Times New Roman" w:hAnsi="Times New Roman" w:eastAsia="Times New Roman"/>
          <w:sz w:val="22"/>
        </w:rPr>
        <w:t>For application security, OWASP’s 2025 LLM risk taxonomy identifies prompt injection, sensitive-information disclosure, excessive agency, misinformation, and unbounded consumption among relevant risk classes [7]. NIST’s AI Risk Management Framework and Generative AI Profile provide broader voluntary risk-management guidance [8, 9]. StratifyAI maps selected controls to these concepts in its self-assessment; this mapping is an internal design exercise, not certification. The project uses Streamlit for interactive Python UI and Plotly for chart rendering [10, 11].</w:t>
      </w:r>
    </w:p>
    <w:p>
      <w:pPr>
        <w:spacing w:after="100" w:line="269" w:lineRule="auto"/>
      </w:pPr>
      <w:r>
        <w:rPr>
          <w:rFonts w:ascii="Times New Roman" w:hAnsi="Times New Roman" w:eastAsia="Times New Roman"/>
          <w:sz w:val="22"/>
        </w:rPr>
        <w:t>Positioning gap. Many cited streams study either SME working capital/credit risk or language-model grounding and security. StratifyAI’s system-level focus is the integration boundary: deterministic financial computation, explicit uncertainty and scenario labels, constrained natural-language explanation, and owner-controlled action simulation. The present evaluation is too small and synthetic to establish operational benefit or forecast validity.</w:t>
      </w:r>
    </w:p>
    <w:p>
      <w:pPr>
        <w:pStyle w:val="Heading1"/>
        <w:keepNext/>
      </w:pPr>
      <w:r>
        <w:rPr>
          <w:rFonts w:ascii="Times New Roman" w:hAnsi="Times New Roman" w:eastAsia="Times New Roman"/>
        </w:rPr>
        <w:t>3. System overview and architecture</w:t>
      </w:r>
    </w:p>
    <w:p>
      <w:pPr>
        <w:pStyle w:val="Heading2"/>
        <w:keepNext/>
      </w:pPr>
      <w:r>
        <w:rPr>
          <w:rFonts w:ascii="Times New Roman" w:hAnsi="Times New Roman" w:eastAsia="Times New Roman"/>
        </w:rPr>
        <w:t>3.1. Layered design</w:t>
      </w:r>
    </w:p>
    <w:p>
      <w:pPr>
        <w:spacing w:after="100" w:line="269" w:lineRule="auto"/>
      </w:pPr>
      <w:r>
        <w:rPr>
          <w:rFonts w:ascii="Times New Roman" w:hAnsi="Times New Roman" w:eastAsia="Times New Roman"/>
          <w:sz w:val="22"/>
        </w:rPr>
        <w:t>The application is organized into three code layers. core/ contains typed data structures and pure deterministic calculations; it does not import Streamlit. services/ contains authentication, permission enforcement, upload validation, approval/action transitions, copilot evidence construction, and audit persistence. app/ contains the Streamlit shell, pages, shared components, styling, and chart presentation. Synthetic case data is stored under data/; evaluation artifacts are under evidence/.</w:t>
      </w:r>
    </w:p>
    <w:p>
      <w:r>
        <w:rPr>
          <w:rFonts w:ascii="Times New Roman" w:hAnsi="Times New Roman" w:eastAsia="Times New Roman"/>
        </w:rPr>
        <w:drawing>
          <wp:inline xmlns:a="http://schemas.openxmlformats.org/drawingml/2006/main" xmlns:pic="http://schemas.openxmlformats.org/drawingml/2006/picture">
            <wp:extent cx="5806440" cy="2941930"/>
            <wp:docPr id="1" name="Picture 1"/>
            <wp:cNvGraphicFramePr>
              <a:graphicFrameLocks noChangeAspect="1"/>
            </wp:cNvGraphicFramePr>
            <a:graphic>
              <a:graphicData uri="http://schemas.openxmlformats.org/drawingml/2006/picture">
                <pic:pic>
                  <pic:nvPicPr>
                    <pic:cNvPr id="0" name="_td_arch.png"/>
                    <pic:cNvPicPr/>
                  </pic:nvPicPr>
                  <pic:blipFill>
                    <a:blip r:embed="rId11"/>
                    <a:stretch>
                      <a:fillRect/>
                    </a:stretch>
                  </pic:blipFill>
                  <pic:spPr>
                    <a:xfrm>
                      <a:off x="0" y="0"/>
                      <a:ext cx="5806440" cy="2941930"/>
                    </a:xfrm>
                    <a:prstGeom prst="rect"/>
                  </pic:spPr>
                </pic:pic>
              </a:graphicData>
            </a:graphic>
          </wp:inline>
        </w:drawing>
      </w:r>
    </w:p>
    <w:p>
      <w:pPr>
        <w:spacing w:after="160"/>
        <w:jc w:val="center"/>
      </w:pPr>
      <w:r>
        <w:rPr>
          <w:rFonts w:ascii="Times New Roman" w:hAnsi="Times New Roman" w:eastAsia="Times New Roman"/>
          <w:i/>
          <w:color w:val="596963"/>
          <w:sz w:val="22"/>
        </w:rPr>
        <w:t>Figure 1. Layered system architecture and evidence flow. Financial computation is kept in the deterministic core; mutations and authorization are mediated by services.</w:t>
      </w:r>
    </w:p>
    <w:p>
      <w:pPr>
        <w:spacing w:after="100" w:line="269" w:lineRule="auto"/>
      </w:pPr>
      <w:r>
        <w:rPr>
          <w:rFonts w:ascii="Times New Roman" w:hAnsi="Times New Roman" w:eastAsia="Times New Roman"/>
          <w:sz w:val="22"/>
        </w:rPr>
        <w:t>The UI calls service functions for protected reads and state changes. Services resolve the authenticated principal and authorize actions before invoking core calculations or persistence. Financial outputs and their provenance are returned to the UI for rendering. The optional LLM path is isolated to copilot explanation: offline deterministic responses are the default, while configured mode receives the user question and a masked evidence pack. It has no action tools.</w:t>
      </w:r>
    </w:p>
    <w:p>
      <w:pPr>
        <w:spacing w:after="120" w:line="269" w:lineRule="auto"/>
      </w:pPr>
      <w:r>
        <w:rPr>
          <w:rFonts w:ascii="Times New Roman" w:hAnsi="Times New Roman" w:eastAsia="Times New Roman"/>
          <w:i w:val="0"/>
          <w:sz w:val="22"/>
        </w:rPr>
        <w:t>Figure 2 shows the system context: operators and uploaded files are external inputs, StratifyAI is a local application boundary, and an LLM endpoint is optional. Only masked question/evidence data crosses the optional provider boundary. Draft state, audit records, and simulation logs remain local. The design has no money-movement data flow.</w:t>
      </w:r>
    </w:p>
    <w:p>
      <w:pPr>
        <w:keepNext/>
        <w:jc w:val="center"/>
      </w:pPr>
      <w:r>
        <w:rPr>
          <w:rFonts w:ascii="Times New Roman" w:hAnsi="Times New Roman" w:eastAsia="Times New Roman"/>
        </w:rPr>
        <w:drawing>
          <wp:inline xmlns:a="http://schemas.openxmlformats.org/drawingml/2006/main" xmlns:pic="http://schemas.openxmlformats.org/drawingml/2006/picture">
            <wp:extent cx="5806440" cy="3403775"/>
            <wp:docPr id="6" name="Picture 6"/>
            <wp:cNvGraphicFramePr>
              <a:graphicFrameLocks noChangeAspect="1"/>
            </wp:cNvGraphicFramePr>
            <a:graphic>
              <a:graphicData uri="http://schemas.openxmlformats.org/drawingml/2006/picture">
                <pic:pic>
                  <pic:nvPicPr>
                    <pic:cNvPr id="0" name="_rev_context_dfd.png"/>
                    <pic:cNvPicPr/>
                  </pic:nvPicPr>
                  <pic:blipFill>
                    <a:blip r:embed="rId16"/>
                    <a:stretch>
                      <a:fillRect/>
                    </a:stretch>
                  </pic:blipFill>
                  <pic:spPr>
                    <a:xfrm>
                      <a:off x="0" y="0"/>
                      <a:ext cx="5806440" cy="3403775"/>
                    </a:xfrm>
                    <a:prstGeom prst="rect"/>
                  </pic:spPr>
                </pic:pic>
              </a:graphicData>
            </a:graphic>
          </wp:inline>
        </w:drawing>
      </w:r>
    </w:p>
    <w:p>
      <w:pPr>
        <w:keepNext w:val="0"/>
        <w:spacing w:after="160"/>
        <w:jc w:val="center"/>
      </w:pPr>
      <w:r>
        <w:rPr>
          <w:rFonts w:ascii="Times New Roman" w:hAnsi="Times New Roman" w:eastAsia="Times New Roman"/>
          <w:i/>
          <w:color w:val="596963"/>
          <w:sz w:val="22"/>
        </w:rPr>
        <w:t>Figure 2. Context-level DFD (Level 0). Arrows indicate application data exchanges; the outer application boundary separates local state from the optional provider.</w:t>
      </w:r>
    </w:p>
    <w:p>
      <w:pPr>
        <w:spacing w:after="120" w:line="269" w:lineRule="auto"/>
      </w:pPr>
      <w:r>
        <w:rPr>
          <w:rFonts w:ascii="Times New Roman" w:hAnsi="Times New Roman" w:eastAsia="Times New Roman"/>
          <w:i w:val="0"/>
          <w:sz w:val="22"/>
        </w:rPr>
        <w:t>The Level 1 DFD in Figure 3 decomposes the internal path. File parsing and validation precede typed case construction; core analytics calculate the baseline; the Lab transforms copies for what-if comparisons; the Copilot consumes masked computed evidence; and privileged state transitions pass through service authorization before persistence. The return path into the UI includes evidence IDs and validation status so an explanation can be inspected rather than accepted as an opaque answer.</w:t>
      </w:r>
    </w:p>
    <w:p>
      <w:pPr>
        <w:keepNext/>
        <w:jc w:val="center"/>
      </w:pPr>
      <w:r>
        <w:rPr>
          <w:rFonts w:ascii="Times New Roman" w:hAnsi="Times New Roman" w:eastAsia="Times New Roman"/>
        </w:rPr>
        <w:drawing>
          <wp:inline xmlns:a="http://schemas.openxmlformats.org/drawingml/2006/main" xmlns:pic="http://schemas.openxmlformats.org/drawingml/2006/picture">
            <wp:extent cx="5806440" cy="2622263"/>
            <wp:docPr id="7" name="Picture 7"/>
            <wp:cNvGraphicFramePr>
              <a:graphicFrameLocks noChangeAspect="1"/>
            </wp:cNvGraphicFramePr>
            <a:graphic>
              <a:graphicData uri="http://schemas.openxmlformats.org/drawingml/2006/picture">
                <pic:pic>
                  <pic:nvPicPr>
                    <pic:cNvPr id="0" name="_rev_level1_dfd.png"/>
                    <pic:cNvPicPr/>
                  </pic:nvPicPr>
                  <pic:blipFill>
                    <a:blip r:embed="rId17"/>
                    <a:stretch>
                      <a:fillRect/>
                    </a:stretch>
                  </pic:blipFill>
                  <pic:spPr>
                    <a:xfrm>
                      <a:off x="0" y="0"/>
                      <a:ext cx="5806440" cy="2622263"/>
                    </a:xfrm>
                    <a:prstGeom prst="rect"/>
                  </pic:spPr>
                </pic:pic>
              </a:graphicData>
            </a:graphic>
          </wp:inline>
        </w:drawing>
      </w:r>
    </w:p>
    <w:p>
      <w:pPr>
        <w:keepNext w:val="0"/>
        <w:spacing w:after="160"/>
        <w:jc w:val="center"/>
      </w:pPr>
      <w:r>
        <w:rPr>
          <w:rFonts w:ascii="Times New Roman" w:hAnsi="Times New Roman" w:eastAsia="Times New Roman"/>
          <w:i/>
          <w:color w:val="596963"/>
          <w:sz w:val="22"/>
        </w:rPr>
        <w:t>Figure 3. Level-1 DFD. P denotes a process and D a local data store; arrows show validated records, computed evidence, or audited state transitions.</w:t>
      </w:r>
    </w:p>
    <w:p>
      <w:pPr>
        <w:spacing w:after="120" w:line="269" w:lineRule="auto"/>
      </w:pPr>
      <w:r>
        <w:rPr>
          <w:rFonts w:ascii="Times New Roman" w:hAnsi="Times New Roman" w:eastAsia="Times New Roman"/>
          <w:i w:val="0"/>
          <w:sz w:val="22"/>
        </w:rPr>
        <w:t>The four semantic labels in Figure 4 express provenance. A scenario does not overwrite historical ACTUAL records. A CONFIRMED flag records the owner’s decision about an assumption, but remains an assertion rather than independent evidence. Keeping these paths separate is necessary when charts, plan tables, answer receipts, and audit events are compared.</w:t>
      </w:r>
    </w:p>
    <w:p>
      <w:pPr>
        <w:keepNext/>
        <w:jc w:val="center"/>
      </w:pPr>
      <w:r>
        <w:rPr>
          <w:rFonts w:ascii="Times New Roman" w:hAnsi="Times New Roman" w:eastAsia="Times New Roman"/>
        </w:rPr>
        <w:drawing>
          <wp:inline xmlns:a="http://schemas.openxmlformats.org/drawingml/2006/main" xmlns:pic="http://schemas.openxmlformats.org/drawingml/2006/picture">
            <wp:extent cx="5806440" cy="2504027"/>
            <wp:docPr id="8" name="Picture 8"/>
            <wp:cNvGraphicFramePr>
              <a:graphicFrameLocks noChangeAspect="1"/>
            </wp:cNvGraphicFramePr>
            <a:graphic>
              <a:graphicData uri="http://schemas.openxmlformats.org/drawingml/2006/picture">
                <pic:pic>
                  <pic:nvPicPr>
                    <pic:cNvPr id="0" name="_rev_layer_lifecycle.png"/>
                    <pic:cNvPicPr/>
                  </pic:nvPicPr>
                  <pic:blipFill>
                    <a:blip r:embed="rId18"/>
                    <a:stretch>
                      <a:fillRect/>
                    </a:stretch>
                  </pic:blipFill>
                  <pic:spPr>
                    <a:xfrm>
                      <a:off x="0" y="0"/>
                      <a:ext cx="5806440" cy="2504027"/>
                    </a:xfrm>
                    <a:prstGeom prst="rect"/>
                  </pic:spPr>
                </pic:pic>
              </a:graphicData>
            </a:graphic>
          </wp:inline>
        </w:drawing>
      </w:r>
    </w:p>
    <w:p>
      <w:pPr>
        <w:keepNext w:val="0"/>
        <w:spacing w:after="160"/>
        <w:jc w:val="center"/>
      </w:pPr>
      <w:r>
        <w:rPr>
          <w:rFonts w:ascii="Times New Roman" w:hAnsi="Times New Roman" w:eastAsia="Times New Roman"/>
          <w:i/>
          <w:color w:val="596963"/>
          <w:sz w:val="22"/>
        </w:rPr>
        <w:t>Figure 4. Semantic data-layer lifecycle. Confirmation changes an assumption’s review state; it does not turn a forecast into observed fact.</w:t>
      </w:r>
    </w:p>
    <w:p>
      <w:pPr>
        <w:pStyle w:val="Heading2"/>
        <w:keepNext/>
      </w:pPr>
      <w:r>
        <w:rPr>
          <w:rFonts w:ascii="Times New Roman" w:hAnsi="Times New Roman" w:eastAsia="Times New Roman"/>
        </w:rPr>
        <w:t>3.2. Four semantic data layers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Layer</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Meaning</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Example</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Control / interpretation</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ACTUAL</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Recorded historical records supplied by the synthetic case or validated upload</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Past transactions and balances</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Source records; not independently audited</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FORECAST</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Deterministic output calculated from actuals and explicit assumptions</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Projected weekly closing cash</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Computed, model-dependent estimate</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HYPOTHETICAL</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Unapproved what-if changes</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Earlier collection, supplier deferral, cost reduction, financing</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Never treat as agreed or committed</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CONFIRMED</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 hypothetical assumption explicitly approved by the owner</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Owner accepts a scenario proposal</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Owner assertion only; not external verification</w:t>
            </w:r>
          </w:p>
        </w:tc>
      </w:tr>
    </w:tbl>
    <w:p>
      <w:pPr>
        <w:spacing w:after="0"/>
      </w:pPr>
    </w:p>
    <w:p>
      <w:pPr>
        <w:spacing w:after="100" w:line="269" w:lineRule="auto"/>
      </w:pPr>
      <w:r>
        <w:rPr>
          <w:rFonts w:ascii="Times New Roman" w:hAnsi="Times New Roman" w:eastAsia="Times New Roman"/>
          <w:sz w:val="22"/>
        </w:rPr>
        <w:t>These labels are semantic state, not statistical confidence levels. A CONFIRMED assumption records human approval; it does not assert that a customer will pay, a supplier will consent, or a lender will approve financing.</w:t>
      </w:r>
    </w:p>
    <w:p>
      <w:pPr>
        <w:spacing w:after="120" w:line="269" w:lineRule="auto"/>
      </w:pPr>
      <w:r>
        <w:rPr>
          <w:rFonts w:ascii="Times New Roman" w:hAnsi="Times New Roman" w:eastAsia="Times New Roman"/>
          <w:i w:val="0"/>
          <w:sz w:val="22"/>
        </w:rPr>
        <w:t>A typical request begins with a signed-in role and selected business/scenario context. The UI passes the session identity and requested action to a service function; the service resolves the principal from trusted server-side state and checks the action registry. Read-only calculations are returned for display, while uploads, drafts, approval decisions, and scenario changes are separately authorized and audited. The core remains a calculation library: it does not decide permissions or render pages.</w:t>
      </w:r>
    </w:p>
    <w:p>
      <w:pPr>
        <w:spacing w:after="120" w:line="269" w:lineRule="auto"/>
      </w:pPr>
      <w:r>
        <w:rPr>
          <w:rFonts w:ascii="Times New Roman" w:hAnsi="Times New Roman" w:eastAsia="Times New Roman"/>
          <w:i w:val="0"/>
          <w:sz w:val="22"/>
        </w:rPr>
        <w:t>This separation makes the service layer the security boundary. Hiding a button in Streamlit improves usability but is not authorization. The same backend permission check must reject a direct or forged UI request. Pure parsers and calculation helpers operate on validated objects and do not write protected state.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Layer</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Owns</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Must not be treated as</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app/</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Navigation, widgets, visualizations, page-level context and status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 security enforcement boundary</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services/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Authentication, permission checks, validation, workflow transitions, audit and Copilot orchestration</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 substitute for deterministic financial calculation</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core/</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Typed domain records and financial calculations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 UI module or source of lender decisions</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data/ and evidence/</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Synthetic input fixtures and recorded evaluation artifacts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Real SME records or independently verified facts</w:t>
            </w:r>
          </w:p>
        </w:tc>
      </w:tr>
    </w:tbl>
    <w:p>
      <w:pPr>
        <w:keepNext w:val="0"/>
        <w:spacing w:after="160"/>
        <w:jc w:val="center"/>
      </w:pPr>
      <w:r>
        <w:rPr>
          <w:rFonts w:ascii="Times New Roman" w:hAnsi="Times New Roman" w:eastAsia="Times New Roman"/>
          <w:i/>
          <w:color w:val="596963"/>
          <w:sz w:val="22"/>
        </w:rPr>
        <w:t>Table 2. Code-layer responsibilities and trust boundaries.</w:t>
      </w:r>
    </w:p>
    <w:p>
      <w:pPr>
        <w:pStyle w:val="Heading2"/>
        <w:keepNext/>
      </w:pPr>
      <w:r>
        <w:rPr>
          <w:rFonts w:ascii="Times New Roman" w:hAnsi="Times New Roman" w:eastAsia="Times New Roman"/>
        </w:rPr>
        <w:t>3.3. Processing flow</w:t>
      </w:r>
    </w:p>
    <w:p>
      <w:pPr>
        <w:pStyle w:val="ListNumber"/>
        <w:spacing w:after="40"/>
      </w:pPr>
      <w:r>
        <w:rPr>
          <w:rFonts w:ascii="Times New Roman" w:hAnsi="Times New Roman" w:eastAsia="Times New Roman"/>
          <w:sz w:val="22"/>
        </w:rPr>
        <w:t>1. Load a labelled synthetic case or parse an uploaded CSV/XLSX file.</w:t>
      </w:r>
    </w:p>
    <w:p>
      <w:pPr>
        <w:pStyle w:val="ListNumber"/>
        <w:spacing w:after="40"/>
      </w:pPr>
      <w:r>
        <w:rPr>
          <w:rFonts w:ascii="Times New Roman" w:hAnsi="Times New Roman" w:eastAsia="Times New Roman"/>
          <w:sz w:val="22"/>
        </w:rPr>
        <w:t>2. Validate size, schema, required fields, data types, dates, values, duplicates, currency, text length, and formula-like cells.</w:t>
      </w:r>
    </w:p>
    <w:p>
      <w:pPr>
        <w:pStyle w:val="ListNumber"/>
        <w:spacing w:after="40"/>
      </w:pPr>
      <w:r>
        <w:rPr>
          <w:rFonts w:ascii="Times New Roman" w:hAnsi="Times New Roman" w:eastAsia="Times New Roman"/>
          <w:sz w:val="22"/>
        </w:rPr>
        <w:t>3. Map valid records into typed case models and compute actual summaries.</w:t>
      </w:r>
    </w:p>
    <w:p>
      <w:pPr>
        <w:pStyle w:val="ListNumber"/>
        <w:spacing w:after="40"/>
      </w:pPr>
      <w:r>
        <w:rPr>
          <w:rFonts w:ascii="Times New Roman" w:hAnsi="Times New Roman" w:eastAsia="Times New Roman"/>
          <w:sz w:val="22"/>
        </w:rPr>
        <w:t>4. Produce deterministic forecasts, financial-analysis metrics, readiness components, and receivables watchlist records.</w:t>
      </w:r>
    </w:p>
    <w:p>
      <w:pPr>
        <w:pStyle w:val="ListNumber"/>
        <w:spacing w:after="40"/>
      </w:pPr>
      <w:r>
        <w:rPr>
          <w:rFonts w:ascii="Times New Roman" w:hAnsi="Times New Roman" w:eastAsia="Times New Roman"/>
          <w:sz w:val="22"/>
        </w:rPr>
        <w:t>5. Run scenario changes only on copied cash-flow series; preserve original case inputs.</w:t>
      </w:r>
    </w:p>
    <w:p>
      <w:pPr>
        <w:pStyle w:val="ListNumber"/>
        <w:spacing w:after="40"/>
      </w:pPr>
      <w:r>
        <w:rPr>
          <w:rFonts w:ascii="Times New Roman" w:hAnsi="Times New Roman" w:eastAsia="Times New Roman"/>
          <w:sz w:val="22"/>
        </w:rPr>
        <w:t>6. Build a masked copilot evidence pack from computed results; validate candidate answer citations and numbers.</w:t>
      </w:r>
    </w:p>
    <w:p>
      <w:pPr>
        <w:pStyle w:val="ListNumber"/>
        <w:spacing w:after="40"/>
      </w:pPr>
      <w:r>
        <w:rPr>
          <w:rFonts w:ascii="Times New Roman" w:hAnsi="Times New Roman" w:eastAsia="Times New Roman"/>
          <w:sz w:val="22"/>
        </w:rPr>
        <w:t>7. Persist authorized drafts/decisions and sanitized audit events locally; simulated execution remains explicitly non-networked.</w:t>
      </w:r>
    </w:p>
    <w:p>
      <w:pPr>
        <w:pStyle w:val="Heading1"/>
        <w:keepNext/>
      </w:pPr>
      <w:r>
        <w:rPr>
          <w:rFonts w:ascii="Times New Roman" w:hAnsi="Times New Roman" w:eastAsia="Times New Roman"/>
        </w:rPr>
        <w:t>4. Synthetic data and validation</w:t>
      </w:r>
    </w:p>
    <w:p>
      <w:pPr>
        <w:spacing w:after="100" w:line="269" w:lineRule="auto"/>
      </w:pPr>
      <w:r>
        <w:rPr>
          <w:rFonts w:ascii="Times New Roman" w:hAnsi="Times New Roman" w:eastAsia="Times New Roman"/>
          <w:sz w:val="22"/>
        </w:rPr>
        <w:t>The demonstration uses five generated synthetic SME cases representing stable operations, sales deterioration/cost pressure, high expenses, delayed customer payments, and import-financing assumptions. Each checked-in case contains 78 transactions across 39 weeks, 12 receivables, 12 payables, 10 synthetic customer profiles, and 6 synthetic supplier profiles. No real customer, supplier, account, or lender data is required. Case generation is deterministic; these fixtures are not a representative sample of Bangladeshi businesses.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Record family</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Core fields represented</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Purpose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Transactions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ID, date, direction, category, amount, balance after, description</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Actual cash history and observed balances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Receivables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Invoice/customer IDs, issue/due/paid dates, amount, paid amount, currency</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Outstanding collections, aging, payment-delay evidence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Payables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Bill/supplier IDs, issue/due/paid dates, amount, paid amount, category, deferrable/discretionary flags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Obligations, deferral and expense what-ifs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Profiles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Business opening cash; customer/supplier identifiers and editable assumptions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Synthetic case metadata and delay assumptions</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Assumptions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Forecast horizon, reserve, random seed, variability and Lab/financing defaults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Explicit editable model parameters</w:t>
            </w:r>
          </w:p>
        </w:tc>
      </w:tr>
    </w:tbl>
    <w:p>
      <w:pPr>
        <w:spacing w:after="0"/>
      </w:pPr>
    </w:p>
    <w:p>
      <w:pPr>
        <w:spacing w:after="100" w:line="269" w:lineRule="auto"/>
      </w:pPr>
      <w:r>
        <w:rPr>
          <w:rFonts w:ascii="Times New Roman" w:hAnsi="Times New Roman" w:eastAsia="Times New Roman"/>
          <w:sz w:val="22"/>
        </w:rPr>
        <w:t>Upload controls documented by services/validation.py cap the file at 5 MiB, rows at 50,000, and text fields at 500 characters. The validator checks supported CSV/XLSX form, header-to-record kind, required fields, dates, numeric values, transaction types, duplicate identifiers, currency consistency, and text bounds. Formula-like text is neutralized and reported instead of executed. Untrusted content is never promoted to instructions. A passing upload means structural validation succeeded; it does not certify the accuracy or ownership of the source data.</w:t>
      </w:r>
    </w:p>
    <w:p>
      <w:pPr>
        <w:spacing w:after="100" w:line="269" w:lineRule="auto"/>
      </w:pPr>
      <w:r>
        <w:rPr>
          <w:rFonts w:ascii="Times New Roman" w:hAnsi="Times New Roman" w:eastAsia="Times New Roman"/>
          <w:sz w:val="22"/>
        </w:rPr>
        <w:t>The currently available checked-in case generator and evaluation records do not establish statistical representativeness, population coverage, or external data validity. All tables, examples, and screenshots in this report must remain labelled synthetic.</w:t>
      </w:r>
    </w:p>
    <w:p>
      <w:pPr>
        <w:pStyle w:val="Heading1"/>
        <w:keepNext/>
      </w:pPr>
      <w:r>
        <w:rPr>
          <w:rFonts w:ascii="Times New Roman" w:hAnsi="Times New Roman" w:eastAsia="Times New Roman"/>
        </w:rPr>
        <w:t>5. Core algorithms</w:t>
      </w:r>
    </w:p>
    <w:p>
      <w:pPr>
        <w:pStyle w:val="Heading2"/>
        <w:keepNext/>
      </w:pPr>
      <w:r>
        <w:rPr>
          <w:rFonts w:ascii="Times New Roman" w:hAnsi="Times New Roman" w:eastAsia="Times New Roman"/>
        </w:rPr>
        <w:t>5.1. Weekly cash-flow forecast</w:t>
      </w:r>
    </w:p>
    <w:p>
      <w:pPr>
        <w:spacing w:after="100" w:line="269" w:lineRule="auto"/>
      </w:pPr>
      <w:r>
        <w:rPr>
          <w:rFonts w:ascii="Times New Roman" w:hAnsi="Times New Roman" w:eastAsia="Times New Roman"/>
          <w:sz w:val="22"/>
        </w:rPr>
        <w:t>core.forecast.forecast groups actual transactions into Monday-start weeks. The latest recorded balance is the forecast opening cash, and the forecast begins in the following week. The default horizon is 13 weeks, with a minimum of eight. Category run rates use the most recent eight weeks. When receivable records exist, inflow categories are excluded from run-rate projection; when payable records exist for a category, matching outflow run rates are excluded to avoid double counting. Outstanding invoices are bucketed by due date plus an estimated customer delay; the median observed delay is used when at least three paid invoices are available, otherwise the profile assumption is used. Outstanding bills are bucketed on their due dates.</w:t>
      </w: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Pr>
                <w:rFonts w:ascii="Times New Roman" w:hAnsi="Times New Roman" w:eastAsia="Times New Roman"/>
                <w:sz w:val="22"/>
              </w:rPr>
            </w:r>
            <w:r>
              <w:rPr>
                <w:rFonts w:ascii="Times New Roman" w:hAnsi="Times New Roman" w:eastAsia="Times New Roman"/>
                <w:b/>
                <w:color w:val="183A35"/>
                <w:sz w:val="22"/>
              </w:rPr>
              <w:t>ClosingCash_t = ClosingCash_(t−1) + ProjectedInflows_t − ProjectedOutflows_t</w:t>
            </w:r>
          </w:p>
        </w:tc>
      </w:tr>
    </w:tbl>
    <w:p>
      <w:pPr>
        <w:spacing w:after="0"/>
      </w:pP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Pr>
                <w:rFonts w:ascii="Times New Roman" w:hAnsi="Times New Roman" w:eastAsia="Times New Roman"/>
                <w:sz w:val="22"/>
              </w:rPr>
            </w:r>
            <w:r>
              <w:rPr>
                <w:rFonts w:ascii="Times New Roman" w:hAnsi="Times New Roman" w:eastAsia="Times New Roman"/>
                <w:b/>
                <w:color w:val="183A35"/>
                <w:sz w:val="22"/>
              </w:rPr>
              <w:t>Reserve = configured reserve weeks × average fixed weekly outflow  (default: 2 weeks)</w:t>
            </w:r>
          </w:p>
        </w:tc>
      </w:tr>
    </w:tbl>
    <w:p>
      <w:pPr>
        <w:spacing w:after="0"/>
      </w:pP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Pr>
                <w:rFonts w:ascii="Times New Roman" w:hAnsi="Times New Roman" w:eastAsia="Times New Roman"/>
                <w:sz w:val="22"/>
              </w:rPr>
            </w:r>
            <w:r>
              <w:rPr>
                <w:rFonts w:ascii="Times New Roman" w:hAnsi="Times New Roman" w:eastAsia="Times New Roman"/>
                <w:b/>
                <w:color w:val="183A35"/>
                <w:sz w:val="22"/>
              </w:rPr>
              <w:t>FundingGap = max(0, Reserve − minimum projected closing cash) × (1 + buffer% / 100)</w:t>
            </w:r>
          </w:p>
        </w:tc>
      </w:tr>
    </w:tbl>
    <w:p>
      <w:pPr>
        <w:spacing w:after="0"/>
      </w:pPr>
    </w:p>
    <w:p>
      <w:pPr>
        <w:spacing w:after="100" w:line="269" w:lineRule="auto"/>
      </w:pPr>
      <w:r>
        <w:rPr>
          <w:rFonts w:ascii="Times New Roman" w:hAnsi="Times New Roman" w:eastAsia="Times New Roman"/>
          <w:sz w:val="22"/>
        </w:rPr>
        <w:t>The first closing balance below reserve defines the shortage week; the first balance below zero is reported separately. Severity is none when the reserve is maintained, watch for reserve breach without a below-zero week, and critical when a below-zero week occurs. This is deterministic arithmetic over provided records and assumptions, not a learned forecast model.</w:t>
      </w:r>
    </w:p>
    <w:p>
      <w:pPr>
        <w:pStyle w:val="Heading2"/>
        <w:keepNext/>
      </w:pPr>
      <w:r>
        <w:rPr>
          <w:rFonts w:ascii="Times New Roman" w:hAnsi="Times New Roman" w:eastAsia="Times New Roman"/>
        </w:rPr>
        <w:t>5.2. Seeded Monte Carlo uncertainty</w:t>
      </w:r>
    </w:p>
    <w:p>
      <w:pPr>
        <w:spacing w:after="100" w:line="269" w:lineRule="auto"/>
      </w:pPr>
      <w:r>
        <w:rPr>
          <w:rFonts w:ascii="Times New Roman" w:hAnsi="Times New Roman" w:eastAsia="Times New Roman"/>
          <w:sz w:val="22"/>
        </w:rPr>
        <w:t>core.montecarlo.simulate produces 2,000 paths by default using NumPy’s seeded random generator and the seed stored in the selected case assumptions. The checked-in case profiles assign distinct reproducible seeds; docs/DECISIONS.md also mentions 42 as a generic seed, so case-profile values are the runtime source of truth. When invoice-delay sampling is enabled, customer payment delays are drawn from observed fully paid invoice history when at least five observations exist; otherwise a non-negative normal draw around the configured delay is used. Projected inflows are multiplied by a mean-one log-normal factor parameterized by the editable coefficient of variation. Each path is accumulated into weekly closing balances. The outputs include weekly P10/P50/P90 balances, weekly reserve/zero breach frequencies, and the fraction of paths with any reserve breach.</w:t>
      </w: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Pr>
                <w:rFonts w:ascii="Times New Roman" w:hAnsi="Times New Roman" w:eastAsia="Times New Roman"/>
                <w:sz w:val="22"/>
              </w:rPr>
            </w:r>
            <w:r>
              <w:rPr>
                <w:rFonts w:ascii="Times New Roman" w:hAnsi="Times New Roman" w:eastAsia="Times New Roman"/>
                <w:b/>
                <w:color w:val="183A35"/>
                <w:sz w:val="22"/>
              </w:rPr>
              <w:t>P_breach(any) = (1 / N) Σᵢ 𝟙[min_t(balanceᵢ,t) &lt; reserve],  N = 2,000 by default</w:t>
            </w:r>
          </w:p>
        </w:tc>
      </w:tr>
    </w:tbl>
    <w:p>
      <w:pPr>
        <w:spacing w:after="0"/>
      </w:pPr>
    </w:p>
    <w:p>
      <w:pPr>
        <w:spacing w:after="100" w:line="269" w:lineRule="auto"/>
      </w:pPr>
      <w:r>
        <w:rPr>
          <w:rFonts w:ascii="Times New Roman" w:hAnsi="Times New Roman" w:eastAsia="Times New Roman"/>
          <w:sz w:val="22"/>
        </w:rPr>
        <w:t>A fixed seed makes a run repeatable for the same inputs and runtime behavior; it does not make the estimated event probabilities calibrated. Invoice amounts are fixed in source records, so the log-normal multiplier is a receipt-amount variability proxy. The model does not estimate uncertainty from a sufficiently large real business history.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Monte Carlo setting</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Default / selection rule</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Interpretation and caveat</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Runs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2,000</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Empirical frequency across simulated paths; not population probability</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Seed</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Selected case profile random_seed</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Repeatable for same case and parameters; generated fixtures use distinct seeds</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Invoice delay</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Empirical customer delays when history has at least five paid invoices; otherwise nonnegative normal around configured delay</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History-backed only within the synthetic case; normal fallback is a proxy</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Receipt variability</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Mean-one log-normal multiplier; case CV default 0.15</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Perturbs projected receipts while invoice amounts are fixed; proxy for amount variability</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Outputs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Weekly P10/P50/P90, reserve/zero breach rates, any-week reserve breach</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Computed for each run; not calibrated probabilities</w:t>
            </w:r>
          </w:p>
        </w:tc>
      </w:tr>
    </w:tbl>
    <w:p>
      <w:pPr>
        <w:keepNext w:val="0"/>
        <w:spacing w:after="160"/>
        <w:jc w:val="center"/>
      </w:pPr>
      <w:r>
        <w:rPr>
          <w:rFonts w:ascii="Times New Roman" w:hAnsi="Times New Roman" w:eastAsia="Times New Roman"/>
          <w:i/>
          <w:color w:val="596963"/>
          <w:sz w:val="22"/>
        </w:rPr>
        <w:t>Table 6. Monte Carlo settings and interpretation.</w:t>
      </w:r>
    </w:p>
    <w:p>
      <w:pPr>
        <w:spacing w:after="120" w:line="269" w:lineRule="auto"/>
      </w:pPr>
      <w:r>
        <w:rPr>
          <w:rFonts w:ascii="Times New Roman" w:hAnsi="Times New Roman" w:eastAsia="Times New Roman"/>
          <w:i w:val="0"/>
          <w:sz w:val="22"/>
        </w:rPr>
        <w:t>For each path, weekly cash is accumulated from opening cash. The percentile band answers “what balances did this specified simulation produce?” The reserve probability is the fraction of runs crossing the configured threshold. This is useful for sensitivity communication, but the short synthetic histories do not provide enough empirical evidence to claim actuarial calibration or forecast confidence intervals.</w:t>
      </w:r>
    </w:p>
    <w:p>
      <w:pPr>
        <w:pStyle w:val="Heading2"/>
        <w:keepNext/>
      </w:pPr>
      <w:r>
        <w:rPr>
          <w:rFonts w:ascii="Times New Roman" w:hAnsi="Times New Roman" w:eastAsia="Times New Roman"/>
        </w:rPr>
        <w:t>5.3. Liquidity Decision Lab</w:t>
      </w:r>
    </w:p>
    <w:p>
      <w:pPr>
        <w:spacing w:after="100" w:line="269" w:lineRule="auto"/>
      </w:pPr>
      <w:r>
        <w:rPr>
          <w:rFonts w:ascii="Times New Roman" w:hAnsi="Times New Roman" w:eastAsia="Times New Roman"/>
          <w:sz w:val="22"/>
        </w:rPr>
        <w:t>The Lab recomputes a baseline forecast and evaluates three levers independently, their combination, and financing alternatives. Every lever is labelled HYPOTHETICAL until the owner confirms the corresponding assumption.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Lever</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Default</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Transformation</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Risk retained in result</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L1 — Collections</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50% of eligible overdue receivables, within 2 weeks; 0% haircut</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Distributes assumed early collection across selected weeks and removes the same amount from its later expected receipt bucket</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Customer timing/amount remains unconfirmed; haircut is configurable</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L2 — Reschedule</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Move deferrable payables by 2 weeks; 0% late fee</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Shifts an obligation into a later bucket; it is not erased, including when beyond horizon</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Supplier agreement and relationship effect are uncertain</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L3 — Expense reduction</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10% of selected discretionary expense, starting week 1</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Reduces eligible discretionary payable in the selected scenario</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Avoidability and operational effect are unverified</w:t>
            </w:r>
          </w:p>
        </w:tc>
      </w:tr>
    </w:tbl>
    <w:p>
      <w:pPr>
        <w:spacing w:after="0"/>
      </w:pPr>
    </w:p>
    <w:p>
      <w:r>
        <w:rPr>
          <w:rFonts w:ascii="Times New Roman" w:hAnsi="Times New Roman" w:eastAsia="Times New Roman"/>
        </w:rPr>
        <w:drawing>
          <wp:inline xmlns:a="http://schemas.openxmlformats.org/drawingml/2006/main" xmlns:pic="http://schemas.openxmlformats.org/drawingml/2006/picture">
            <wp:extent cx="5806440" cy="2941930"/>
            <wp:docPr id="2" name="Picture 2"/>
            <wp:cNvGraphicFramePr>
              <a:graphicFrameLocks noChangeAspect="1"/>
            </wp:cNvGraphicFramePr>
            <a:graphic>
              <a:graphicData uri="http://schemas.openxmlformats.org/drawingml/2006/picture">
                <pic:pic>
                  <pic:nvPicPr>
                    <pic:cNvPr id="0" name="_td_lab.png"/>
                    <pic:cNvPicPr/>
                  </pic:nvPicPr>
                  <pic:blipFill>
                    <a:blip r:embed="rId12"/>
                    <a:stretch>
                      <a:fillRect/>
                    </a:stretch>
                  </pic:blipFill>
                  <pic:spPr>
                    <a:xfrm>
                      <a:off x="0" y="0"/>
                      <a:ext cx="5806440" cy="2941930"/>
                    </a:xfrm>
                    <a:prstGeom prst="rect"/>
                  </pic:spPr>
                </pic:pic>
              </a:graphicData>
            </a:graphic>
          </wp:inline>
        </w:drawing>
      </w:r>
    </w:p>
    <w:p>
      <w:pPr>
        <w:spacing w:after="160"/>
        <w:jc w:val="center"/>
      </w:pPr>
      <w:r>
        <w:rPr>
          <w:rFonts w:ascii="Times New Roman" w:hAnsi="Times New Roman" w:eastAsia="Times New Roman"/>
          <w:i/>
          <w:color w:val="596963"/>
          <w:sz w:val="22"/>
        </w:rPr>
        <w:t>Figure 5. Lab evaluation sequence from baseline forecast through scenario comparison and explanation.</w:t>
      </w:r>
    </w:p>
    <w:p>
      <w:pPr>
        <w:spacing w:after="100" w:line="269" w:lineRule="auto"/>
      </w:pPr>
      <w:r>
        <w:rPr>
          <w:rFonts w:ascii="Times New Roman" w:hAnsi="Times New Roman" w:eastAsia="Times New Roman"/>
          <w:sz w:val="22"/>
        </w:rPr>
        <w:t>Option 0 is the unmodified baseline. Option A combines L1/L2/L3. Option B finances the remaining gap after those combined levers. Option C finances the original baseline gap. Candidate feasibility is determined on the deterministic path: the minimum closing balance must remain at or above reserve. Among feasible candidates, the rule minimizes modelled financing cost, then repayment-pressure rank, then count of unconfirmed assumptions. If no candidate is feasible, the Lab reports that fact and selects the smallest remaining gap; it does not force a “successful” recommendation. Monte Carlo breach probability is displayed as separate risk context, not substituted into the deterministic selection rule.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Lever</w:t>
            </w:r>
          </w:p>
        </w:tc>
        <w:tc>
          <w:tcPr>
            <w:tcW w:type="dxa" w:w="2498"/>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Default parameters</w:t>
            </w:r>
          </w:p>
        </w:tc>
        <w:tc>
          <w:tcPr>
            <w:tcW w:type="dxa" w:w="2498"/>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Detailed transformation</w:t>
            </w:r>
          </w:p>
        </w:tc>
        <w:tc>
          <w:tcPr>
            <w:tcW w:type="dxa" w:w="2498"/>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What remains unverified</w:t>
            </w:r>
          </w:p>
        </w:tc>
      </w:tr>
      <w:tr>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L1 — Collect</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50% of overdue eligible receivables; two weeks; zero haircut</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Spread assumed collection across early buckets and subtract the same amount from the later expected receipt bucket</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Customer payment date and collectability</w:t>
            </w:r>
          </w:p>
        </w:tc>
      </w:tr>
      <w:tr>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L2 — Reschedule</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Two weeks; zero fee</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Move eligible deferrable bill to later bucket; retain obligation and add configured fee</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Supplier agreement and relationship cost</w:t>
            </w:r>
          </w:p>
        </w:tc>
      </w:tr>
      <w:tr>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L3 — Reduce</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10% discretionary spend reduction from week 1</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Reduce eligible discretionary payable in the hypothetical copy</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Whether spending is avoidable without harm</w:t>
            </w:r>
          </w:p>
        </w:tc>
      </w:tr>
      <w:tr>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Option A</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All three selected levers combined</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Run the same balance engine over combined adjusted flows</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All lever assumptions are still hypothetical</w:t>
            </w:r>
          </w:p>
        </w:tc>
      </w:tr>
      <w:tr>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Option B / C</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Editable financing template</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B applies facility to Option A residual; C finances baseline gap</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No offer, eligibility or approval inference</w:t>
            </w:r>
          </w:p>
        </w:tc>
      </w:tr>
    </w:tbl>
    <w:p>
      <w:pPr>
        <w:keepNext w:val="0"/>
        <w:spacing w:after="160"/>
        <w:jc w:val="center"/>
      </w:pPr>
      <w:r>
        <w:rPr>
          <w:rFonts w:ascii="Times New Roman" w:hAnsi="Times New Roman" w:eastAsia="Times New Roman"/>
          <w:i/>
          <w:color w:val="596963"/>
          <w:sz w:val="22"/>
        </w:rPr>
        <w:t>Table 7. Decision Lab levers and financing-plan construction.</w:t>
      </w:r>
    </w:p>
    <w:p>
      <w:pPr>
        <w:spacing w:after="120" w:line="269" w:lineRule="auto"/>
      </w:pPr>
      <w:r>
        <w:rPr>
          <w:rFonts w:ascii="Times New Roman" w:hAnsi="Times New Roman" w:eastAsia="Times New Roman"/>
          <w:i w:val="0"/>
          <w:sz w:val="22"/>
        </w:rPr>
        <w:t>The implementation prevents a common scenario-accounting error: a collection accelerated to an early week is removed from its original later bucket, and a deferred supplier payment is moved rather than deleted. A payable moved beyond the 13-week display remains an obligation, even though it no longer appears within the visible horizon. The plan card therefore carries explicit risk text and provenance for each changed assumption.</w:t>
      </w:r>
    </w:p>
    <w:p>
      <w:pPr>
        <w:pStyle w:val="Heading2"/>
        <w:keepNext/>
      </w:pPr>
      <w:r>
        <w:rPr>
          <w:rFonts w:ascii="Times New Roman" w:hAnsi="Times New Roman" w:eastAsia="Times New Roman"/>
        </w:rPr>
        <w:t>5.4. Financing calculations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Illustrative template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Default terms in the prototype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Repayment treatment</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Term loan</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14% annual nominal rate; 1% fee; 6 months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Equal monthly instalments using annuity; interest on declining principal</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Invoice financing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80% advance; 2.0% per 30 days outstanding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Principal/charge due at maturity; gross facility to deliver the rounded net need</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Supplier credit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30-day extension; 1.5% of invoice value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Principal and explicit cost due at maturity</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Credit line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16% annual rate on drawn amount; 0.5% fee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Drawn balance interest; principal at maturity</w:t>
            </w:r>
          </w:p>
        </w:tc>
      </w:tr>
    </w:tbl>
    <w:p>
      <w:pPr>
        <w:spacing w:after="0"/>
      </w:pP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Pr>
                <w:rFonts w:ascii="Times New Roman" w:hAnsi="Times New Roman" w:eastAsia="Times New Roman"/>
                <w:sz w:val="22"/>
              </w:rPr>
            </w:r>
            <w:r>
              <w:rPr>
                <w:rFonts w:ascii="Times New Roman" w:hAnsi="Times New Roman" w:eastAsia="Times New Roman"/>
                <w:b/>
                <w:color w:val="183A35"/>
                <w:sz w:val="22"/>
              </w:rPr>
              <w:t>A = P × r / [1 − (1 + r)^(−n)]   ;   A = P / n when r = 0</w:t>
            </w:r>
          </w:p>
        </w:tc>
      </w:tr>
    </w:tbl>
    <w:p>
      <w:pPr>
        <w:spacing w:after="0"/>
      </w:pPr>
    </w:p>
    <w:p>
      <w:pPr>
        <w:spacing w:after="100" w:line="269" w:lineRule="auto"/>
      </w:pPr>
      <w:r>
        <w:rPr>
          <w:rFonts w:ascii="Times New Roman" w:hAnsi="Times New Roman" w:eastAsia="Times New Roman"/>
          <w:sz w:val="22"/>
        </w:rPr>
        <w:t>Here P is principal, r is monthly rate (nominal annual percentage divided by 12), and n is number of monthly instalments. Amounts are rounded upward to the next BDT 1,000. Invoice-financing facility size is grossed up by its selected advance rate. Total cost sums modeled interest, fees, and explicit hypothetical charges. Repayment capacity is average weekly net operating cash flow scaled to debt-service period divided by debt service for that period. Labels at 1.25x and 1.0x are editable rules of thumb only; the project makes no lender underwriting claim.</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Template</w:t>
            </w:r>
          </w:p>
        </w:tc>
        <w:tc>
          <w:tcPr>
            <w:tcW w:type="dxa" w:w="2498"/>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Illustrative defaults</w:t>
            </w:r>
          </w:p>
        </w:tc>
        <w:tc>
          <w:tcPr>
            <w:tcW w:type="dxa" w:w="2498"/>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Cost / payment model</w:t>
            </w:r>
          </w:p>
        </w:tc>
        <w:tc>
          <w:tcPr>
            <w:tcW w:type="dxa" w:w="2498"/>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Not represented</w:t>
            </w:r>
          </w:p>
        </w:tc>
      </w:tr>
      <w:tr>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Term loan</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14% p.a.; 1% fee; 6 months</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Monthly annuity; declining-principal interest</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Lender underwriting, covenants, eligibility</w:t>
            </w:r>
          </w:p>
        </w:tc>
      </w:tr>
      <w:tr>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Invoice financing</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80% advance; 2.0% per 30 days</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Facility grossed up to deliver net gap; principal/charge at maturity</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Invoice assignment, recourse, real fees</w:t>
            </w:r>
          </w:p>
        </w:tc>
      </w:tr>
      <w:tr>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Supplier credit</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30-day extension; 1.5% invoice cost</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Principal plus explicit cost at maturity</w:t>
            </w:r>
          </w:p>
        </w:tc>
        <w:tc>
          <w:tcPr>
            <w:tcW w:type="dxa" w:w="2498"/>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Supplier consent, contract terms</w:t>
            </w:r>
          </w:p>
        </w:tc>
      </w:tr>
      <w:tr>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Credit line</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16% p.a.; 0.5% fee</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Interest on drawn amount; principal at maturity</w:t>
            </w:r>
          </w:p>
        </w:tc>
        <w:tc>
          <w:tcPr>
            <w:tcW w:type="dxa" w:w="2498"/>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Undrawn limit and lender policy</w:t>
            </w:r>
          </w:p>
        </w:tc>
      </w:tr>
    </w:tbl>
    <w:p>
      <w:pPr>
        <w:keepNext w:val="0"/>
        <w:spacing w:after="160"/>
        <w:jc w:val="center"/>
      </w:pPr>
      <w:r>
        <w:rPr>
          <w:rFonts w:ascii="Times New Roman" w:hAnsi="Times New Roman" w:eastAsia="Times New Roman"/>
          <w:i/>
          <w:color w:val="596963"/>
          <w:sz w:val="22"/>
        </w:rPr>
        <w:t>Table 8. Editable financing templates; all terms are illustrative.</w:t>
      </w:r>
    </w:p>
    <w:p>
      <w:pPr>
        <w:spacing w:after="120" w:line="269" w:lineRule="auto"/>
      </w:pPr>
      <w:r>
        <w:rPr>
          <w:rFonts w:ascii="Times New Roman" w:hAnsi="Times New Roman" w:eastAsia="Times New Roman"/>
          <w:i w:val="0"/>
          <w:sz w:val="22"/>
        </w:rPr>
        <w:t>For an amortizing loan, the monthly payment follows the standard annuity relation. When monthly rate is zero, the implementation uses straight principal division to avoid a zero denominator. Required amount rounds upward to the next BDT 1,000; invoice financing grosses this net target up by the advance percentage. Repayment-capacity bands (comfortable at or above 1.25x, tight from 1.0x to below 1.25x, stressed below 1.0x) are configurable heuristics, not lender thresholds.</w:t>
      </w:r>
    </w:p>
    <w:p>
      <w:pPr>
        <w:pStyle w:val="Heading2"/>
        <w:keepNext/>
      </w:pPr>
      <w:r>
        <w:rPr>
          <w:rFonts w:ascii="Times New Roman" w:hAnsi="Times New Roman" w:eastAsia="Times New Roman"/>
        </w:rPr>
        <w:t>5.5. Readiness and receivables watchlist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Indicator component</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Default weight</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Implemented scale / interpretation</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Repayment capacity</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35%</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capacity ratio ÷ 1.25 × 100, bounded 0–100</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Cash buffer</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25%</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latest recorded cash ÷ reserve × 100, bounded 0–100</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Receivable quality</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20%</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100 minus overdue share of open receivables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Data completeness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10%</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proportion of five core source groups containing records</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Trend</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10%</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latest versus preceding four-week average net cash, scaled around 50</w:t>
            </w:r>
          </w:p>
        </w:tc>
      </w:tr>
    </w:tbl>
    <w:p>
      <w:pPr>
        <w:spacing w:after="0"/>
      </w:pPr>
    </w:p>
    <w:p>
      <w:pPr>
        <w:spacing w:after="100" w:line="269" w:lineRule="auto"/>
      </w:pPr>
      <w:r>
        <w:rPr>
          <w:rFonts w:ascii="Times New Roman" w:hAnsi="Times New Roman" w:eastAsia="Times New Roman"/>
          <w:sz w:val="22"/>
        </w:rPr>
        <w:t>Unavailable components are excluded and the remaining component weights renormalized. The resulting score is explicitly “Readiness indicator, not a loan approval prediction.” The receivables watchlist separately combines overdue-amount share (40 points), amount-weighted days overdue capped at 90 days (30), payment-delay trend (20 when history supports it), and customer concentration in total open receivables (10). Its labels are Normal below 30, Watch from 30 through 60, and Urgent above 60. Each row lists source invoice IDs. These are project-defined explainable heuristics, not validated credit scores.</w:t>
      </w:r>
    </w:p>
    <w:p>
      <w:pPr>
        <w:pStyle w:val="Heading1"/>
        <w:keepNext/>
      </w:pPr>
      <w:r>
        <w:rPr>
          <w:rFonts w:ascii="Times New Roman" w:hAnsi="Times New Roman" w:eastAsia="Times New Roman"/>
        </w:rPr>
        <w:t>6. Copilot, agent actions and human control</w:t>
      </w:r>
    </w:p>
    <w:p>
      <w:pPr>
        <w:pStyle w:val="Heading2"/>
        <w:keepNext/>
      </w:pPr>
      <w:r>
        <w:rPr>
          <w:rFonts w:ascii="Times New Roman" w:hAnsi="Times New Roman" w:eastAsia="Times New Roman"/>
        </w:rPr>
        <w:t>6.1. Evidence-grounded Copilot</w:t>
      </w:r>
    </w:p>
    <w:p>
      <w:pPr>
        <w:spacing w:after="100" w:line="269" w:lineRule="auto"/>
      </w:pPr>
      <w:r>
        <w:rPr>
          <w:rFonts w:ascii="Times New Roman" w:hAnsi="Times New Roman" w:eastAsia="Times New Roman"/>
          <w:sz w:val="22"/>
        </w:rPr>
        <w:t>services.copilot rebuilds a compact evidence pack from selected deterministic forecast, Lab, analysis, and readiness outputs after checking copilot.ask permission. Entity names and free-text source fields are omitted; identifiers may remain. The query is bounded to 500 characters. Offline deterministic templates are the default. Optional LLM mode is activated only by local configuration and sends the question plus masked evidence to a generic OpenAI-compatible endpoint. The service has no draft, approval, or execution tools.</w:t>
      </w:r>
    </w:p>
    <w:p>
      <w:r>
        <w:rPr>
          <w:rFonts w:ascii="Times New Roman" w:hAnsi="Times New Roman" w:eastAsia="Times New Roman"/>
        </w:rPr>
        <w:drawing>
          <wp:inline xmlns:a="http://schemas.openxmlformats.org/drawingml/2006/main" xmlns:pic="http://schemas.openxmlformats.org/drawingml/2006/picture">
            <wp:extent cx="5806440" cy="2709672"/>
            <wp:docPr id="3" name="Picture 3"/>
            <wp:cNvGraphicFramePr>
              <a:graphicFrameLocks noChangeAspect="1"/>
            </wp:cNvGraphicFramePr>
            <a:graphic>
              <a:graphicData uri="http://schemas.openxmlformats.org/drawingml/2006/picture">
                <pic:pic>
                  <pic:nvPicPr>
                    <pic:cNvPr id="0" name="_td_copilot.png"/>
                    <pic:cNvPicPr/>
                  </pic:nvPicPr>
                  <pic:blipFill>
                    <a:blip r:embed="rId13"/>
                    <a:stretch>
                      <a:fillRect/>
                    </a:stretch>
                  </pic:blipFill>
                  <pic:spPr>
                    <a:xfrm>
                      <a:off x="0" y="0"/>
                      <a:ext cx="5806440" cy="2709672"/>
                    </a:xfrm>
                    <a:prstGeom prst="rect"/>
                  </pic:spPr>
                </pic:pic>
              </a:graphicData>
            </a:graphic>
          </wp:inline>
        </w:drawing>
      </w:r>
    </w:p>
    <w:p>
      <w:pPr>
        <w:spacing w:after="160"/>
        <w:jc w:val="center"/>
      </w:pPr>
      <w:r>
        <w:rPr>
          <w:rFonts w:ascii="Times New Roman" w:hAnsi="Times New Roman" w:eastAsia="Times New Roman"/>
          <w:i/>
          <w:color w:val="596963"/>
          <w:sz w:val="22"/>
        </w:rPr>
        <w:t>Figure 6. Copilot evidence, optional generation, answer checks, and receipt sequence.</w:t>
      </w:r>
    </w:p>
    <w:p>
      <w:pPr>
        <w:spacing w:after="100" w:line="269" w:lineRule="auto"/>
      </w:pPr>
      <w:r>
        <w:rPr>
          <w:rFonts w:ascii="Times New Roman" w:hAnsi="Times New Roman" w:eastAsia="Times New Roman"/>
          <w:sz w:val="22"/>
        </w:rPr>
        <w:t>A candidate response must use known evidence IDs, and every numeric literal must be supported by computed evidence. If the endpoint errors or validation fails, the service returns a safe offline answer. The audit event stores a SHA-256 query hash and receipt rather than raw query text. This constrained pattern is inspired by the broader grounding/provenance motivation in RAG literature [5, 6], but it is not a conventional RAG system: there is no corpus retriever, vector database, or model training.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Receipt field</w:t>
            </w:r>
          </w:p>
        </w:tc>
        <w:tc>
          <w:tcPr>
            <w:tcW w:type="dxa" w:w="4997"/>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Purpose</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mode</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Records offline or configured LLM mode</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evidence_ids</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Identifies evidence referenced by the answer</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masked_fields</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Counts fields withheld from the evidence pack</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external_call</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Indicates whether a configured external endpoint was called</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validator_result</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Records citation/number validation or safe fallback status</w:t>
            </w:r>
          </w:p>
        </w:tc>
      </w:tr>
    </w:tbl>
    <w:p>
      <w:pPr>
        <w:spacing w:after="0"/>
      </w:pP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Evidence family</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What is recomputed</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Masking / use boundary</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Forecast</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Shortage week, funding gap, balances, reserve and uncertainty summaries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Computed numbers; customer/supplier names and source free text excluded</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Decision Lab</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Options, cost, balance path, feasible flag, gap and risks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Assumptions remain HYPOTHETICAL; no acceptance claim</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Analysis / readiness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Historical ratios or missing-data reasons and readiness components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Read-only evidence; not a loan-approval result</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Receipt</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Mode, evidence IDs, masked field count, external-call flag, validator result</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Audit receipt identifies provenance; raw question is represented by SHA-256 hash</w:t>
            </w:r>
          </w:p>
        </w:tc>
      </w:tr>
    </w:tbl>
    <w:p>
      <w:pPr>
        <w:keepNext w:val="0"/>
        <w:spacing w:after="160"/>
        <w:jc w:val="center"/>
      </w:pPr>
      <w:r>
        <w:rPr>
          <w:rFonts w:ascii="Times New Roman" w:hAnsi="Times New Roman" w:eastAsia="Times New Roman"/>
          <w:i/>
          <w:color w:val="596963"/>
          <w:sz w:val="22"/>
        </w:rPr>
        <w:t>Table 10. Copilot evidence pack and receipt boundaries.</w:t>
      </w:r>
    </w:p>
    <w:p>
      <w:pPr>
        <w:spacing w:after="120" w:line="269" w:lineRule="auto"/>
      </w:pPr>
      <w:r>
        <w:rPr>
          <w:rFonts w:ascii="Times New Roman" w:hAnsi="Times New Roman" w:eastAsia="Times New Roman"/>
          <w:i w:val="0"/>
          <w:sz w:val="22"/>
        </w:rPr>
        <w:t>Supported intents are deliberately bounded: cash shortage, funding gap, plan comparison, read-only customer-delay what-if, data quality, and readiness. Unsupported questions return a missing-data response rather than open-ended financial advice. Citation validation requires every cited ID to exist in the current pack, and numeric validation rejects unsupported numeric literals. When a configured provider returns malformed or ungrounded output, the service falls back to deterministic offline language.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Draft type</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Typical payload</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Allowed workflow</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Collection reminder</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Synthetic customer/invoice reference and amount</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finance_ops creates/submits; owner reviews</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Supplier deferral request</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Supplier/bill reference and proposed date</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finance_ops creates/submits; owner reviews</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Financing pack</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Selected illustrative option and supporting values</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Draft only; no external application</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Liquidity Lab proposal</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Scenario, assumptions, plan and evidence references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Owner may confirm assumption and review; simulation only</w:t>
            </w:r>
          </w:p>
        </w:tc>
      </w:tr>
    </w:tbl>
    <w:p>
      <w:pPr>
        <w:keepNext w:val="0"/>
        <w:spacing w:after="160"/>
        <w:jc w:val="center"/>
      </w:pPr>
      <w:r>
        <w:rPr>
          <w:rFonts w:ascii="Times New Roman" w:hAnsi="Times New Roman" w:eastAsia="Times New Roman"/>
          <w:i/>
          <w:color w:val="596963"/>
          <w:sz w:val="22"/>
        </w:rPr>
        <w:t>Table 11. Structured draft catalog and human review boundary.</w:t>
      </w:r>
    </w:p>
    <w:p>
      <w:pPr>
        <w:spacing w:after="120" w:line="269" w:lineRule="auto"/>
      </w:pPr>
      <w:r>
        <w:rPr>
          <w:rFonts w:ascii="Times New Roman" w:hAnsi="Times New Roman" w:eastAsia="Times New Roman"/>
          <w:i w:val="0"/>
          <w:sz w:val="22"/>
        </w:rPr>
        <w:t>Draft text is generated from bounded structured fields, escaped before rendering, and stored with an idempotent transition record. finance_ops can create and inspect its own drafts but cannot approve. Owner review checks the pending state and authorization before changing status. A repeated request is handled idempotently where implemented, preventing duplicate state transitions from being mistaken for multiple real-world actions.</w:t>
      </w:r>
    </w:p>
    <w:p>
      <w:pPr>
        <w:pStyle w:val="Heading2"/>
        <w:keepNext/>
      </w:pPr>
      <w:r>
        <w:rPr>
          <w:rFonts w:ascii="Times New Roman" w:hAnsi="Times New Roman" w:eastAsia="Times New Roman"/>
        </w:rPr>
        <w:t>6.2. Draft, approval and simulated execution</w:t>
      </w:r>
    </w:p>
    <w:p>
      <w:pPr>
        <w:spacing w:after="100" w:line="269" w:lineRule="auto"/>
      </w:pPr>
      <w:r>
        <w:rPr>
          <w:rFonts w:ascii="Times New Roman" w:hAnsi="Times New Roman" w:eastAsia="Times New Roman"/>
          <w:sz w:val="22"/>
        </w:rPr>
        <w:t>Agent actions are deterministic templates stored as local drafts. finance_ops may create and submit eligible drafts; owner-only checks govern approval/rejection and simulated execution. Service code checks both permission and current state before each transition. An approved item can be recorded as simulated execution in a local JSONL log with network_sent=false. The audit trail records the actor and transition. The MONEY_MOVEMENT action is denied for every role, including owner. The simulation does not connect to a bank, lender, customer, or supplier.</w:t>
      </w:r>
    </w:p>
    <w:p>
      <w:r>
        <w:rPr>
          <w:rFonts w:ascii="Times New Roman" w:hAnsi="Times New Roman" w:eastAsia="Times New Roman"/>
        </w:rPr>
        <w:drawing>
          <wp:inline xmlns:a="http://schemas.openxmlformats.org/drawingml/2006/main" xmlns:pic="http://schemas.openxmlformats.org/drawingml/2006/picture">
            <wp:extent cx="5806440" cy="2847029"/>
            <wp:docPr id="4" name="Picture 4"/>
            <wp:cNvGraphicFramePr>
              <a:graphicFrameLocks noChangeAspect="1"/>
            </wp:cNvGraphicFramePr>
            <a:graphic>
              <a:graphicData uri="http://schemas.openxmlformats.org/drawingml/2006/picture">
                <pic:pic>
                  <pic:nvPicPr>
                    <pic:cNvPr id="0" name="_td_state.png"/>
                    <pic:cNvPicPr/>
                  </pic:nvPicPr>
                  <pic:blipFill>
                    <a:blip r:embed="rId14"/>
                    <a:stretch>
                      <a:fillRect/>
                    </a:stretch>
                  </pic:blipFill>
                  <pic:spPr>
                    <a:xfrm>
                      <a:off x="0" y="0"/>
                      <a:ext cx="5806440" cy="2847029"/>
                    </a:xfrm>
                    <a:prstGeom prst="rect"/>
                  </pic:spPr>
                </pic:pic>
              </a:graphicData>
            </a:graphic>
          </wp:inline>
        </w:drawing>
      </w:r>
    </w:p>
    <w:p>
      <w:pPr>
        <w:spacing w:after="160"/>
        <w:jc w:val="center"/>
      </w:pPr>
      <w:r>
        <w:rPr>
          <w:rFonts w:ascii="Times New Roman" w:hAnsi="Times New Roman" w:eastAsia="Times New Roman"/>
          <w:i/>
          <w:color w:val="596963"/>
          <w:sz w:val="22"/>
        </w:rPr>
        <w:t>Figure 8. Action state machine. Rejected and simulated items are terminal; execution represents only a local record.</w:t>
      </w:r>
    </w:p>
    <w:p>
      <w:pPr>
        <w:spacing w:after="120" w:line="269" w:lineRule="auto"/>
      </w:pPr>
      <w:r>
        <w:rPr>
          <w:rFonts w:ascii="Times New Roman" w:hAnsi="Times New Roman" w:eastAsia="Times New Roman"/>
          <w:i w:val="0"/>
          <w:sz w:val="22"/>
        </w:rPr>
        <w:t>The sequence in Figure 7 complements Figure 8: it shows who invokes each service and which local stores are written. Authentication and authorization precede the approval transition; after approval, the owner may record a simulation, which writes a local event but performs no external network operation.</w:t>
      </w:r>
    </w:p>
    <w:p>
      <w:pPr>
        <w:keepNext/>
        <w:jc w:val="center"/>
      </w:pPr>
      <w:r>
        <w:rPr>
          <w:rFonts w:ascii="Times New Roman" w:hAnsi="Times New Roman" w:eastAsia="Times New Roman"/>
        </w:rPr>
        <w:drawing>
          <wp:inline xmlns:a="http://schemas.openxmlformats.org/drawingml/2006/main" xmlns:pic="http://schemas.openxmlformats.org/drawingml/2006/picture">
            <wp:extent cx="5806440" cy="3123718"/>
            <wp:docPr id="9" name="Picture 9"/>
            <wp:cNvGraphicFramePr>
              <a:graphicFrameLocks noChangeAspect="1"/>
            </wp:cNvGraphicFramePr>
            <a:graphic>
              <a:graphicData uri="http://schemas.openxmlformats.org/drawingml/2006/picture">
                <pic:pic>
                  <pic:nvPicPr>
                    <pic:cNvPr id="0" name="_rev_approval_sequence.png"/>
                    <pic:cNvPicPr/>
                  </pic:nvPicPr>
                  <pic:blipFill>
                    <a:blip r:embed="rId19"/>
                    <a:stretch>
                      <a:fillRect/>
                    </a:stretch>
                  </pic:blipFill>
                  <pic:spPr>
                    <a:xfrm>
                      <a:off x="0" y="0"/>
                      <a:ext cx="5806440" cy="3123718"/>
                    </a:xfrm>
                    <a:prstGeom prst="rect"/>
                  </pic:spPr>
                </pic:pic>
              </a:graphicData>
            </a:graphic>
          </wp:inline>
        </w:drawing>
      </w:r>
    </w:p>
    <w:p>
      <w:pPr>
        <w:keepNext w:val="0"/>
        <w:spacing w:after="160"/>
        <w:jc w:val="center"/>
      </w:pPr>
      <w:r>
        <w:rPr>
          <w:rFonts w:ascii="Times New Roman" w:hAnsi="Times New Roman" w:eastAsia="Times New Roman"/>
          <w:i/>
          <w:color w:val="596963"/>
          <w:sz w:val="22"/>
        </w:rPr>
        <w:t>Figure 7. Approval sequence across finance_ops, UI, service authorization, SQLite, audit, owner, and local sandbox log.</w:t>
      </w:r>
    </w:p>
    <w:p>
      <w:pPr>
        <w:spacing w:after="120" w:line="269" w:lineRule="auto"/>
      </w:pPr>
      <w:r>
        <w:rPr>
          <w:rFonts w:ascii="Times New Roman" w:hAnsi="Times New Roman" w:eastAsia="Times New Roman"/>
          <w:i w:val="0"/>
          <w:sz w:val="22"/>
        </w:rPr>
        <w:t>The state machine in Figure 8 expresses legal status transitions independent of page layout. A pending draft can be approved or rejected by the owner; only an approved draft is eligible for simulation. The state label simulated_executed means “local simulation event recorded,” not “payment sent.”</w:t>
      </w:r>
    </w:p>
    <w:p>
      <w:pPr>
        <w:pStyle w:val="Heading2"/>
        <w:keepNext/>
      </w:pPr>
      <w:r>
        <w:rPr>
          <w:rFonts w:ascii="Times New Roman" w:hAnsi="Times New Roman" w:eastAsia="Times New Roman"/>
        </w:rPr>
        <w:t>6.3. Human oversight boundary</w:t>
      </w:r>
    </w:p>
    <w:p>
      <w:pPr>
        <w:spacing w:after="100" w:line="269" w:lineRule="auto"/>
      </w:pPr>
      <w:r>
        <w:rPr>
          <w:rFonts w:ascii="Times New Roman" w:hAnsi="Times New Roman" w:eastAsia="Times New Roman"/>
          <w:sz w:val="22"/>
        </w:rPr>
        <w:t>The owner must review assumptions and authorize proposed state changes. A scenario may be arithmetically feasible while depending on an unconfirmed payment, supplier concession, or cost reduction. Consequently, the UI surfaces assumptions, source references, risks, and next steps. Human approval in this prototype is an application event, not an external counterparty confirmation or legal authorization.</w:t>
      </w:r>
    </w:p>
    <w:p>
      <w:pPr>
        <w:pStyle w:val="Heading1"/>
        <w:keepNext/>
      </w:pPr>
      <w:r>
        <w:rPr>
          <w:rFonts w:ascii="Times New Roman" w:hAnsi="Times New Roman" w:eastAsia="Times New Roman"/>
        </w:rPr>
        <w:t>7. Security design</w:t>
      </w:r>
    </w:p>
    <w:p>
      <w:pPr>
        <w:pStyle w:val="Heading2"/>
        <w:keepNext/>
      </w:pPr>
      <w:r>
        <w:rPr>
          <w:rFonts w:ascii="Times New Roman" w:hAnsi="Times New Roman" w:eastAsia="Times New Roman"/>
        </w:rPr>
        <w:t>7.1. Role and permission model</w:t>
      </w:r>
    </w:p>
    <w:p>
      <w:pPr>
        <w:spacing w:after="100" w:line="269" w:lineRule="auto"/>
      </w:pPr>
      <w:r>
        <w:rPr>
          <w:rFonts w:ascii="Times New Roman" w:hAnsi="Times New Roman" w:eastAsia="Times New Roman"/>
          <w:sz w:val="22"/>
        </w:rPr>
        <w:t>The application defines owner, finance_ops, viewer, and auditor roles. The identity resolved for an action comes from a server-issued session token and user record. Permission checks occur in services, not solely through hidden navigation. Action classes are READ, DRAFT, APPROVAL_REQUIRED, and MONEY_MOVEMENT (always denied). Denial events are audited.</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Action</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Owner</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finance_ops</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Viewer</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Auditor</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Tier</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dashboard.view; security.view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READ</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copilot.ask</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READ</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audit.view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READ</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approvals.view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READ</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lab.run; scenario.change; data.upload; draft.create</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DRAFT</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assumptions.manage</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DRAFT</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draft.approve; draft.reject; execution.simulate</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APPROVAL_REQUIRED</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money.move</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MONEY_MOVEMENT</w:t>
            </w:r>
          </w:p>
        </w:tc>
      </w:tr>
    </w:tbl>
    <w:p>
      <w:pPr>
        <w:spacing w:after="0"/>
      </w:pPr>
    </w:p>
    <w:p>
      <w:pPr>
        <w:spacing w:after="120" w:line="269" w:lineRule="auto"/>
      </w:pPr>
      <w:r>
        <w:rPr>
          <w:rFonts w:ascii="Times New Roman" w:hAnsi="Times New Roman" w:eastAsia="Times New Roman"/>
          <w:i w:val="0"/>
          <w:sz w:val="22"/>
        </w:rPr>
        <w:t>Table 12 links the high-level roles to service actions. The authoritative policy is the registry in services/permissions.py; individual services call authorize() before data mutation. This table summarizes current behavior and should be checked against that registry after any role change.</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Action / tier</w:t>
            </w:r>
          </w:p>
        </w:tc>
        <w:tc>
          <w:tcPr>
            <w:tcW w:type="dxa" w:w="1666"/>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owner</w:t>
            </w:r>
          </w:p>
        </w:tc>
        <w:tc>
          <w:tcPr>
            <w:tcW w:type="dxa" w:w="1666"/>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finance_ops</w:t>
            </w:r>
          </w:p>
        </w:tc>
        <w:tc>
          <w:tcPr>
            <w:tcW w:type="dxa" w:w="1666"/>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viewer</w:t>
            </w:r>
          </w:p>
        </w:tc>
        <w:tc>
          <w:tcPr>
            <w:tcW w:type="dxa" w:w="1666"/>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auditor</w:t>
            </w:r>
          </w:p>
        </w:tc>
        <w:tc>
          <w:tcPr>
            <w:tcW w:type="dxa" w:w="1666"/>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Enforced by</w:t>
            </w:r>
          </w:p>
        </w:tc>
      </w:tr>
      <w:tr>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dashboard.view / READ</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Permission registry</w:t>
            </w:r>
          </w:p>
        </w:tc>
      </w:tr>
      <w:tr>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copilot.ask / READ</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services.copilot</w:t>
            </w:r>
          </w:p>
        </w:tc>
      </w:tr>
      <w:tr>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audit.view / READ</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services.audit</w:t>
            </w:r>
          </w:p>
        </w:tc>
      </w:tr>
      <w:tr>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lab.run, scenario.change, data.upload, draft.create / DRAFT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actions / validation / agent_actions</w:t>
            </w:r>
          </w:p>
        </w:tc>
      </w:tr>
      <w:tr>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assumptions.manage / DRAFT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Permission registry</w:t>
            </w:r>
          </w:p>
        </w:tc>
      </w:tr>
      <w:tr>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draft.approve, draft.reject, execution.simulate / APPROVAL_REQUIRED</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services.agent_actions state checks</w:t>
            </w:r>
          </w:p>
        </w:tc>
      </w:tr>
      <w:tr>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money.move / MONEY_MOVEMENT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w:t>
            </w:r>
          </w:p>
        </w:tc>
        <w:tc>
          <w:tcPr>
            <w:tcW w:type="dxa" w:w="1666"/>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Always denied; audited</w:t>
            </w:r>
          </w:p>
        </w:tc>
      </w:tr>
    </w:tbl>
    <w:p>
      <w:pPr>
        <w:keepNext w:val="0"/>
        <w:spacing w:after="160"/>
        <w:jc w:val="center"/>
      </w:pPr>
      <w:r>
        <w:rPr>
          <w:rFonts w:ascii="Times New Roman" w:hAnsi="Times New Roman" w:eastAsia="Times New Roman"/>
          <w:i/>
          <w:color w:val="596963"/>
          <w:sz w:val="22"/>
        </w:rPr>
        <w:t>Table 12. Role/action matrix. A dash denotes denial.</w:t>
      </w:r>
    </w:p>
    <w:p>
      <w:pPr>
        <w:spacing w:after="120" w:line="269" w:lineRule="auto"/>
      </w:pPr>
      <w:r>
        <w:rPr>
          <w:rFonts w:ascii="Times New Roman" w:hAnsi="Times New Roman" w:eastAsia="Times New Roman"/>
          <w:i w:val="0"/>
          <w:sz w:val="22"/>
        </w:rPr>
        <w:t>This design follows least authority within the prototype: read capabilities are broad but action capabilities narrow as impact rises. The UI may hide unauthorized controls, but the service still checks the role and current object state. All denials create audit evidence so an attempted privilege escalation is visible in the local log.</w:t>
      </w:r>
    </w:p>
    <w:p>
      <w:pPr>
        <w:pStyle w:val="Heading2"/>
        <w:keepNext/>
      </w:pPr>
      <w:r>
        <w:rPr>
          <w:rFonts w:ascii="Times New Roman" w:hAnsi="Times New Roman" w:eastAsia="Times New Roman"/>
        </w:rPr>
        <w:t>7.2. Audit integrity and storage</w:t>
      </w:r>
    </w:p>
    <w:p>
      <w:pPr>
        <w:spacing w:after="100" w:line="269" w:lineRule="auto"/>
      </w:pPr>
      <w:r>
        <w:rPr>
          <w:rFonts w:ascii="Times New Roman" w:hAnsi="Times New Roman" w:eastAsia="Times New Roman"/>
          <w:sz w:val="22"/>
        </w:rPr>
        <w:t>Audit records are sanitized and size-limited, appended to SQLite, and linked by SHA-256 previous-record hashes. Local SQLite update/delete triggers guard ordinary application paths; a verifier detects broken links and tampering. This is tamper-evident local storage, not immutable or independently replicated evidence. A host administrator can replace the file or disable local triggers. Agent drafts and simulated-action logs are also local; backup, tenant isolation, and disaster recovery are not implemented.</w:t>
      </w:r>
    </w:p>
    <w:p>
      <w:pPr>
        <w:pStyle w:val="Heading2"/>
        <w:keepNext/>
      </w:pPr>
      <w:r>
        <w:rPr>
          <w:rFonts w:ascii="Times New Roman" w:hAnsi="Times New Roman" w:eastAsia="Times New Roman"/>
        </w:rPr>
        <w:t>7.3. Upload and prompt-injection controls</w:t>
      </w:r>
    </w:p>
    <w:p>
      <w:pPr>
        <w:spacing w:after="100" w:line="269" w:lineRule="auto"/>
      </w:pPr>
      <w:r>
        <w:rPr>
          <w:rFonts w:ascii="Times New Roman" w:hAnsi="Times New Roman" w:eastAsia="Times New Roman"/>
          <w:sz w:val="22"/>
        </w:rPr>
        <w:t>Uploads use bounded size/row/text inputs, typed field validation, duplicate/currency/date checks, and formula neutralization. Copilot treats both questions and imported text as untrusted; it excludes free text and entity names from evidence, restricts supported intents, has no tools, checks evidence IDs and numbers, and falls back offline. The project’s security suite documents 10 poisoned-name cases excluded from the evidence pack and grounded-receipt checks. These controls reduce exposure in the implemented workflow but do not solve prompt injection generally. An optional provider still receives the question and masked numeric evidence; its retention and security are outside this project’s control.</w:t>
      </w:r>
    </w:p>
    <w:p>
      <w:pPr>
        <w:pStyle w:val="Heading2"/>
        <w:keepNext/>
      </w:pPr>
      <w:r>
        <w:rPr>
          <w:rFonts w:ascii="Times New Roman" w:hAnsi="Times New Roman" w:eastAsia="Times New Roman"/>
        </w:rPr>
        <w:t>7.4. STRIDE summary</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Threat</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Example</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Controls implemented</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Residual risk</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Spoofing</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Forged session role</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PBKDF2 password hashes; server-side token resolution</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Demo credentials/quick sign-in; no MFA or production identity provider</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Tampering</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Alter draft or audit history</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State-checked transitions; SQLite triggers; SHA-256 chain and verifier</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Local administrator can replace DB or disable guards</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Repudiation</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Deny an approval</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Actor/role/action events linked in local audit chain</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 independent clock or host attestation</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Information disclosure</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Names/query text sent to LLM</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Masked pack; query hash in audit; environment-held key</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Configured provider receives query and masked financial values</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Denial of service</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Large upload/provider call</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5 MiB/50k-row/500-char bounds; 20s provider timeout</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 rate limit, quota, or concurrent-job scheduler</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Elevation of privilege</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Viewer moves money</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Backend authorize checks; owner-only approvals; money movement denied</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Local source/database administrator can alter prototype</w:t>
            </w:r>
          </w:p>
        </w:tc>
      </w:tr>
    </w:tbl>
    <w:p>
      <w:pPr>
        <w:spacing w:after="0"/>
      </w:pPr>
    </w:p>
    <w:p>
      <w:pPr>
        <w:spacing w:after="100" w:line="269" w:lineRule="auto"/>
      </w:pPr>
      <w:r>
        <w:rPr>
          <w:rFonts w:ascii="Times New Roman" w:hAnsi="Times New Roman" w:eastAsia="Times New Roman"/>
          <w:sz w:val="22"/>
        </w:rPr>
        <w:t>This mapping is a project self-assessment against common threat categories and OWASP GenAI risks [7–9]. It is not a penetration test, compliance attestation, or independent security review. The project self-assessment should be reconciled against the current official OWASP edition before submission: the public OWASP archive currently identifies its list as the 2025 edition, while an existing project note labels it 2026 [7].</w:t>
      </w:r>
    </w:p>
    <w:p>
      <w:pPr>
        <w:pStyle w:val="Heading1"/>
        <w:keepNext/>
      </w:pPr>
      <w:r>
        <w:rPr>
          <w:rFonts w:ascii="Times New Roman" w:hAnsi="Times New Roman" w:eastAsia="Times New Roman"/>
        </w:rPr>
        <w:t>8. Implementation and interface</w:t>
      </w:r>
    </w:p>
    <w:p>
      <w:pPr>
        <w:spacing w:after="100" w:line="269" w:lineRule="auto"/>
      </w:pPr>
      <w:r>
        <w:rPr>
          <w:rFonts w:ascii="Times New Roman" w:hAnsi="Times New Roman" w:eastAsia="Times New Roman"/>
          <w:sz w:val="22"/>
        </w:rPr>
        <w:t>The project is implemented in Python 3.11 with Streamlit 1.66.0, pandas 3.0.6, NumPy 2.4.6, Plotly 7.1.0, Pydantic 2.14.1, SQLite, pytest 9.1.1, and Ruff 0.17.1 as recorded in the project requirements. The app is designed to run locally and offline; optional LLM configuration is external and unset by default. The public Overview image below is a current 1440 px capture of the redesigned green interface. It is not a signed-in Case 3 financial dashboard; the report therefore marks the required signed-in screenshots individually in red.</w:t>
      </w:r>
    </w:p>
    <w:p>
      <w:r>
        <w:rPr>
          <w:rFonts w:ascii="Times New Roman" w:hAnsi="Times New Roman" w:eastAsia="Times New Roman"/>
        </w:rPr>
        <w:drawing>
          <wp:inline xmlns:a="http://schemas.openxmlformats.org/drawingml/2006/main" xmlns:pic="http://schemas.openxmlformats.org/drawingml/2006/picture">
            <wp:extent cx="5669280" cy="4330700"/>
            <wp:docPr id="5" name="Picture 5"/>
            <wp:cNvGraphicFramePr>
              <a:graphicFrameLocks noChangeAspect="1"/>
            </wp:cNvGraphicFramePr>
            <a:graphic>
              <a:graphicData uri="http://schemas.openxmlformats.org/drawingml/2006/picture">
                <pic:pic>
                  <pic:nvPicPr>
                    <pic:cNvPr id="0" name="overview.png"/>
                    <pic:cNvPicPr/>
                  </pic:nvPicPr>
                  <pic:blipFill>
                    <a:blip r:embed="rId15"/>
                    <a:stretch>
                      <a:fillRect/>
                    </a:stretch>
                  </pic:blipFill>
                  <pic:spPr>
                    <a:xfrm>
                      <a:off x="0" y="0"/>
                      <a:ext cx="5669280" cy="4330700"/>
                    </a:xfrm>
                    <a:prstGeom prst="rect"/>
                  </pic:spPr>
                </pic:pic>
              </a:graphicData>
            </a:graphic>
          </wp:inline>
        </w:drawing>
      </w:r>
    </w:p>
    <w:p>
      <w:pPr>
        <w:spacing w:after="160"/>
        <w:jc w:val="center"/>
      </w:pPr>
      <w:r>
        <w:rPr>
          <w:rFonts w:ascii="Times New Roman" w:hAnsi="Times New Roman" w:eastAsia="Times New Roman"/>
          <w:i/>
          <w:color w:val="596963"/>
          <w:sz w:val="22"/>
        </w:rPr>
        <w:t>Figure 9. Current public StratifyAI landing/Overview shell capture (docs/img/overview.png, 1440 px). This view does not replace the signed-in dashboard evidence requested below.</w:t>
      </w: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[F2 — signed-in dashboard — IMAGE REQUIRED: Overview, Case 3, owner role]</w:t>
            </w:r>
          </w:p>
          <w:p>
            <w:pPr>
              <w:spacing w:after="40"/>
            </w:pPr>
            <w:r>
              <w:rPr>
                <w:rFonts w:ascii="Times New Roman" w:hAnsi="Times New Roman" w:eastAsia="Times New Roman"/>
                <w:b w:val="0"/>
                <w:color w:val="C00000"/>
                <w:sz w:val="22"/>
              </w:rPr>
              <w:t>Source: app/pages/overview.py; current UI capture to be saved as docs/img/overview-owner-case3.png</w:t>
            </w:r>
          </w:p>
          <w:p>
            <w:pPr>
              <w:spacing w:after="40"/>
            </w:pPr>
            <w:r>
              <w:rPr>
                <w:rFonts w:ascii="Times New Roman" w:hAnsi="Times New Roman" w:eastAsia="Times New Roman"/>
                <w:b w:val="0"/>
                <w:color w:val="C00000"/>
                <w:sz w:val="22"/>
              </w:rPr>
              <w:t>Capture: Sign in as demo owner, select Case 3, show headline cash/reserve metrics and the actual/forecast/P10–P90 chart. Crop browser chrome; retain page labels and data-layer labels.</w:t>
            </w:r>
          </w:p>
          <w:p>
            <w:pPr>
              <w:spacing w:after="40"/>
            </w:pPr>
            <w:r>
              <w:rPr>
                <w:rFonts w:ascii="Times New Roman" w:hAnsi="Times New Roman" w:eastAsia="Times New Roman"/>
                <w:b w:val="0"/>
                <w:color w:val="C00000"/>
                <w:sz w:val="22"/>
              </w:rPr>
              <w:t>Placement: 6.2 in wide; landscape; keep chart and KPI labels readable.</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[F3 — IMAGE REQUIRED: Cash Flow forecast]</w:t>
            </w:r>
          </w:p>
          <w:p>
            <w:pPr>
              <w:spacing w:after="40"/>
            </w:pPr>
            <w:r>
              <w:rPr>
                <w:rFonts w:ascii="Times New Roman" w:hAnsi="Times New Roman" w:eastAsia="Times New Roman"/>
                <w:b w:val="0"/>
                <w:color w:val="C00000"/>
                <w:sz w:val="22"/>
              </w:rPr>
              <w:t>Source: app/pages/cashflow.py → docs/img/cashflow.png</w:t>
            </w:r>
          </w:p>
          <w:p>
            <w:pPr>
              <w:spacing w:after="40"/>
            </w:pPr>
            <w:r>
              <w:rPr>
                <w:rFonts w:ascii="Times New Roman" w:hAnsi="Times New Roman" w:eastAsia="Times New Roman"/>
                <w:b w:val="0"/>
                <w:color w:val="C00000"/>
                <w:sz w:val="22"/>
              </w:rPr>
              <w:t>Capture: Case 3 signed-in view showing actual history, forecast horizon, reserve line, P10–P90 band, shortage alert and weekly labels.</w:t>
            </w:r>
          </w:p>
          <w:p>
            <w:pPr>
              <w:spacing w:after="40"/>
            </w:pPr>
            <w:r>
              <w:rPr>
                <w:rFonts w:ascii="Times New Roman" w:hAnsi="Times New Roman" w:eastAsia="Times New Roman"/>
                <w:b w:val="0"/>
                <w:color w:val="C00000"/>
                <w:sz w:val="22"/>
              </w:rPr>
              <w:t>Placement: 6.2 in wide; landscape chart plus alert, not the entire long page.</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[F4 — IMAGE REQUIRED: Decision Lab comparison and recommended plan]</w:t>
            </w:r>
          </w:p>
          <w:p>
            <w:pPr>
              <w:spacing w:after="40"/>
            </w:pPr>
            <w:r>
              <w:rPr>
                <w:rFonts w:ascii="Times New Roman" w:hAnsi="Times New Roman" w:eastAsia="Times New Roman"/>
                <w:b w:val="0"/>
                <w:color w:val="C00000"/>
                <w:sz w:val="22"/>
              </w:rPr>
              <w:t>Source: app/pages/lab.py → docs/img/lab.png</w:t>
            </w:r>
          </w:p>
          <w:p>
            <w:pPr>
              <w:spacing w:after="40"/>
            </w:pPr>
            <w:r>
              <w:rPr>
                <w:rFonts w:ascii="Times New Roman" w:hAnsi="Times New Roman" w:eastAsia="Times New Roman"/>
                <w:b w:val="0"/>
                <w:color w:val="C00000"/>
                <w:sz w:val="22"/>
              </w:rPr>
              <w:t>Capture: Case 3 owner view showing Option 0/A/B/C comparison, selected best plan, reserve threshold, costs and explicit feasibility.</w:t>
            </w:r>
          </w:p>
          <w:p>
            <w:pPr>
              <w:spacing w:after="40"/>
            </w:pPr>
            <w:r>
              <w:rPr>
                <w:rFonts w:ascii="Times New Roman" w:hAnsi="Times New Roman" w:eastAsia="Times New Roman"/>
                <w:b w:val="0"/>
                <w:color w:val="C00000"/>
                <w:sz w:val="22"/>
              </w:rPr>
              <w:t>Placement: 6.2 in wide; landscape; include recommendation explanation if legible.</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[F5 — IMAGE REQUIRED: Decision Lab levers and stress controls]</w:t>
            </w:r>
          </w:p>
          <w:p>
            <w:pPr>
              <w:spacing w:after="40"/>
            </w:pPr>
            <w:r>
              <w:rPr>
                <w:rFonts w:ascii="Times New Roman" w:hAnsi="Times New Roman" w:eastAsia="Times New Roman"/>
                <w:b w:val="0"/>
                <w:color w:val="C00000"/>
                <w:sz w:val="22"/>
              </w:rPr>
              <w:t>Source: app/pages/lab.py → docs/img/lab-levers.png</w:t>
            </w:r>
          </w:p>
          <w:p>
            <w:pPr>
              <w:spacing w:after="40"/>
            </w:pPr>
            <w:r>
              <w:rPr>
                <w:rFonts w:ascii="Times New Roman" w:hAnsi="Times New Roman" w:eastAsia="Times New Roman"/>
                <w:b w:val="0"/>
                <w:color w:val="C00000"/>
                <w:sz w:val="22"/>
              </w:rPr>
              <w:t>Capture: Show L1/L2/L3 controls and one stress/import assumption panel; visible slider values and HYPOTHETICAL labels.</w:t>
            </w:r>
          </w:p>
          <w:p>
            <w:pPr>
              <w:spacing w:after="40"/>
            </w:pPr>
            <w:r>
              <w:rPr>
                <w:rFonts w:ascii="Times New Roman" w:hAnsi="Times New Roman" w:eastAsia="Times New Roman"/>
                <w:b w:val="0"/>
                <w:color w:val="C00000"/>
                <w:sz w:val="22"/>
              </w:rPr>
              <w:t>Placement: 6.2 in wide; crop to controls and resulting comparison.</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[F6 — IMAGE REQUIRED: Financing schedule and readiness]</w:t>
            </w:r>
          </w:p>
          <w:p>
            <w:pPr>
              <w:spacing w:after="40"/>
            </w:pPr>
            <w:r>
              <w:rPr>
                <w:rFonts w:ascii="Times New Roman" w:hAnsi="Times New Roman" w:eastAsia="Times New Roman"/>
                <w:b w:val="0"/>
                <w:color w:val="C00000"/>
                <w:sz w:val="22"/>
              </w:rPr>
              <w:t>Source: app/pages/financing.py → docs/img/financing.png</w:t>
            </w:r>
          </w:p>
          <w:p>
            <w:pPr>
              <w:spacing w:after="40"/>
            </w:pPr>
            <w:r>
              <w:rPr>
                <w:rFonts w:ascii="Times New Roman" w:hAnsi="Times New Roman" w:eastAsia="Times New Roman"/>
                <w:b w:val="0"/>
                <w:color w:val="C00000"/>
                <w:sz w:val="22"/>
              </w:rPr>
              <w:t>Capture: Show selected illustrative template, editable terms, schedule/cost summary and readiness indicator disclaimer.</w:t>
            </w:r>
          </w:p>
          <w:p>
            <w:pPr>
              <w:spacing w:after="40"/>
            </w:pPr>
            <w:r>
              <w:rPr>
                <w:rFonts w:ascii="Times New Roman" w:hAnsi="Times New Roman" w:eastAsia="Times New Roman"/>
                <w:b w:val="0"/>
                <w:color w:val="C00000"/>
                <w:sz w:val="22"/>
              </w:rPr>
              <w:t>Placement: 6.2 in wide; include illustrative-terms banner and table heading.</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[F7 — IMAGE REQUIRED: Business Analysis and watchlist]</w:t>
            </w:r>
          </w:p>
          <w:p>
            <w:pPr>
              <w:spacing w:after="40"/>
            </w:pPr>
            <w:r>
              <w:rPr>
                <w:rFonts w:ascii="Times New Roman" w:hAnsi="Times New Roman" w:eastAsia="Times New Roman"/>
                <w:b w:val="0"/>
                <w:color w:val="C00000"/>
                <w:sz w:val="22"/>
              </w:rPr>
              <w:t>Source: app/pages/analysis.py → docs/img/analysis.png</w:t>
            </w:r>
          </w:p>
          <w:p>
            <w:pPr>
              <w:spacing w:after="40"/>
            </w:pPr>
            <w:r>
              <w:rPr>
                <w:rFonts w:ascii="Times New Roman" w:hAnsi="Times New Roman" w:eastAsia="Times New Roman"/>
                <w:b w:val="0"/>
                <w:color w:val="C00000"/>
                <w:sz w:val="22"/>
              </w:rPr>
              <w:t>Capture: Case 2 signed-in view with analysis summary and customer watchlist; show score labels and invoice-level evidence when possible.</w:t>
            </w:r>
          </w:p>
          <w:p>
            <w:pPr>
              <w:spacing w:after="40"/>
            </w:pPr>
            <w:r>
              <w:rPr>
                <w:rFonts w:ascii="Times New Roman" w:hAnsi="Times New Roman" w:eastAsia="Times New Roman"/>
                <w:b w:val="0"/>
                <w:color w:val="C00000"/>
                <w:sz w:val="22"/>
              </w:rPr>
              <w:t>Placement: 6.2 in wide; include synthetic-data label.</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[F8 — IMAGE REQUIRED: Copilot answer and evidence used]</w:t>
            </w:r>
          </w:p>
          <w:p>
            <w:pPr>
              <w:spacing w:after="40"/>
            </w:pPr>
            <w:r>
              <w:rPr>
                <w:rFonts w:ascii="Times New Roman" w:hAnsi="Times New Roman" w:eastAsia="Times New Roman"/>
                <w:b w:val="0"/>
                <w:color w:val="C00000"/>
                <w:sz w:val="22"/>
              </w:rPr>
              <w:t>Source: app/pages/copilot.py → docs/img/copilot.png</w:t>
            </w:r>
          </w:p>
          <w:p>
            <w:pPr>
              <w:spacing w:after="40"/>
            </w:pPr>
            <w:r>
              <w:rPr>
                <w:rFonts w:ascii="Times New Roman" w:hAnsi="Times New Roman" w:eastAsia="Times New Roman"/>
                <w:b w:val="0"/>
                <w:color w:val="C00000"/>
                <w:sz w:val="22"/>
              </w:rPr>
              <w:t>Capture: Show a grounded liquidity/funding answer, evidence IDs/receipt, offline mode, and expanded “Evidence used” panel.</w:t>
            </w:r>
          </w:p>
          <w:p>
            <w:pPr>
              <w:spacing w:after="40"/>
            </w:pPr>
            <w:r>
              <w:rPr>
                <w:rFonts w:ascii="Times New Roman" w:hAnsi="Times New Roman" w:eastAsia="Times New Roman"/>
                <w:b w:val="0"/>
                <w:color w:val="C00000"/>
                <w:sz w:val="22"/>
              </w:rPr>
              <w:t>Placement: 6.2 in wide; mask any local secrets; synthetic case only.</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[F9 — IMAGE REQUIRED: Draft approval workflow]</w:t>
            </w:r>
          </w:p>
          <w:p>
            <w:pPr>
              <w:spacing w:after="40"/>
            </w:pPr>
            <w:r>
              <w:rPr>
                <w:rFonts w:ascii="Times New Roman" w:hAnsi="Times New Roman" w:eastAsia="Times New Roman"/>
                <w:b w:val="0"/>
                <w:color w:val="C00000"/>
                <w:sz w:val="22"/>
              </w:rPr>
              <w:t>Source: app/pages/approvals.py → docs/img/approvals.png</w:t>
            </w:r>
          </w:p>
          <w:p>
            <w:pPr>
              <w:spacing w:after="40"/>
            </w:pPr>
            <w:r>
              <w:rPr>
                <w:rFonts w:ascii="Times New Roman" w:hAnsi="Times New Roman" w:eastAsia="Times New Roman"/>
                <w:b w:val="0"/>
                <w:color w:val="C00000"/>
                <w:sz w:val="22"/>
              </w:rPr>
              <w:t>Capture: Show a submitted draft, owner approval/rejection controls and status timeline; use synthetic draft content.</w:t>
            </w:r>
          </w:p>
          <w:p>
            <w:pPr>
              <w:spacing w:after="40"/>
            </w:pPr>
            <w:r>
              <w:rPr>
                <w:rFonts w:ascii="Times New Roman" w:hAnsi="Times New Roman" w:eastAsia="Times New Roman"/>
                <w:b w:val="0"/>
                <w:color w:val="C00000"/>
                <w:sz w:val="22"/>
              </w:rPr>
              <w:t>Placement: 6.2 in wide; include actor/role/status context without browser chrome.</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[F10 — IMAGE REQUIRED: Audit chain verification]</w:t>
            </w:r>
          </w:p>
          <w:p>
            <w:pPr>
              <w:spacing w:after="40"/>
            </w:pPr>
            <w:r>
              <w:rPr>
                <w:rFonts w:ascii="Times New Roman" w:hAnsi="Times New Roman" w:eastAsia="Times New Roman"/>
                <w:b w:val="0"/>
                <w:color w:val="C00000"/>
                <w:sz w:val="22"/>
              </w:rPr>
              <w:t>Source: app/pages/approvals.py → docs/img/audit-verify.png</w:t>
            </w:r>
          </w:p>
          <w:p>
            <w:pPr>
              <w:spacing w:after="40"/>
            </w:pPr>
            <w:r>
              <w:rPr>
                <w:rFonts w:ascii="Times New Roman" w:hAnsi="Times New Roman" w:eastAsia="Times New Roman"/>
                <w:b w:val="0"/>
                <w:color w:val="C00000"/>
                <w:sz w:val="22"/>
              </w:rPr>
              <w:t>Capture: Show Verify chain action and successful verification result on a fresh demo database.</w:t>
            </w:r>
          </w:p>
          <w:p>
            <w:pPr>
              <w:spacing w:after="40"/>
            </w:pPr>
            <w:r>
              <w:rPr>
                <w:rFonts w:ascii="Times New Roman" w:hAnsi="Times New Roman" w:eastAsia="Times New Roman"/>
                <w:b w:val="0"/>
                <w:color w:val="C00000"/>
                <w:sz w:val="22"/>
              </w:rPr>
              <w:t>Placement: 6.2 in wide; include verification status and event list context.</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[F11 — IMAGE REQUIRED: Upload validation report]</w:t>
            </w:r>
          </w:p>
          <w:p>
            <w:pPr>
              <w:spacing w:after="40"/>
            </w:pPr>
            <w:r>
              <w:rPr>
                <w:rFonts w:ascii="Times New Roman" w:hAnsi="Times New Roman" w:eastAsia="Times New Roman"/>
                <w:b w:val="0"/>
                <w:color w:val="C00000"/>
                <w:sz w:val="22"/>
              </w:rPr>
              <w:t>Source: app/pages/upload.py → docs/img/upload.png</w:t>
            </w:r>
          </w:p>
          <w:p>
            <w:pPr>
              <w:spacing w:after="40"/>
            </w:pPr>
            <w:r>
              <w:rPr>
                <w:rFonts w:ascii="Times New Roman" w:hAnsi="Times New Roman" w:eastAsia="Times New Roman"/>
                <w:b w:val="0"/>
                <w:color w:val="C00000"/>
                <w:sz w:val="22"/>
              </w:rPr>
              <w:t>Capture: Use a synthetic upload with a formula-like cell (=1+1); show it neutralized/reported and the validation result.</w:t>
            </w:r>
          </w:p>
          <w:p>
            <w:pPr>
              <w:spacing w:after="40"/>
            </w:pPr>
            <w:r>
              <w:rPr>
                <w:rFonts w:ascii="Times New Roman" w:hAnsi="Times New Roman" w:eastAsia="Times New Roman"/>
                <w:b w:val="0"/>
                <w:color w:val="C00000"/>
                <w:sz w:val="22"/>
              </w:rPr>
              <w:t>Placement: 6.2 in wide; ensure the formula cell is visible as input and neutralized output.</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Pr>
                <w:rFonts w:ascii="Times New Roman" w:hAnsi="Times New Roman" w:eastAsia="Times New Roman"/>
                <w:sz w:val="22"/>
              </w:rPr>
            </w:r>
            <w:r>
              <w:rPr>
                <w:rFonts w:ascii="Times New Roman" w:hAnsi="Times New Roman" w:eastAsia="Times New Roman"/>
                <w:b/>
                <w:color w:val="C00000"/>
                <w:sz w:val="22"/>
              </w:rPr>
              <w:t>[F12 — IMAGE REQUIRED: Security role matrix]</w:t>
            </w:r>
          </w:p>
          <w:p>
            <w:pPr>
              <w:spacing w:after="40"/>
            </w:pPr>
            <w:r>
              <w:rPr>
                <w:rFonts w:ascii="Times New Roman" w:hAnsi="Times New Roman" w:eastAsia="Times New Roman"/>
                <w:b w:val="0"/>
                <w:color w:val="C00000"/>
                <w:sz w:val="22"/>
              </w:rPr>
              <w:t>Source: app/pages/security.py → docs/img/security.png</w:t>
            </w:r>
          </w:p>
          <w:p>
            <w:pPr>
              <w:spacing w:after="40"/>
            </w:pPr>
            <w:r>
              <w:rPr>
                <w:rFonts w:ascii="Times New Roman" w:hAnsi="Times New Roman" w:eastAsia="Times New Roman"/>
                <w:b w:val="0"/>
                <w:color w:val="C00000"/>
                <w:sz w:val="22"/>
              </w:rPr>
              <w:t>Capture: Show role-action matrix and backend/security status panel.</w:t>
            </w:r>
          </w:p>
          <w:p>
            <w:pPr>
              <w:spacing w:after="40"/>
            </w:pPr>
            <w:r>
              <w:rPr>
                <w:rFonts w:ascii="Times New Roman" w:hAnsi="Times New Roman" w:eastAsia="Times New Roman"/>
                <w:b w:val="0"/>
                <w:color w:val="C00000"/>
                <w:sz w:val="22"/>
              </w:rPr>
              <w:t>Placement: 6.2 in wide; include role headings and MONEY_MOVEMENT denial if visible.</w:t>
            </w:r>
          </w:p>
        </w:tc>
      </w:tr>
    </w:tbl>
    <w:p>
      <w:pPr>
        <w:spacing w:after="0"/>
      </w:pPr>
    </w:p>
    <w:p>
      <w:pPr>
        <w:spacing w:after="100" w:line="269" w:lineRule="auto"/>
      </w:pPr>
      <w:r>
        <w:rPr>
          <w:rFonts w:ascii="Times New Roman" w:hAnsi="Times New Roman" w:eastAsia="Times New Roman"/>
          <w:sz w:val="22"/>
        </w:rPr>
        <w:t>All requested captures should be taken from the current signed-in UI at a 1440 px viewport, use synthetic cases, and be stored under docs/img/. Preserve enough surrounding UI to identify the page and scenario; crop browser chrome and unrelated empty space. Red placeholders are production instructions, not actual evidence and must be replaced before final submission.</w:t>
      </w:r>
    </w:p>
    <w:p>
      <w:pPr>
        <w:pStyle w:val="Heading1"/>
        <w:keepNext/>
      </w:pPr>
      <w:r>
        <w:rPr>
          <w:rFonts w:ascii="Times New Roman" w:hAnsi="Times New Roman" w:eastAsia="Times New Roman"/>
        </w:rPr>
        <w:t>9. Evaluation and evidence</w:t>
      </w:r>
    </w:p>
    <w:p>
      <w:pPr>
        <w:pStyle w:val="Heading2"/>
        <w:keepNext/>
      </w:pPr>
      <w:r>
        <w:rPr>
          <w:rFonts w:ascii="Times New Roman" w:hAnsi="Times New Roman" w:eastAsia="Times New Roman"/>
        </w:rPr>
        <w:t>9.1. Evaluation design and provenance</w:t>
      </w:r>
    </w:p>
    <w:p>
      <w:pPr>
        <w:spacing w:after="100" w:line="269" w:lineRule="auto"/>
      </w:pPr>
      <w:r>
        <w:rPr>
          <w:rFonts w:ascii="Times New Roman" w:hAnsi="Times New Roman" w:eastAsia="Times New Roman"/>
          <w:sz w:val="22"/>
        </w:rPr>
        <w:t>The repository contains several different evidence events and they are reported separately. The T15 evaluation bundle is timestamped 18 October 2026. It includes 13 scripted service workflows, 60 role/action decisions, 10 poisoned-name masking cases, grounding receipts, and audit tamper detection. The latest integrated QA record in docs/PROGRESS.md, dated 20 October 2026, records 205 passing tests after UI regression fixes. The older checked-in full test output records 197 tests for the earlier evaluation build. The current document does not claim that all security/workflow artifacts were rerun with the later UI test count.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Measure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Recorded result</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Interpretation</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Latest integrated test suite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205 passed; recorded 2026-10-20</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Project progress record; implementation regression coverage, not field validation</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T15 service workflow suite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13/13 passed; 2026-10-18</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Scripted case/service tasks in evidence/task_suite_results.md</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Authorization matrix</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60/60 decisions matched; 2026-10-18</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Role/action registry checks in evidence/security_eval.md</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Poisoned-name evidence filtering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10/10 excluded; 2026-10-18</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Security evaluation fixture, not comprehensive adversarial testing</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Audit tampering</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Tamper detected at entry 1</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Local chain-verifier test evidence</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Latest quality tooling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Ruff, health check, secret scan recorded passing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Per docs/PROGRESS.md; no claim these were rerun for this report</w:t>
            </w:r>
          </w:p>
        </w:tc>
      </w:tr>
    </w:tbl>
    <w:p>
      <w:pPr>
        <w:spacing w:after="0"/>
      </w:pPr>
    </w:p>
    <w:p>
      <w:pPr>
        <w:pStyle w:val="Heading2"/>
        <w:keepNext/>
      </w:pPr>
      <w:r>
        <w:rPr>
          <w:rFonts w:ascii="Times New Roman" w:hAnsi="Times New Roman" w:eastAsia="Times New Roman"/>
        </w:rPr>
        <w:t>9.2. Synthetic holdout forecast comparison</w:t>
      </w:r>
    </w:p>
    <w:p>
      <w:pPr>
        <w:spacing w:after="100" w:line="269" w:lineRule="auto"/>
      </w:pPr>
      <w:r>
        <w:rPr>
          <w:rFonts w:ascii="Times New Roman" w:hAnsi="Times New Roman" w:eastAsia="Times New Roman"/>
          <w:sz w:val="22"/>
        </w:rPr>
        <w:t>The checked-in backtest uses 29 training weeks and a 10-week holdout per case, with a 4 May 2026 cutoff. The deterministic model is compared with a naïve average of the last four weeks’ net cash flow. MAE is stated in BDT per week and WAPE as a percentage. In all five cases, the project forecast has higher MAE and WAPE than the naïve baseline. This is a negative result and rules out any claim of demonstrated forecast improvement in this experiment.</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Synthetic case</w:t>
            </w:r>
          </w:p>
        </w:tc>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Model MAE (BDT/wk)</w:t>
            </w:r>
          </w:p>
        </w:tc>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Model WAPE</w:t>
            </w:r>
          </w:p>
        </w:tc>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Naive MAE (BDT/wk)</w:t>
            </w:r>
          </w:p>
        </w:tc>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Naive WAPE</w:t>
            </w:r>
          </w:p>
        </w:tc>
      </w:tr>
      <w:tr>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Stable healthy</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255,371</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3.3099 (330.99%)</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32,631</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0.4229 (42.29%)</w:t>
            </w:r>
          </w:p>
        </w:tc>
      </w:tr>
      <w:tr>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Sales drop / cost rise</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166,949</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2.3137 (231.37%)</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140,806</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1.9514 (195.14%)</w:t>
            </w:r>
          </w:p>
        </w:tc>
      </w:tr>
      <w:tr>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High-expense shortage</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256,412</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3.7469 (374.69%)</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26,177</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0.3825 (38.25%)</w:t>
            </w:r>
          </w:p>
        </w:tc>
      </w:tr>
      <w:tr>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Delayed customer payments</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297,374</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9.8917 (989.17%)</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18,340</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0.6101 (61.01%)</w:t>
            </w:r>
          </w:p>
        </w:tc>
      </w:tr>
      <w:tr>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Import financing</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299,113</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5.7699 (576.99%)</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23,607</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0.4554 (45.54%)</w:t>
            </w:r>
          </w:p>
        </w:tc>
      </w:tr>
    </w:tbl>
    <w:p>
      <w:pPr>
        <w:spacing w:after="0"/>
      </w:pPr>
    </w:p>
    <w:p>
      <w:pPr>
        <w:spacing w:after="160"/>
        <w:jc w:val="center"/>
      </w:pPr>
      <w:r>
        <w:rPr>
          <w:rFonts w:ascii="Times New Roman" w:hAnsi="Times New Roman" w:eastAsia="Times New Roman"/>
          <w:i/>
          <w:color w:val="596963"/>
          <w:sz w:val="22"/>
        </w:rPr>
        <w:t>Table 15. Per-case holdout metrics transcribed from evidence/backtest_results.csv. Lower is better; the model loses to the naïve baseline in every case.</w:t>
      </w:r>
    </w:p>
    <w:p>
      <w:pPr>
        <w:pStyle w:val="Heading2"/>
        <w:keepNext/>
      </w:pPr>
      <w:r>
        <w:rPr>
          <w:rFonts w:ascii="Times New Roman" w:hAnsi="Times New Roman" w:eastAsia="Times New Roman"/>
        </w:rPr>
        <w:t>9.3. Reserve and decision quality</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Case</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Selected plan</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Minimum balance (BDT)</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Reserve (BDT)</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Maintains reserve?</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Any-breach probability</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stable_healthy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Option 0</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3,246,587</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389,266</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Yes</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0.0%</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sales_drop_cost_rise</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Option 0</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−1,594,784</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529,254</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100.0%</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high_expense_shortage</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Option A</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−6,229,560</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622,696</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100.0%</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delayed_customer_payments</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Option 0</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−188,551</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452,786</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100.0%</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import_financing</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Option A</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253,079</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420,887</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98.45%</w:t>
            </w:r>
          </w:p>
        </w:tc>
      </w:tr>
    </w:tbl>
    <w:p>
      <w:pPr>
        <w:spacing w:after="0"/>
      </w:pPr>
    </w:p>
    <w:p>
      <w:pPr>
        <w:spacing w:after="160"/>
        <w:jc w:val="center"/>
      </w:pPr>
      <w:r>
        <w:rPr>
          <w:rFonts w:ascii="Times New Roman" w:hAnsi="Times New Roman" w:eastAsia="Times New Roman"/>
          <w:i/>
          <w:color w:val="596963"/>
          <w:sz w:val="22"/>
        </w:rPr>
        <w:t>Table 16. Decision-quality evidence from evidence/decision_quality.json. Only one of five selected plans maintained the reserve; breach probabilities are simulation outputs under the configured model.</w:t>
      </w:r>
    </w:p>
    <w:p>
      <w:pPr>
        <w:spacing w:after="100" w:line="269" w:lineRule="auto"/>
      </w:pPr>
      <w:r>
        <w:rPr>
          <w:rFonts w:ascii="Times New Roman" w:hAnsi="Times New Roman" w:eastAsia="Times New Roman"/>
          <w:sz w:val="22"/>
        </w:rPr>
        <w:t>The simulator’s 100% probabilities in several fixtures are outcomes for the configured synthetic assumptions and 2,000-run simulation. They should not be interpreted as empirical default or insolvency probabilities. Four cases have no selected plan that keeps reserve under the deterministic path. The report therefore emphasizes transparent shortfall disclosure rather than success rates.</w:t>
      </w:r>
    </w:p>
    <w:p>
      <w:pPr>
        <w:spacing w:after="120" w:line="269" w:lineRule="auto"/>
      </w:pPr>
      <w:r>
        <w:rPr>
          <w:rFonts w:ascii="Times New Roman" w:hAnsi="Times New Roman" w:eastAsia="Times New Roman"/>
          <w:i w:val="0"/>
          <w:sz w:val="22"/>
        </w:rPr>
        <w:t>MAE is the average absolute weekly error in net cash flow. WAPE is total absolute error divided by the total absolute observed flow over the holdout; it is reported as a ratio and percent. Smaller is better for both. The model loses to the selected baseline on each case, including the delayed-payment case where WAPE is especially large. The baseline is intentionally simple, but this adverse result is still evidence against claiming the current rules are accurate.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Case result</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What the observed row tells us</w:t>
            </w:r>
          </w:p>
        </w:tc>
        <w:tc>
          <w:tcPr>
            <w:tcW w:type="dxa" w:w="3331"/>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Interpretive boundary</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stable_healthy: model MAE BDT 255,371; baseline BDT 32,631</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Baseline errors are substantially smaller on this holdout</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Does not establish which method generalizes beyond the fixture</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sales_drop_cost_rise: model BDT 166,949; baseline BDT 140,806</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Model error is higher, though the gap is smaller than in other cases</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No statistical significance test or independent test population</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high_expense_shortage: model BDT 256,412; baseline BDT 26,177</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The modeled run rate does not track this holdout well</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Do not rely on the alert as a calibrated forecast</w:t>
            </w:r>
          </w:p>
        </w:tc>
      </w:tr>
      <w:tr>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delayed_customer_payments: model BDT 297,374; baseline BDT 18,340</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Payment-delay timing heuristic misses much of the observed pattern</w:t>
            </w:r>
          </w:p>
        </w:tc>
        <w:tc>
          <w:tcPr>
            <w:tcW w:type="dxa" w:w="3331"/>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Need richer payment history and better timing model</w:t>
            </w:r>
          </w:p>
        </w:tc>
      </w:tr>
      <w:tr>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import_financing: model BDT 299,113; baseline BDT 23,607</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Editable import assumptions do not imply forecasting accuracy</w:t>
            </w:r>
          </w:p>
        </w:tc>
        <w:tc>
          <w:tcPr>
            <w:tcW w:type="dxa" w:w="3331"/>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FX, deposit, lead-time and sales ramp remain assumptions</w:t>
            </w:r>
          </w:p>
        </w:tc>
      </w:tr>
    </w:tbl>
    <w:p>
      <w:pPr>
        <w:keepNext w:val="0"/>
        <w:spacing w:after="160"/>
        <w:jc w:val="center"/>
      </w:pPr>
      <w:r>
        <w:rPr>
          <w:rFonts w:ascii="Times New Roman" w:hAnsi="Times New Roman" w:eastAsia="Times New Roman"/>
          <w:i/>
          <w:color w:val="596963"/>
          <w:sz w:val="22"/>
        </w:rPr>
        <w:t>Table 14. Per-case interpretation of the holdout errors. Values are from the checked-in CSV, rounded to the nearest BDT.</w:t>
      </w:r>
    </w:p>
    <w:p>
      <w:pPr>
        <w:spacing w:after="120" w:line="269" w:lineRule="auto"/>
      </w:pPr>
      <w:r>
        <w:rPr>
          <w:rFonts w:ascii="Times New Roman" w:hAnsi="Times New Roman" w:eastAsia="Times New Roman"/>
          <w:i w:val="0"/>
          <w:sz w:val="22"/>
        </w:rPr>
        <w:t>The decision-quality table is distinct from forecast accuracy. One of five selected plans kept the reserve in the recorded scenario output; in four cases, the system reported that no selected option fully maintained the reserve. This is useful functional behavior only if the shortfall is communicated plainly; it is not evidence the recommendations improve outcomes.</w:t>
      </w:r>
    </w:p>
    <w:p>
      <w:pPr>
        <w:pStyle w:val="Heading2"/>
        <w:keepNext/>
      </w:pPr>
      <w:r>
        <w:rPr>
          <w:rFonts w:ascii="Times New Roman" w:hAnsi="Times New Roman" w:eastAsia="Times New Roman"/>
        </w:rPr>
        <w:t>9.4. Evaluation limitations</w:t>
      </w:r>
    </w:p>
    <w:p>
      <w:pPr>
        <w:spacing w:after="100" w:line="269" w:lineRule="auto"/>
      </w:pPr>
      <w:r>
        <w:rPr>
          <w:rFonts w:ascii="Times New Roman" w:hAnsi="Times New Roman" w:eastAsia="Times New Roman"/>
          <w:sz w:val="22"/>
        </w:rPr>
        <w:t>There are only five synthetic cases and a single holdout arrangement. The forecasting system is rule-based, uses short recent run rates, and shows poor performance against the selected naïve baseline. The task suite checks expected workflow behavior, not user comprehension, operational savings, accessibility, or field deployment. Security checks cover enumerated controls and fixtures, not a full penetration test. The latest 205-test count is a progress-record result rather than an archived stdout file in the evidence directory. Before external presentation, the team should preserve a fresh dated test transcript and capture the requested signed-in screenshots.</w:t>
      </w:r>
    </w:p>
    <w:p>
      <w:pPr>
        <w:pStyle w:val="Heading1"/>
        <w:keepNext/>
      </w:pPr>
      <w:r>
        <w:rPr>
          <w:rFonts w:ascii="Times New Roman" w:hAnsi="Times New Roman" w:eastAsia="Times New Roman"/>
        </w:rPr>
        <w:t>10. Discussion, limitations and validity</w:t>
      </w:r>
    </w:p>
    <w:p>
      <w:pPr>
        <w:pStyle w:val="Heading2"/>
        <w:keepNext/>
      </w:pPr>
      <w:r>
        <w:rPr>
          <w:rFonts w:ascii="Times New Roman" w:hAnsi="Times New Roman" w:eastAsia="Times New Roman"/>
        </w:rPr>
        <w:t>10.1. What the results support</w:t>
      </w:r>
    </w:p>
    <w:p>
      <w:pPr>
        <w:spacing w:after="100" w:line="269" w:lineRule="auto"/>
      </w:pPr>
      <w:r>
        <w:rPr>
          <w:rFonts w:ascii="Times New Roman" w:hAnsi="Times New Roman" w:eastAsia="Times New Roman"/>
          <w:sz w:val="22"/>
        </w:rPr>
        <w:t>The implementation evidence supports that the tested workflows can be exercised end-to-end in the local synthetic prototype; service permissions matched the tested matrix; the audit verifier detected the tested tamper operation; and the answer validator is wired to computed evidence. It also supports that this particular forecast configuration did not outperform the chosen simple baseline in any of five synthetic cases and that the Lab often cannot maintain the configured reserve. Both findings are material to interpreting the system.</w:t>
      </w:r>
    </w:p>
    <w:p>
      <w:pPr>
        <w:pStyle w:val="Heading2"/>
        <w:keepNext/>
      </w:pPr>
      <w:r>
        <w:rPr>
          <w:rFonts w:ascii="Times New Roman" w:hAnsi="Times New Roman" w:eastAsia="Times New Roman"/>
        </w:rPr>
        <w:t>10.2. What the results do not support</w:t>
      </w:r>
    </w:p>
    <w:p>
      <w:pPr>
        <w:spacing w:after="100" w:line="269" w:lineRule="auto"/>
      </w:pPr>
      <w:r>
        <w:rPr>
          <w:rFonts w:ascii="Times New Roman" w:hAnsi="Times New Roman" w:eastAsia="Times New Roman"/>
          <w:sz w:val="22"/>
        </w:rPr>
        <w:t>The evidence does not establish forecast accuracy for real firms, a causal improvement in financial decisions, better access to finance, model calibration, fairness across populations, or deployment-grade security. Five generated cases cannot represent sector, geography, accounting practice, seasonal variation, or customer behavior. The backtest is short and synthetic, and the baseline is one comparator. Consequently, conclusions are limited to design and test behavior under the specified fixtures.</w:t>
      </w:r>
    </w:p>
    <w:p>
      <w:pPr>
        <w:pStyle w:val="Heading2"/>
        <w:keepNext/>
      </w:pPr>
      <w:r>
        <w:rPr>
          <w:rFonts w:ascii="Times New Roman" w:hAnsi="Times New Roman" w:eastAsia="Times New Roman"/>
        </w:rPr>
        <w:t>10.3. Ethical and operational boundaries</w:t>
      </w:r>
    </w:p>
    <w:p>
      <w:pPr>
        <w:spacing w:after="100" w:line="269" w:lineRule="auto"/>
      </w:pPr>
      <w:r>
        <w:rPr>
          <w:rFonts w:ascii="Times New Roman" w:hAnsi="Times New Roman" w:eastAsia="Times New Roman"/>
          <w:sz w:val="22"/>
        </w:rPr>
        <w:t>All data and financing terms are synthetic or illustrative. Readiness is not an approval prediction; the interface must not be used to make credit decisions. The prototype has no real bank/lender/customer integrations or payments. Optional LLM mode transfers the question and masked numeric evidence to the operator-selected endpoint; offline mode should be retained unless data handling has been reviewed. Seeded demo identities, single-process operation, local databases, no rate limiter, no tenant isolation, and no independent audit replication make the current build unsuitable for public production deployment.</w:t>
      </w:r>
    </w:p>
    <w:p>
      <w:pPr>
        <w:pStyle w:val="Heading2"/>
        <w:keepNext/>
      </w:pPr>
      <w:r>
        <w:rPr>
          <w:rFonts w:ascii="Times New Roman" w:hAnsi="Times New Roman" w:eastAsia="Times New Roman"/>
        </w:rPr>
        <w:t>10.4. Threats to validity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Validity dimension</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Risk</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Mitigation / current status</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Construct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Reserve breach is a narrow proxy for liquidity health</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Report computed thresholds and assumptions; no general financial-health claim</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Internal</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Short synthetic holdout and heuristic event rules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Publish per-case metrics and adverse result; no accuracy superiority claim</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External</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Five generated cases do not represent SMEs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 population inference; real consented, governed data needed for future research</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Measurement</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Task scripts encode expected outcomes selected by developers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Treat as functional acceptance evidence, not independent user evaluation</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Security</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Local checks and tests are not independent adversarial review</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Self-assessment only; residual risks and missing controls disclosed</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Reproducibility</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Full-suite and evaluation artifacts are from different dates/builds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Keep timestamps and count provenance separate; preserve fresh outputs before submission</w:t>
            </w:r>
          </w:p>
        </w:tc>
      </w:tr>
    </w:tbl>
    <w:p>
      <w:pPr>
        <w:spacing w:after="0"/>
      </w:pPr>
    </w:p>
    <w:p>
      <w:pPr>
        <w:pStyle w:val="Heading1"/>
        <w:keepNext/>
      </w:pPr>
      <w:r>
        <w:rPr>
          <w:rFonts w:ascii="Times New Roman" w:hAnsi="Times New Roman" w:eastAsia="Times New Roman"/>
        </w:rPr>
        <w:t>11. Conclusion and future work</w:t>
      </w:r>
    </w:p>
    <w:p>
      <w:pPr>
        <w:spacing w:after="100" w:line="269" w:lineRule="auto"/>
      </w:pPr>
      <w:r>
        <w:rPr>
          <w:rFonts w:ascii="Times New Roman" w:hAnsi="Times New Roman" w:eastAsia="Times New Roman"/>
          <w:sz w:val="22"/>
        </w:rPr>
        <w:t>StratifyAI demonstrates a local synthetic-data workflow that connects weekly cash projections, scenario comparisons, illustrative financing math, business-analysis indicators, evidence-grounded explanations, role-based services, owner approval, and local audit evidence. Its principal design choice is to keep financial arithmetic deterministic and to make the distinction between recorded, forecast, hypothetical, and owner-confirmed information visible. The evaluation is deliberately mixed: functional and security checks passed in their recorded runs, but the model underperformed a simple baseline in all five holdouts and only one of five recommended plans maintained reserve. These results position the application as a transparent engineering prototype for further study, not a validated financial decision system.</w:t>
      </w:r>
    </w:p>
    <w:p>
      <w:pPr>
        <w:pStyle w:val="Heading2"/>
        <w:keepNext/>
      </w:pPr>
      <w:r>
        <w:rPr>
          <w:rFonts w:ascii="Times New Roman" w:hAnsi="Times New Roman" w:eastAsia="Times New Roman"/>
        </w:rPr>
        <w:t>Future work</w:t>
      </w:r>
    </w:p>
    <w:p>
      <w:pPr>
        <w:pStyle w:val="ListBullet"/>
        <w:spacing w:after="60"/>
      </w:pPr>
      <w:r>
        <w:rPr>
          <w:rFonts w:ascii="Times New Roman" w:hAnsi="Times New Roman" w:eastAsia="Times New Roman"/>
          <w:sz w:val="22"/>
        </w:rPr>
        <w:t>Replace synthetic fixtures with a consented, anonymized, and legally governed SME dataset; preserve a time-aware holdout and compare against multiple simple baselines.</w:t>
      </w:r>
    </w:p>
    <w:p>
      <w:pPr>
        <w:pStyle w:val="ListBullet"/>
        <w:spacing w:after="60"/>
      </w:pPr>
      <w:r>
        <w:rPr>
          <w:rFonts w:ascii="Times New Roman" w:hAnsi="Times New Roman" w:eastAsia="Times New Roman"/>
          <w:sz w:val="22"/>
        </w:rPr>
        <w:t>Revisit forecast event handling and calibrate uncertainty with more observations; report confidence intervals and subgroup behavior only when sample size supports them.</w:t>
      </w:r>
    </w:p>
    <w:p>
      <w:pPr>
        <w:pStyle w:val="ListBullet"/>
        <w:spacing w:after="60"/>
      </w:pPr>
      <w:r>
        <w:rPr>
          <w:rFonts w:ascii="Times New Roman" w:hAnsi="Times New Roman" w:eastAsia="Times New Roman"/>
          <w:sz w:val="22"/>
        </w:rPr>
        <w:t>Conduct moderated usability testing with SME owners and measure comprehension of scenario labels, uncertainty, and financing assumptions.</w:t>
      </w:r>
    </w:p>
    <w:p>
      <w:pPr>
        <w:pStyle w:val="ListBullet"/>
        <w:spacing w:after="60"/>
      </w:pPr>
      <w:r>
        <w:rPr>
          <w:rFonts w:ascii="Times New Roman" w:hAnsi="Times New Roman" w:eastAsia="Times New Roman"/>
          <w:sz w:val="22"/>
        </w:rPr>
        <w:t>Commission independent security testing; add production identity, tenant isolation, rate limiting, managed secrets, dependency scanning, backups, and externally controlled audit retention before any production use.</w:t>
      </w:r>
    </w:p>
    <w:p>
      <w:pPr>
        <w:pStyle w:val="ListBullet"/>
        <w:spacing w:after="60"/>
      </w:pPr>
      <w:r>
        <w:rPr>
          <w:rFonts w:ascii="Times New Roman" w:hAnsi="Times New Roman" w:eastAsia="Times New Roman"/>
          <w:sz w:val="22"/>
        </w:rPr>
        <w:t>Reconcile the OWASP edition reference, refresh test evidence, and capture remaining signed-in page screenshots before final submission.</w:t>
      </w:r>
    </w:p>
    <w:p>
      <w:pPr>
        <w:pStyle w:val="Heading1"/>
        <w:keepNext/>
      </w:pPr>
      <w:r>
        <w:rPr>
          <w:rFonts w:ascii="Times New Roman" w:hAnsi="Times New Roman" w:eastAsia="Times New Roman"/>
        </w:rPr>
        <w:t>References</w:t>
      </w:r>
    </w:p>
    <w:p>
      <w:pPr>
        <w:spacing w:after="80"/>
        <w:ind w:left="259" w:hanging="259"/>
      </w:pPr>
      <w:r>
        <w:rPr>
          <w:rFonts w:ascii="Times New Roman" w:hAnsi="Times New Roman" w:eastAsia="Times New Roman"/>
          <w:sz w:val="22"/>
        </w:rPr>
        <w:t>[1] M. Deloof, “Does Working Capital Management Affect Profitability of Belgian Firms?,” Journal of Business Finance &amp; Accounting, vol. 30, no. 3–4, pp. 573–588, 2003. https://doi.org/10.1111/1468-5957.00008</w:t>
      </w:r>
    </w:p>
    <w:p>
      <w:pPr>
        <w:spacing w:after="80"/>
        <w:ind w:left="259" w:hanging="259"/>
      </w:pPr>
      <w:r>
        <w:rPr>
          <w:rFonts w:ascii="Times New Roman" w:hAnsi="Times New Roman" w:eastAsia="Times New Roman"/>
          <w:sz w:val="22"/>
        </w:rPr>
        <w:t>[2] S. Baños-Caballero, P. J. García-Teruel, and P. Martínez-Solano, “How does working capital management affect the profitability of Spanish SMEs?,” Small Business Economics, vol. 39, pp. 517–529, 2012. https://doi.org/10.1007/s11187-011-9317-8</w:t>
      </w:r>
    </w:p>
    <w:p>
      <w:pPr>
        <w:spacing w:after="80"/>
        <w:ind w:left="259" w:hanging="259"/>
      </w:pPr>
      <w:r>
        <w:rPr>
          <w:rFonts w:ascii="Times New Roman" w:hAnsi="Times New Roman" w:eastAsia="Times New Roman"/>
          <w:sz w:val="22"/>
        </w:rPr>
        <w:t>[3] A. N. Berger and G. F. Udell, “The economics of small business finance: The roles of private equity and debt markets in the financial growth cycle,” Journal of Banking &amp; Finance, vol. 22, no. 6–8, pp. 613–673, 1998. https://doi.org/10.1016/S0378-4266(98)00038-7</w:t>
      </w:r>
    </w:p>
    <w:p>
      <w:pPr>
        <w:spacing w:after="80"/>
        <w:ind w:left="259" w:hanging="259"/>
      </w:pPr>
      <w:r>
        <w:rPr>
          <w:rFonts w:ascii="Times New Roman" w:hAnsi="Times New Roman" w:eastAsia="Times New Roman"/>
          <w:sz w:val="22"/>
        </w:rPr>
        <w:t>[4] W. H. Beaver, “Financial Ratios as Predictors of Failure,” Journal of Accounting Research, vol. 4, pp. 71–111, 1966. https://doi.org/10.2307/2490171</w:t>
      </w:r>
    </w:p>
    <w:p>
      <w:pPr>
        <w:spacing w:after="80"/>
        <w:ind w:left="259" w:hanging="259"/>
      </w:pPr>
      <w:r>
        <w:rPr>
          <w:rFonts w:ascii="Times New Roman" w:hAnsi="Times New Roman" w:eastAsia="Times New Roman"/>
          <w:sz w:val="22"/>
        </w:rPr>
        <w:t>[5] P. Lewis et al., “Retrieval-Augmented Generation for Knowledge-Intensive NLP Tasks,” Advances in Neural Information Processing Systems 33, 2020. https://arxiv.org/abs/2005.11401</w:t>
      </w:r>
    </w:p>
    <w:p>
      <w:pPr>
        <w:spacing w:after="80"/>
        <w:ind w:left="259" w:hanging="259"/>
      </w:pPr>
      <w:r>
        <w:rPr>
          <w:rFonts w:ascii="Times New Roman" w:hAnsi="Times New Roman" w:eastAsia="Times New Roman"/>
          <w:sz w:val="22"/>
        </w:rPr>
        <w:t>[6] A. Asai, Z. Wu, Y. Wang, A. Sil, and H. Hajishirzi, “Self-RAG: Learning to Retrieve, Generate, and Critique through Self-Reflection,” arXiv:2310.11511, 2023. https://arxiv.org/abs/2310.11511</w:t>
      </w:r>
    </w:p>
    <w:p>
      <w:pPr>
        <w:spacing w:after="80"/>
        <w:ind w:left="259" w:hanging="259"/>
      </w:pPr>
      <w:r>
        <w:rPr>
          <w:rFonts w:ascii="Times New Roman" w:hAnsi="Times New Roman" w:eastAsia="Times New Roman"/>
          <w:sz w:val="22"/>
        </w:rPr>
        <w:t>[7] OWASP GenAI Security Project, “Top 10 Risk &amp; Mitigations for LLMs and Gen AI Apps (2025),” official project archive. https://genai.owasp.org/llm-top-10/</w:t>
      </w:r>
    </w:p>
    <w:p>
      <w:pPr>
        <w:spacing w:after="80"/>
        <w:ind w:left="259" w:hanging="259"/>
      </w:pPr>
      <w:r>
        <w:rPr>
          <w:rFonts w:ascii="Times New Roman" w:hAnsi="Times New Roman" w:eastAsia="Times New Roman"/>
          <w:sz w:val="22"/>
        </w:rPr>
        <w:t>[8] E. Tabassi, “Artificial Intelligence Risk Management Framework (AI RMF 1.0),” NIST AI 100-1, 2023. https://doi.org/10.6028/NIST.AI.100-1</w:t>
      </w:r>
    </w:p>
    <w:p>
      <w:pPr>
        <w:spacing w:after="80"/>
        <w:ind w:left="259" w:hanging="259"/>
      </w:pPr>
      <w:r>
        <w:rPr>
          <w:rFonts w:ascii="Times New Roman" w:hAnsi="Times New Roman" w:eastAsia="Times New Roman"/>
          <w:sz w:val="22"/>
        </w:rPr>
        <w:t>[9] NIST, “Artificial Intelligence Risk Management Framework: Generative Artificial Intelligence Profile,” NIST AI 600-1, 2024. https://doi.org/10.6028/NIST.AI.600-1</w:t>
      </w:r>
    </w:p>
    <w:p>
      <w:pPr>
        <w:spacing w:after="80"/>
        <w:ind w:left="259" w:hanging="259"/>
      </w:pPr>
      <w:r>
        <w:rPr>
          <w:rFonts w:ascii="Times New Roman" w:hAnsi="Times New Roman" w:eastAsia="Times New Roman"/>
          <w:sz w:val="22"/>
        </w:rPr>
        <w:t>[10] Streamlit, “Streamlit Documentation and API Reference,” accessed 20 October 2026. https://docs.streamlit.io/</w:t>
      </w:r>
    </w:p>
    <w:p>
      <w:pPr>
        <w:spacing w:after="80"/>
        <w:ind w:left="259" w:hanging="259"/>
      </w:pPr>
      <w:r>
        <w:rPr>
          <w:rFonts w:ascii="Times New Roman" w:hAnsi="Times New Roman" w:eastAsia="Times New Roman"/>
          <w:sz w:val="22"/>
        </w:rPr>
        <w:t>[11] pandas Development Team, “pandas User Guide,” project documentation. https://pandas.pydata.org/docs/user_guide/</w:t>
      </w:r>
    </w:p>
    <w:p>
      <w:pPr>
        <w:spacing w:after="80"/>
        <w:ind w:left="259" w:hanging="259"/>
      </w:pPr>
      <w:r>
        <w:rPr>
          <w:rFonts w:ascii="Times New Roman" w:hAnsi="Times New Roman" w:eastAsia="Times New Roman"/>
          <w:sz w:val="22"/>
        </w:rPr>
        <w:t>[12] Plotly Technologies Inc., “Getting Started with Plotly for Python,” project documentation. https://plotly.com/python/getting-started/</w:t>
      </w:r>
    </w:p>
    <w:p>
      <w:pPr>
        <w:spacing w:after="80"/>
        <w:ind w:left="259" w:hanging="259"/>
      </w:pPr>
      <w:r>
        <w:rPr>
          <w:rFonts w:ascii="Times New Roman" w:hAnsi="Times New Roman" w:eastAsia="Times New Roman"/>
          <w:sz w:val="22"/>
        </w:rPr>
        <w:t>[13] 2026 Shenzhen International FinTech Competition (FinTechathon), International Track brief, Topic E: SME Finance Copilot. Project summary in docs/COMPETITION.md; official brief supplied with the project.</w:t>
      </w:r>
    </w:p>
    <w:p>
      <w:pPr>
        <w:spacing w:after="120" w:line="269" w:lineRule="auto"/>
      </w:pPr>
      <w:r>
        <w:rPr>
          <w:rFonts w:ascii="Times New Roman" w:hAnsi="Times New Roman" w:eastAsia="Times New Roman"/>
          <w:i w:val="0"/>
          <w:sz w:val="22"/>
        </w:rPr>
        <w:t>To keep the narrative connected to the implementation, the source and project-document references below identify where a reviewer can inspect details beyond the report. They are a technical reading list, not a submission map.</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Project source/document</w:t>
            </w:r>
          </w:p>
        </w:tc>
        <w:tc>
          <w:tcPr>
            <w:tcW w:type="dxa" w:w="4997"/>
            <w:vAlign w:val="center"/>
            <w:shd w:fill="166B52"/>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color w:val="FFFFFF"/>
                <w:sz w:val="22"/>
              </w:rPr>
              <w:t>What it documents</w:t>
            </w:r>
          </w:p>
        </w:tc>
      </w:tr>
      <w:tr>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README.md</w:t>
            </w:r>
          </w:p>
        </w:tc>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Quick start, user questions, architecture, features, security boundary, evaluation results, scope and project-doc links</w:t>
            </w:r>
          </w:p>
        </w:tc>
      </w:tr>
      <w:tr>
        <w:tc>
          <w:tcPr>
            <w:tcW w:type="dxa" w:w="4997"/>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docs/TECHNICAL_DOC.md</w:t>
            </w:r>
          </w:p>
        </w:tc>
        <w:tc>
          <w:tcPr>
            <w:tcW w:type="dxa" w:w="4997"/>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Mermaid architecture, data flow, Lab and Copilot sequences, action state machine, formulas</w:t>
            </w:r>
          </w:p>
        </w:tc>
      </w:tr>
      <w:tr>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docs/BRIEF.md and docs/DECISIONS.md</w:t>
            </w:r>
          </w:p>
        </w:tc>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Requirements, product scope, defaults, assumptions and equations</w:t>
            </w:r>
          </w:p>
        </w:tc>
      </w:tr>
      <w:tr>
        <w:tc>
          <w:tcPr>
            <w:tcW w:type="dxa" w:w="4997"/>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docs/SECURITY_SELF_ASSESSMENT.md and docs/SECURITY.md</w:t>
            </w:r>
          </w:p>
        </w:tc>
        <w:tc>
          <w:tcPr>
            <w:tcW w:type="dxa" w:w="4997"/>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Permission tiers, roles, STRIDE controls, OWASP risk mapping and known gaps</w:t>
            </w:r>
          </w:p>
        </w:tc>
      </w:tr>
      <w:tr>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evidence/backtest_results.md / .csv</w:t>
            </w:r>
          </w:p>
        </w:tc>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Holdout method and per-case forecast error</w:t>
            </w:r>
          </w:p>
        </w:tc>
      </w:tr>
      <w:tr>
        <w:tc>
          <w:tcPr>
            <w:tcW w:type="dxa" w:w="4997"/>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evidence/decision_quality.json</w:t>
            </w:r>
          </w:p>
        </w:tc>
        <w:tc>
          <w:tcPr>
            <w:tcW w:type="dxa" w:w="4997"/>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Selected plans, balances, reserve comparisons and simulated breach probabilities</w:t>
            </w:r>
          </w:p>
        </w:tc>
      </w:tr>
      <w:tr>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evidence/task_suite_results.md and evidence/security_eval.md</w:t>
            </w:r>
          </w:p>
        </w:tc>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Scripted workflows, role/action decisions, injection masking and tamper checks</w:t>
            </w:r>
          </w:p>
        </w:tc>
      </w:tr>
      <w:tr>
        <w:tc>
          <w:tcPr>
            <w:tcW w:type="dxa" w:w="4997"/>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docs/EXECUTION_EVIDENCE.md</w:t>
            </w:r>
          </w:p>
        </w:tc>
        <w:tc>
          <w:tcPr>
            <w:tcW w:type="dxa" w:w="4997"/>
            <w:vAlign w:val="center"/>
            <w:shd w:fill="FFFFFF"/>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Artifact-by-artifact evidence status and remaining screenshot requests</w:t>
            </w:r>
          </w:p>
        </w:tc>
      </w:tr>
      <w:tr>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docs/DECK_OUTLINE.md, docs/DEMO_SCRIPT.md, demo/</w:t>
            </w:r>
          </w:p>
        </w:tc>
        <w:tc>
          <w:tcPr>
            <w:tcW w:type="dxa" w:w="4997"/>
            <w:vAlign w:val="center"/>
            <w:shd w:fill="F4F8F5"/>
            <w:tcBorders>
              <w:top w:val="single" w:sz="5" w:color="D7E4DD"/>
              <w:left w:val="single" w:sz="5" w:color="D7E4DD"/>
              <w:bottom w:val="single" w:sz="5" w:color="D7E4DD"/>
              <w:right w:val="single" w:sz="5" w:color="D7E4DD"/>
              <w:insideH w:val="single" w:sz="5" w:color="D7E4DD"/>
              <w:insideV w:val="single" w:sz="5" w:color="D7E4DD"/>
            </w:tcBorders>
          </w:tcPr>
          <w:p>
            <w:pPr>
              <w:spacing w:after="20" w:before="20" w:line="240" w:lineRule="auto"/>
            </w:pPr>
            <w:r>
              <w:rPr>
                <w:rFonts w:ascii="Times New Roman" w:hAnsi="Times New Roman" w:eastAsia="Times New Roman"/>
                <w:sz w:val="22"/>
              </w:rPr>
            </w:r>
            <w:r>
              <w:rPr>
                <w:rFonts w:ascii="Times New Roman" w:hAnsi="Times New Roman" w:eastAsia="Times New Roman"/>
                <w:b w:val="0"/>
                <w:color w:val="183A35"/>
                <w:sz w:val="22"/>
              </w:rPr>
              <w:t>Timed presentation, demo path, expected fixtures and judging questions</w:t>
            </w:r>
          </w:p>
        </w:tc>
      </w:tr>
    </w:tbl>
    <w:p>
      <w:pPr>
        <w:keepNext w:val="0"/>
        <w:spacing w:after="160"/>
        <w:jc w:val="center"/>
      </w:pPr>
      <w:r>
        <w:rPr>
          <w:rFonts w:ascii="Times New Roman" w:hAnsi="Times New Roman" w:eastAsia="Times New Roman"/>
          <w:i/>
          <w:color w:val="596963"/>
          <w:sz w:val="22"/>
        </w:rPr>
        <w:t>Table 17. Project materials referenced while preparing this technical report.</w:t>
      </w:r>
    </w:p>
    <w:p>
      <w:pPr>
        <w:pStyle w:val="Heading1"/>
        <w:keepNext/>
      </w:pPr>
      <w:r>
        <w:rPr>
          <w:rFonts w:ascii="Times New Roman" w:hAnsi="Times New Roman" w:eastAsia="Times New Roman"/>
        </w:rPr>
        <w:t>Appendix A. Threat model and trust boundaries</w:t>
      </w:r>
    </w:p>
    <w:p>
      <w:pPr>
        <w:spacing w:after="100" w:line="269" w:lineRule="auto"/>
      </w:pPr>
      <w:r>
        <w:rPr>
          <w:rFonts w:ascii="Times New Roman" w:hAnsi="Times New Roman" w:eastAsia="Times New Roman"/>
          <w:sz w:val="22"/>
        </w:rPr>
        <w:t>Assets: synthetic business records, local credentials, session identity, scenario assumptions, drafts, audit events, optional LLM credentials, and generated outputs. Trust boundaries: uploaded files to parser; UI to service authorization; service to local SQLite/JSONL; and application to optional external LLM endpoint. Adversarial inputs include malformed spreadsheets, formula-like fields, forged UI state, oversized requests, malicious customer text, and unsupported/copied numeric claims. Primary controls and known limitations are summarized in §7 and docs/SECURITY_SELF_ASSESSMENT.md.</w:t>
      </w:r>
    </w:p>
    <w:p>
      <w:pPr>
        <w:pStyle w:val="Heading1"/>
        <w:keepNext/>
      </w:pPr>
      <w:r>
        <w:rPr>
          <w:rFonts w:ascii="Times New Roman" w:hAnsi="Times New Roman" w:eastAsia="Times New Roman"/>
        </w:rPr>
        <w:t>Appendix B. Permission matrix</w:t>
      </w:r>
    </w:p>
    <w:p>
      <w:pPr>
        <w:spacing w:after="100" w:line="269" w:lineRule="auto"/>
      </w:pPr>
      <w:r>
        <w:rPr>
          <w:rFonts w:ascii="Times New Roman" w:hAnsi="Times New Roman" w:eastAsia="Times New Roman"/>
          <w:sz w:val="22"/>
        </w:rPr>
        <w:t>The concise action matrix appears in Table 4 (§7.1). The implementation source of truth is services/permissions.py, including its action registry. This appendix does not replace service-layer authorization checks.</w:t>
      </w:r>
    </w:p>
    <w:p>
      <w:pPr>
        <w:pStyle w:val="Heading1"/>
        <w:keepNext/>
      </w:pPr>
      <w:r>
        <w:rPr>
          <w:rFonts w:ascii="Times New Roman" w:hAnsi="Times New Roman" w:eastAsia="Times New Roman"/>
        </w:rPr>
        <w:t>Appendix C. Reproduction commands</w:t>
      </w:r>
    </w:p>
    <w:p>
      <w:pPr>
        <w:spacing w:after="100" w:line="269" w:lineRule="auto"/>
      </w:pPr>
      <w:r>
        <w:rPr>
          <w:rFonts w:ascii="Times New Roman" w:hAnsi="Times New Roman" w:eastAsia="Times New Roman"/>
          <w:sz w:val="22"/>
        </w:rPr>
        <w:t>Run from the repository root with Python 3.11 and the pinned project environment. These commands reproduce the application and documented quality checks; current output may differ if code or dependencies change.</w:t>
      </w:r>
    </w:p>
    <w:p>
      <w:pPr>
        <w:spacing w:after="20"/>
        <w:ind w:left="360"/>
      </w:pPr>
      <w:r>
        <w:rPr>
          <w:rFonts w:ascii="Times New Roman" w:hAnsi="Times New Roman" w:eastAsia="Times New Roman"/>
          <w:color w:val="166B52"/>
          <w:sz w:val="22"/>
        </w:rPr>
        <w:t>python run.py setup</w:t>
      </w:r>
    </w:p>
    <w:p>
      <w:pPr>
        <w:spacing w:after="20"/>
        <w:ind w:left="360"/>
      </w:pPr>
      <w:r>
        <w:rPr>
          <w:rFonts w:ascii="Times New Roman" w:hAnsi="Times New Roman" w:eastAsia="Times New Roman"/>
          <w:color w:val="166B52"/>
          <w:sz w:val="22"/>
        </w:rPr>
        <w:t>python run.py demo</w:t>
      </w:r>
    </w:p>
    <w:p>
      <w:pPr>
        <w:spacing w:after="20"/>
        <w:ind w:left="360"/>
      </w:pPr>
      <w:r>
        <w:rPr>
          <w:rFonts w:ascii="Times New Roman" w:hAnsi="Times New Roman" w:eastAsia="Times New Roman"/>
          <w:color w:val="166B52"/>
          <w:sz w:val="22"/>
        </w:rPr>
        <w:t>python run.py test</w:t>
      </w:r>
    </w:p>
    <w:p>
      <w:pPr>
        <w:spacing w:after="20"/>
        <w:ind w:left="360"/>
      </w:pPr>
      <w:r>
        <w:rPr>
          <w:rFonts w:ascii="Times New Roman" w:hAnsi="Times New Roman" w:eastAsia="Times New Roman"/>
          <w:color w:val="166B52"/>
          <w:sz w:val="22"/>
        </w:rPr>
        <w:t>python run.py eval</w:t>
      </w:r>
    </w:p>
    <w:p>
      <w:pPr>
        <w:spacing w:after="20"/>
        <w:ind w:left="360"/>
      </w:pPr>
      <w:r>
        <w:rPr>
          <w:rFonts w:ascii="Times New Roman" w:hAnsi="Times New Roman" w:eastAsia="Times New Roman"/>
          <w:color w:val="166B52"/>
          <w:sz w:val="22"/>
        </w:rPr>
        <w:t>python run.py check</w:t>
      </w:r>
    </w:p>
    <w:p>
      <w:pPr>
        <w:spacing w:after="20"/>
        <w:ind w:left="360"/>
      </w:pPr>
      <w:r>
        <w:rPr>
          <w:rFonts w:ascii="Times New Roman" w:hAnsi="Times New Roman" w:eastAsia="Times New Roman"/>
          <w:color w:val="166B52"/>
          <w:sz w:val="22"/>
        </w:rPr>
        <w:t>python run.py report</w:t>
      </w:r>
    </w:p>
    <w:p>
      <w:pPr>
        <w:spacing w:after="20"/>
        <w:ind w:left="360"/>
      </w:pPr>
      <w:r>
        <w:rPr>
          <w:rFonts w:ascii="Times New Roman" w:hAnsi="Times New Roman" w:eastAsia="Times New Roman"/>
          <w:color w:val="166B52"/>
          <w:sz w:val="22"/>
        </w:rPr>
        <w:t>python scripts/run_tasks.py</w:t>
      </w:r>
    </w:p>
    <w:p>
      <w:pPr>
        <w:spacing w:after="20"/>
        <w:ind w:left="360"/>
      </w:pPr>
      <w:r>
        <w:rPr>
          <w:rFonts w:ascii="Times New Roman" w:hAnsi="Times New Roman" w:eastAsia="Times New Roman"/>
          <w:color w:val="166B52"/>
          <w:sz w:val="22"/>
        </w:rPr>
        <w:t>python scripts/check_secrets.py</w:t>
      </w:r>
    </w:p>
    <w:p>
      <w:pPr>
        <w:spacing w:after="100" w:line="269" w:lineRule="auto"/>
      </w:pPr>
      <w:r>
        <w:rPr>
          <w:rFonts w:ascii="Times New Roman" w:hAnsi="Times New Roman" w:eastAsia="Times New Roman"/>
          <w:sz w:val="22"/>
        </w:rPr>
        <w:t>Use synthetic demo accounts only. The checked-in evidence files identify the historical runs described in §9; commands do not imply that those results were freshly rerun during report generation.</w:t>
      </w:r>
    </w:p>
    <w:p>
      <w:pPr>
        <w:pStyle w:val="Heading1"/>
        <w:keepNext/>
      </w:pPr>
      <w:r>
        <w:rPr>
          <w:rFonts w:ascii="Times New Roman" w:hAnsi="Times New Roman" w:eastAsia="Times New Roman"/>
        </w:rPr>
        <w:t>Appendix D. Copilot receipt example</w:t>
      </w:r>
    </w:p>
    <w:p>
      <w:pPr>
        <w:spacing w:after="100" w:line="269" w:lineRule="auto"/>
      </w:pPr>
      <w:r>
        <w:rPr>
          <w:rFonts w:ascii="Times New Roman" w:hAnsi="Times New Roman" w:eastAsia="Times New Roman"/>
          <w:sz w:val="22"/>
        </w:rPr>
        <w:t>The receipt is a structured record, not an independent proof that a business fact is true. A representative schema (field names as implemented) is shown below; values are intentionally schematic and should not be presented as a captured production answer.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Field</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Representative value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Meaning</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mode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offline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Deterministic default path</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evidence_ids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[E1, E2, E4]</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IDs from the computed evidence pack</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masked_fields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16</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Count of masked entity labels in this example only</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external_call</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false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 provider call in offline mode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validator_result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passed</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Citation and numeric checks passed</w:t>
            </w:r>
          </w:p>
        </w:tc>
      </w:tr>
    </w:tbl>
    <w:p>
      <w:pPr>
        <w:spacing w:after="0"/>
      </w:pPr>
    </w:p>
    <w:p>
      <w:pPr>
        <w:spacing w:after="100" w:line="269" w:lineRule="auto"/>
      </w:pPr>
      <w:r>
        <w:rPr>
          <w:rFonts w:ascii="Times New Roman" w:hAnsi="Times New Roman" w:eastAsia="Times New Roman"/>
          <w:sz w:val="22"/>
        </w:rPr>
        <w:t>The sample masked_fields value above is illustrative, not a measured run. For a presentation capture, replace this schematic with a real local App screenshot and the receipt displayed by the application.</w:t>
      </w:r>
    </w:p>
    <w:p>
      <w:pPr>
        <w:pStyle w:val="Heading1"/>
        <w:keepNext/>
      </w:pPr>
      <w:r>
        <w:rPr>
          <w:rFonts w:ascii="Times New Roman" w:hAnsi="Times New Roman" w:eastAsia="Times New Roman"/>
        </w:rPr>
        <w:t>Appendix E. Known risks and non-implemented controls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Risk / gap</w:t>
            </w:r>
          </w:p>
        </w:tc>
        <w:tc>
          <w:tcPr>
            <w:tcW w:type="dxa" w:w="4997"/>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Pr>
                <w:rFonts w:ascii="Times New Roman" w:hAnsi="Times New Roman" w:eastAsia="Times New Roman"/>
                <w:sz w:val="22"/>
              </w:rPr>
            </w:r>
            <w:r>
              <w:rPr>
                <w:rFonts w:ascii="Times New Roman" w:hAnsi="Times New Roman" w:eastAsia="Times New Roman"/>
                <w:b/>
                <w:color w:val="FFFFFF"/>
                <w:sz w:val="22"/>
              </w:rPr>
              <w:t>Current status</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Forecast underperformance on five synthetic holdouts</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Observed; higher MAE than naïve baseline in every case</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Synthetic-only data and illustrative products</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 external data or lender terms validated</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Demo passwords and quick sign-in</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Local judging convenience only; not production identity</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Local audit database</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Tamper-evident, not immutable or externally replicated</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Optional external LLM</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Provider privacy, residency, retention and uptime not controlled here</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Availability and tenant controls</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 rate limit, per-user quota, tenant isolation, or recovery plan</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Absent controls</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Pr>
                <w:rFonts w:ascii="Times New Roman" w:hAnsi="Times New Roman" w:eastAsia="Times New Roman"/>
                <w:sz w:val="22"/>
              </w:rPr>
            </w:r>
            <w:r>
              <w:rPr>
                <w:rFonts w:ascii="Times New Roman" w:hAnsi="Times New Roman" w:eastAsia="Times New Roman"/>
                <w:b w:val="0"/>
                <w:color w:val="183A35"/>
                <w:sz w:val="22"/>
              </w:rPr>
              <w:t>No production SSO/MFA, managed secret service, SBOM, vulnerability scanning, RAG, model fine-tuning, bank/lender API, loan application, or real money movement</w:t>
            </w:r>
          </w:p>
        </w:tc>
      </w:tr>
    </w:tbl>
    <w:p>
      <w:pPr>
        <w:spacing w:after="0"/>
      </w:pPr>
    </w:p>
    <w:p>
      <w:pPr>
        <w:spacing w:after="100" w:line="269" w:lineRule="auto"/>
      </w:pPr>
      <w:r>
        <w:rPr>
          <w:rFonts w:ascii="Times New Roman" w:hAnsi="Times New Roman" w:eastAsia="Times New Roman"/>
          <w:sz w:val="22"/>
        </w:rPr>
        <w:t>Document status: Technical Documentation for the Neuroprop Topic E prototype. The report uses numbered citations, source-linked project evidence, a current public UI capture, and red placeholders for the remaining signed-in screenshots. Competition-brief details are summarized from the project’s docs/COMPETITION.md; the project notes that the source PDF could not be text-extracted locally, so organizers’ exact wording should be checked before final external submission.</w:t>
      </w:r>
    </w:p>
    <w:sectPr w:rsidR="00FC693F" w:rsidRPr="0006063C" w:rsidSect="00034616">
      <w:headerReference w:type="default" r:id="rId9"/>
      <w:footerReference w:type="default" r:id="rId10"/>
      <w:pgSz w:w="12240" w:h="15840"/>
      <w:pgMar w:top="950"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96963"/>
        <w:sz w:val="22"/>
      </w:rPr>
      <w:t xml:space="preserve">Neuroprop  •  Topic E  •  </w:t>
    </w:r>
    <w:r>
      <w:rPr>
        <w:rFonts w:ascii="Times New Roman" w:hAnsi="Times New Roman" w:eastAsia="Times New Roman"/>
        <w:sz w:val="22"/>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166B52"/>
        <w:sz w:val="22"/>
      </w:rPr>
      <w:t>STRATIFYAI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183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166B52"/>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b/>
      <w:bCs/>
      <w:color w:val="183A3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eastAsia="Times New Roman"/>
      <w:b/>
      <w:bCs/>
      <w:color w:val="166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eastAsia="Times New Roman"/>
      <w:b/>
      <w:color w:val="183A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StratifyAI: A Deterministic, Evidence-Grounded SME Finance Copilot with a Liquidity Decision Lab — Revised Technical Documentation</dc:title>
  <dc:subject>Expanded academic-style Technical Documentation; Times New Roman 11 pt; revised figures and DFDs</dc:subject>
  <dc:creator>Neuroprop</dc:creator>
  <cp:keywords>SME finance, liquidity, forecasting, security, human-in-the-loop, technical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