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DE080A" w14:textId="77777777" w:rsidR="001D45A2" w:rsidRPr="00EF2902" w:rsidRDefault="001D45A2" w:rsidP="001D45A2">
      <w:pPr>
        <w:spacing w:before="1200"/>
        <w:jc w:val="center"/>
        <w:rPr>
          <w:b/>
          <w:color w:val="166B52"/>
          <w:sz w:val="2"/>
          <w:szCs w:val="2"/>
        </w:rPr>
      </w:pPr>
    </w:p>
    <w:p w14:paraId="7154069D" w14:textId="7D7E1AFB" w:rsidR="001D45A2" w:rsidRPr="001D45A2" w:rsidRDefault="001D45A2" w:rsidP="001D45A2">
      <w:pPr>
        <w:spacing w:before="1200"/>
        <w:jc w:val="center"/>
        <w:rPr>
          <w:b/>
          <w:color w:val="166B52"/>
          <w:sz w:val="44"/>
          <w:szCs w:val="40"/>
        </w:rPr>
      </w:pPr>
      <w:proofErr w:type="spellStart"/>
      <w:r w:rsidRPr="001D45A2">
        <w:rPr>
          <w:b/>
          <w:color w:val="166B52"/>
          <w:sz w:val="44"/>
          <w:szCs w:val="40"/>
        </w:rPr>
        <w:t>StratifyAI</w:t>
      </w:r>
      <w:proofErr w:type="spellEnd"/>
    </w:p>
    <w:p w14:paraId="1093AF04" w14:textId="6C6CFD8F" w:rsidR="001B4D85" w:rsidRDefault="00144521">
      <w:pPr>
        <w:jc w:val="center"/>
        <w:rPr>
          <w:b/>
          <w:bCs/>
          <w:color w:val="166B52"/>
          <w:sz w:val="40"/>
          <w:szCs w:val="36"/>
        </w:rPr>
      </w:pPr>
      <w:r w:rsidRPr="001D45A2">
        <w:rPr>
          <w:b/>
          <w:bCs/>
          <w:color w:val="166B52"/>
          <w:sz w:val="40"/>
          <w:szCs w:val="36"/>
        </w:rPr>
        <w:t>The Liquidity Decision Lab for SME Financial Intelligence</w:t>
      </w:r>
    </w:p>
    <w:p w14:paraId="2C483BE1" w14:textId="77777777" w:rsidR="001D45A2" w:rsidRPr="001D45A2" w:rsidRDefault="001D45A2">
      <w:pPr>
        <w:jc w:val="center"/>
        <w:rPr>
          <w:b/>
          <w:bCs/>
          <w:color w:val="166B52"/>
          <w:sz w:val="20"/>
          <w:szCs w:val="18"/>
        </w:rPr>
      </w:pPr>
    </w:p>
    <w:p w14:paraId="07ADA588" w14:textId="77777777" w:rsidR="00EA1A96" w:rsidRPr="001D45A2" w:rsidRDefault="00EA1A96" w:rsidP="00EA1A96">
      <w:pPr>
        <w:jc w:val="center"/>
        <w:rPr>
          <w:b/>
          <w:bCs/>
          <w:color w:val="auto"/>
          <w:sz w:val="32"/>
          <w:szCs w:val="32"/>
        </w:rPr>
      </w:pPr>
      <w:r w:rsidRPr="001D45A2">
        <w:rPr>
          <w:b/>
          <w:bCs/>
          <w:color w:val="auto"/>
          <w:sz w:val="36"/>
          <w:szCs w:val="32"/>
        </w:rPr>
        <w:t>Technical Documentation</w:t>
      </w:r>
    </w:p>
    <w:p w14:paraId="2BB3FB18" w14:textId="528C6F25" w:rsidR="00EA1A96" w:rsidRPr="001D45A2" w:rsidRDefault="00EA1A96" w:rsidP="00EA1A96">
      <w:pPr>
        <w:spacing w:before="500"/>
        <w:jc w:val="center"/>
        <w:rPr>
          <w:color w:val="auto"/>
          <w:sz w:val="24"/>
          <w:szCs w:val="24"/>
        </w:rPr>
      </w:pPr>
      <w:r w:rsidRPr="001D45A2">
        <w:rPr>
          <w:color w:val="auto"/>
          <w:sz w:val="28"/>
          <w:szCs w:val="24"/>
        </w:rPr>
        <w:t>2026 Shenzhen International FinTech Competition (</w:t>
      </w:r>
      <w:proofErr w:type="spellStart"/>
      <w:r w:rsidRPr="001D45A2">
        <w:rPr>
          <w:color w:val="auto"/>
          <w:sz w:val="28"/>
          <w:szCs w:val="24"/>
        </w:rPr>
        <w:t>FinTechathon</w:t>
      </w:r>
      <w:proofErr w:type="spellEnd"/>
      <w:r w:rsidRPr="001D45A2">
        <w:rPr>
          <w:color w:val="auto"/>
          <w:sz w:val="28"/>
          <w:szCs w:val="24"/>
        </w:rPr>
        <w:t>)</w:t>
      </w:r>
      <w:r w:rsidRPr="001D45A2">
        <w:rPr>
          <w:color w:val="auto"/>
          <w:sz w:val="28"/>
          <w:szCs w:val="24"/>
        </w:rPr>
        <w:br/>
        <w:t xml:space="preserve">International Track </w:t>
      </w:r>
      <w:r w:rsidR="00EF2902">
        <w:rPr>
          <w:color w:val="auto"/>
          <w:sz w:val="28"/>
          <w:szCs w:val="24"/>
        </w:rPr>
        <w:t>-</w:t>
      </w:r>
      <w:r w:rsidRPr="001D45A2">
        <w:rPr>
          <w:color w:val="auto"/>
          <w:sz w:val="28"/>
          <w:szCs w:val="24"/>
        </w:rPr>
        <w:t xml:space="preserve"> Topic E: SME Finance Copilot</w:t>
      </w:r>
    </w:p>
    <w:p w14:paraId="32B49366" w14:textId="68030D1B" w:rsidR="00EA1A96" w:rsidRPr="001D45A2" w:rsidRDefault="001D45A2" w:rsidP="00EA1A96">
      <w:pPr>
        <w:spacing w:before="680"/>
        <w:jc w:val="center"/>
        <w:rPr>
          <w:color w:val="166B52"/>
          <w:sz w:val="24"/>
          <w:szCs w:val="24"/>
        </w:rPr>
      </w:pPr>
      <w:proofErr w:type="spellStart"/>
      <w:r>
        <w:rPr>
          <w:b/>
          <w:color w:val="166B52"/>
          <w:sz w:val="28"/>
          <w:szCs w:val="24"/>
        </w:rPr>
        <w:t>NeuroProp</w:t>
      </w:r>
      <w:proofErr w:type="spellEnd"/>
    </w:p>
    <w:p w14:paraId="54877510" w14:textId="62737B38" w:rsidR="00EA1A96" w:rsidRDefault="00EA1A96" w:rsidP="00EA1A96">
      <w:pPr>
        <w:jc w:val="center"/>
        <w:rPr>
          <w:sz w:val="28"/>
          <w:szCs w:val="24"/>
        </w:rPr>
      </w:pPr>
      <w:r w:rsidRPr="001D45A2">
        <w:rPr>
          <w:sz w:val="28"/>
          <w:szCs w:val="24"/>
        </w:rPr>
        <w:t xml:space="preserve">Md. Rafiqul Islam </w:t>
      </w:r>
      <w:r w:rsidR="001D45A2">
        <w:rPr>
          <w:sz w:val="28"/>
          <w:szCs w:val="24"/>
        </w:rPr>
        <w:t>(</w:t>
      </w:r>
      <w:r w:rsidRPr="001D45A2">
        <w:rPr>
          <w:sz w:val="28"/>
          <w:szCs w:val="24"/>
        </w:rPr>
        <w:t>Team Leader</w:t>
      </w:r>
      <w:r w:rsidR="001D45A2">
        <w:rPr>
          <w:sz w:val="28"/>
          <w:szCs w:val="24"/>
        </w:rPr>
        <w:t>)</w:t>
      </w:r>
      <w:r w:rsidRPr="001D45A2">
        <w:rPr>
          <w:sz w:val="28"/>
          <w:szCs w:val="24"/>
        </w:rPr>
        <w:br/>
        <w:t>Abu Bakar Rafi</w:t>
      </w:r>
      <w:r w:rsidRPr="001D45A2">
        <w:rPr>
          <w:sz w:val="28"/>
          <w:szCs w:val="24"/>
        </w:rPr>
        <w:br/>
        <w:t>Fatema Jahan</w:t>
      </w:r>
      <w:r w:rsidRPr="001D45A2">
        <w:rPr>
          <w:sz w:val="28"/>
          <w:szCs w:val="24"/>
        </w:rPr>
        <w:br/>
        <w:t>Bangladesh</w:t>
      </w:r>
      <w:r w:rsidRPr="001D45A2">
        <w:rPr>
          <w:sz w:val="28"/>
          <w:szCs w:val="24"/>
        </w:rPr>
        <w:br/>
        <w:t>20 October 2026</w:t>
      </w:r>
    </w:p>
    <w:p w14:paraId="19760F31" w14:textId="77777777" w:rsidR="001D45A2" w:rsidRPr="001D45A2" w:rsidRDefault="001D45A2" w:rsidP="00EF2902">
      <w:pPr>
        <w:rPr>
          <w:sz w:val="24"/>
          <w:szCs w:val="24"/>
        </w:rPr>
      </w:pPr>
    </w:p>
    <w:p w14:paraId="6BA2CBD0" w14:textId="77777777" w:rsidR="00EA1A96" w:rsidRPr="001D45A2" w:rsidRDefault="00EA1A96" w:rsidP="00EA1A96">
      <w:pPr>
        <w:spacing w:before="400"/>
        <w:jc w:val="center"/>
        <w:rPr>
          <w:color w:val="auto"/>
          <w:sz w:val="24"/>
          <w:szCs w:val="24"/>
        </w:rPr>
      </w:pPr>
      <w:r w:rsidRPr="001D45A2">
        <w:rPr>
          <w:color w:val="auto"/>
          <w:sz w:val="28"/>
          <w:szCs w:val="24"/>
        </w:rPr>
        <w:t>Repository: https://github.com/Rafiqul-Islam12/stratifyai</w:t>
      </w:r>
    </w:p>
    <w:p w14:paraId="5F71E512" w14:textId="77777777" w:rsidR="00997065" w:rsidRDefault="00497D67">
      <w:r>
        <w:rPr>
          <w:sz w:val="24"/>
        </w:rPr>
        <w:br w:type="page"/>
      </w:r>
    </w:p>
    <w:p w14:paraId="2F6DBCC8" w14:textId="77777777" w:rsidR="00997065" w:rsidRDefault="00497D67">
      <w:pPr>
        <w:pStyle w:val="Heading1"/>
      </w:pPr>
      <w:r>
        <w:rPr>
          <w:rFonts w:ascii="Times New Roman" w:eastAsia="Times New Roman" w:hAnsi="Times New Roman"/>
          <w:sz w:val="24"/>
        </w:rPr>
        <w:lastRenderedPageBreak/>
        <w:t>Abstract</w:t>
      </w:r>
    </w:p>
    <w:p w14:paraId="1FF004F2" w14:textId="77777777" w:rsidR="00997065" w:rsidRDefault="00497D67">
      <w:pPr>
        <w:spacing w:after="100" w:line="269" w:lineRule="auto"/>
      </w:pPr>
      <w:r>
        <w:rPr>
          <w:sz w:val="24"/>
        </w:rPr>
        <w:t>Small and medium-sized enterprises may face short-term liquidity stress when receipts and obligations arrive at different times, while owners lack a structured way to compare possible responses. StratifyAI is a local-first decision-support prototype that combines a deterministic weekly cash-flow forecast, seeded uncertainty simulation, a rule-based Liquidity Decision Lab, illustrative financing schedules, financial-analysis indicators, and an evidence-grounded copilot. Its architecture separates recorded ACTUAL data, computed FORECAST results, unapproved HYPOTHETICAL scenarios, and owner-approved CONFIRMED assumptions. Financial values are computed by deterministic Python services; the optional language model explains a masked evidence pack and cannot execute actions. The prototype uses five synthetic business cases and enforces backend role checks, bounded upload validation, numeric and citation validation, a hash-linked local audit log, and owner-mediated simulated actions. The latest integrated quality record reports 205 passing tests; separately timestamped T15 artifacts report 13 of 13 scripted workflows and 60 of 60 role-action decisions passing. These results establish implementation checks, not real-world effectiveness. In the five synthetic holdouts, the forecast produced higher MAE than a naïve last-four-week baseline in every case, and only one of five selected plans maintained the reserve. StratifyAI is therefore presented as an inspectable prototype, not a validated forecasting model, loan-approval tool, or source of financial advice.</w:t>
      </w:r>
    </w:p>
    <w:p w14:paraId="55FA8BE8" w14:textId="77777777" w:rsidR="00997065" w:rsidRDefault="00497D67">
      <w:pPr>
        <w:spacing w:after="100" w:line="269" w:lineRule="auto"/>
      </w:pPr>
      <w:r>
        <w:rPr>
          <w:i/>
          <w:color w:val="596963"/>
          <w:sz w:val="24"/>
        </w:rPr>
        <w:t>Keywords: SME finance; cash-flow forecasting; liquidity risk; decision support; human-in-the-loop; grounded language models; application security</w:t>
      </w:r>
    </w:p>
    <w:p w14:paraId="07D634E0" w14:textId="77777777" w:rsidR="00997065" w:rsidRDefault="00497D67">
      <w:pPr>
        <w:spacing w:after="100" w:line="269" w:lineRule="auto"/>
      </w:pPr>
      <w:r>
        <w:rPr>
          <w:b/>
          <w:sz w:val="24"/>
        </w:rPr>
        <w:t>Evidence note.</w:t>
      </w:r>
      <w:r>
        <w:rPr>
          <w:sz w:val="24"/>
        </w:rPr>
        <w:t xml:space="preserve"> The full-suite count (205) is the latest result recorded in docs/PROGRESS.md after UI-regression fixes. The detailed evaluation bundle dated 18 October 2026 records 197 passing tests for the earlier T15 build, alongside its workflow and authorization suites. These counts refer to different recorded runs and are not presented as one evaluation event.</w:t>
      </w:r>
    </w:p>
    <w:p w14:paraId="3FB736F0" w14:textId="77777777" w:rsidR="001B4D85" w:rsidRDefault="00144521">
      <w:pPr>
        <w:pStyle w:val="Heading1"/>
        <w:pageBreakBefore/>
      </w:pPr>
      <w:r>
        <w:rPr>
          <w:rFonts w:ascii="Times New Roman" w:eastAsia="Times New Roman" w:hAnsi="Times New Roman"/>
          <w:sz w:val="24"/>
        </w:rPr>
        <w:lastRenderedPageBreak/>
        <w:t>Contents</w:t>
      </w:r>
    </w:p>
    <w:p w14:paraId="72C36C8D" w14:textId="77777777" w:rsidR="001B4D85" w:rsidRDefault="00144521">
      <w:pPr>
        <w:spacing w:after="40"/>
      </w:pPr>
      <w:r>
        <w:rPr>
          <w:sz w:val="24"/>
        </w:rPr>
        <w:t>1. Introduction and motivation</w:t>
      </w:r>
    </w:p>
    <w:p w14:paraId="4E28557B" w14:textId="77777777" w:rsidR="001B4D85" w:rsidRDefault="00144521">
      <w:pPr>
        <w:spacing w:after="40"/>
        <w:ind w:left="403"/>
      </w:pPr>
      <w:r>
        <w:rPr>
          <w:sz w:val="24"/>
        </w:rPr>
        <w:t>1.1. Liquidity visibility for small businesses</w:t>
      </w:r>
    </w:p>
    <w:p w14:paraId="7C643E0D" w14:textId="77777777" w:rsidR="001B4D85" w:rsidRDefault="00144521">
      <w:pPr>
        <w:spacing w:after="40"/>
        <w:ind w:left="403"/>
      </w:pPr>
      <w:r>
        <w:rPr>
          <w:sz w:val="24"/>
        </w:rPr>
        <w:t>1.2. Scope and contributions</w:t>
      </w:r>
    </w:p>
    <w:p w14:paraId="2CAD67EB" w14:textId="77777777" w:rsidR="001B4D85" w:rsidRDefault="00144521">
      <w:pPr>
        <w:spacing w:after="40"/>
        <w:ind w:left="403"/>
      </w:pPr>
      <w:r>
        <w:rPr>
          <w:sz w:val="24"/>
        </w:rPr>
        <w:t>1.3. Topic E alignment</w:t>
      </w:r>
    </w:p>
    <w:p w14:paraId="13786B21" w14:textId="77777777" w:rsidR="001B4D85" w:rsidRDefault="00144521">
      <w:pPr>
        <w:spacing w:after="40"/>
        <w:ind w:left="403"/>
      </w:pPr>
      <w:r>
        <w:rPr>
          <w:sz w:val="24"/>
        </w:rPr>
        <w:t>1.4. Research questions</w:t>
      </w:r>
    </w:p>
    <w:p w14:paraId="0DB292C7" w14:textId="77777777" w:rsidR="001B4D85" w:rsidRDefault="00144521">
      <w:pPr>
        <w:spacing w:after="40"/>
      </w:pPr>
      <w:r>
        <w:rPr>
          <w:sz w:val="24"/>
        </w:rPr>
        <w:t>2. Related work</w:t>
      </w:r>
    </w:p>
    <w:p w14:paraId="16B5A234" w14:textId="77777777" w:rsidR="001B4D85" w:rsidRDefault="00144521">
      <w:pPr>
        <w:spacing w:after="40"/>
      </w:pPr>
      <w:r>
        <w:rPr>
          <w:sz w:val="24"/>
        </w:rPr>
        <w:t>3. System overview and architecture</w:t>
      </w:r>
    </w:p>
    <w:p w14:paraId="511C6A6C" w14:textId="77777777" w:rsidR="001B4D85" w:rsidRDefault="00144521">
      <w:pPr>
        <w:spacing w:after="40"/>
        <w:ind w:left="403"/>
      </w:pPr>
      <w:r>
        <w:rPr>
          <w:sz w:val="24"/>
        </w:rPr>
        <w:t>3.1. Layered design</w:t>
      </w:r>
    </w:p>
    <w:p w14:paraId="4A2BA0A7" w14:textId="77777777" w:rsidR="001B4D85" w:rsidRDefault="00144521">
      <w:pPr>
        <w:spacing w:after="40"/>
        <w:ind w:left="403"/>
      </w:pPr>
      <w:r>
        <w:rPr>
          <w:sz w:val="24"/>
        </w:rPr>
        <w:t xml:space="preserve">3.2. Four </w:t>
      </w:r>
      <w:r>
        <w:rPr>
          <w:sz w:val="24"/>
        </w:rPr>
        <w:t>semantic data layers</w:t>
      </w:r>
    </w:p>
    <w:p w14:paraId="06BF0455" w14:textId="77777777" w:rsidR="001B4D85" w:rsidRDefault="00144521">
      <w:pPr>
        <w:spacing w:after="40"/>
        <w:ind w:left="403"/>
      </w:pPr>
      <w:r>
        <w:rPr>
          <w:sz w:val="24"/>
        </w:rPr>
        <w:t>3.3. Processing flow</w:t>
      </w:r>
    </w:p>
    <w:p w14:paraId="6915E64D" w14:textId="77777777" w:rsidR="001B4D85" w:rsidRDefault="00144521">
      <w:pPr>
        <w:spacing w:after="40"/>
      </w:pPr>
      <w:r>
        <w:rPr>
          <w:sz w:val="24"/>
        </w:rPr>
        <w:t>4. Synthetic data and validation</w:t>
      </w:r>
    </w:p>
    <w:p w14:paraId="0831055F" w14:textId="77777777" w:rsidR="001B4D85" w:rsidRDefault="00144521">
      <w:pPr>
        <w:spacing w:after="40"/>
      </w:pPr>
      <w:r>
        <w:rPr>
          <w:sz w:val="24"/>
        </w:rPr>
        <w:t>5. Core algorithms</w:t>
      </w:r>
    </w:p>
    <w:p w14:paraId="5BA7C87B" w14:textId="77777777" w:rsidR="001B4D85" w:rsidRDefault="00144521">
      <w:pPr>
        <w:spacing w:after="40"/>
        <w:ind w:left="403"/>
      </w:pPr>
      <w:r>
        <w:rPr>
          <w:sz w:val="24"/>
        </w:rPr>
        <w:t>5.1. Weekly cash-flow forecast</w:t>
      </w:r>
    </w:p>
    <w:p w14:paraId="4EC2EEA6" w14:textId="77777777" w:rsidR="001B4D85" w:rsidRDefault="00144521">
      <w:pPr>
        <w:spacing w:after="40"/>
        <w:ind w:left="403"/>
      </w:pPr>
      <w:r>
        <w:rPr>
          <w:sz w:val="24"/>
        </w:rPr>
        <w:t>5.2. Seeded Monte Carlo uncertainty</w:t>
      </w:r>
    </w:p>
    <w:p w14:paraId="274A3996" w14:textId="77777777" w:rsidR="001B4D85" w:rsidRDefault="00144521">
      <w:pPr>
        <w:spacing w:after="40"/>
        <w:ind w:left="403"/>
      </w:pPr>
      <w:r>
        <w:rPr>
          <w:sz w:val="24"/>
        </w:rPr>
        <w:t>5.3. Liquidity Decision Lab</w:t>
      </w:r>
    </w:p>
    <w:p w14:paraId="658FFCD1" w14:textId="77777777" w:rsidR="001B4D85" w:rsidRDefault="00144521">
      <w:pPr>
        <w:spacing w:after="40"/>
        <w:ind w:left="403"/>
      </w:pPr>
      <w:r>
        <w:rPr>
          <w:sz w:val="24"/>
        </w:rPr>
        <w:t>5.4. Financing calculations</w:t>
      </w:r>
    </w:p>
    <w:p w14:paraId="5FE2C926" w14:textId="77777777" w:rsidR="001B4D85" w:rsidRDefault="00144521">
      <w:pPr>
        <w:spacing w:after="40"/>
        <w:ind w:left="403"/>
      </w:pPr>
      <w:r>
        <w:rPr>
          <w:sz w:val="24"/>
        </w:rPr>
        <w:t xml:space="preserve">5.5. Readiness and </w:t>
      </w:r>
      <w:r>
        <w:rPr>
          <w:sz w:val="24"/>
        </w:rPr>
        <w:t>receivables watchlist</w:t>
      </w:r>
    </w:p>
    <w:p w14:paraId="1A4B8DE0" w14:textId="77777777" w:rsidR="001B4D85" w:rsidRDefault="00144521">
      <w:pPr>
        <w:spacing w:after="40"/>
      </w:pPr>
      <w:r>
        <w:rPr>
          <w:sz w:val="24"/>
        </w:rPr>
        <w:t>6. Copilot, agent actions and human control</w:t>
      </w:r>
    </w:p>
    <w:p w14:paraId="5F8E8066" w14:textId="77777777" w:rsidR="001B4D85" w:rsidRDefault="00144521">
      <w:pPr>
        <w:spacing w:after="40"/>
        <w:ind w:left="403"/>
      </w:pPr>
      <w:r>
        <w:rPr>
          <w:sz w:val="24"/>
        </w:rPr>
        <w:t>6.1. Evidence-grounded Copilot</w:t>
      </w:r>
    </w:p>
    <w:p w14:paraId="78E0A178" w14:textId="77777777" w:rsidR="001B4D85" w:rsidRDefault="00144521">
      <w:pPr>
        <w:spacing w:after="40"/>
        <w:ind w:left="403"/>
      </w:pPr>
      <w:r>
        <w:rPr>
          <w:sz w:val="24"/>
        </w:rPr>
        <w:t>6.2. Draft, approval and simulated execution</w:t>
      </w:r>
    </w:p>
    <w:p w14:paraId="5C9F5F52" w14:textId="77777777" w:rsidR="001B4D85" w:rsidRDefault="00144521">
      <w:pPr>
        <w:spacing w:after="40"/>
        <w:ind w:left="403"/>
      </w:pPr>
      <w:r>
        <w:rPr>
          <w:sz w:val="24"/>
        </w:rPr>
        <w:t>6.3. Human oversight boundary</w:t>
      </w:r>
    </w:p>
    <w:p w14:paraId="6918A7D3" w14:textId="77777777" w:rsidR="001B4D85" w:rsidRDefault="00144521">
      <w:pPr>
        <w:spacing w:after="40"/>
      </w:pPr>
      <w:r>
        <w:rPr>
          <w:sz w:val="24"/>
        </w:rPr>
        <w:t>7. Security design</w:t>
      </w:r>
    </w:p>
    <w:p w14:paraId="71EB3E17" w14:textId="77777777" w:rsidR="001B4D85" w:rsidRDefault="00144521">
      <w:pPr>
        <w:spacing w:after="40"/>
        <w:ind w:left="403"/>
      </w:pPr>
      <w:r>
        <w:rPr>
          <w:sz w:val="24"/>
        </w:rPr>
        <w:t>7.1. Role and permission model</w:t>
      </w:r>
    </w:p>
    <w:p w14:paraId="68B9DC88" w14:textId="77777777" w:rsidR="001B4D85" w:rsidRDefault="00144521">
      <w:pPr>
        <w:spacing w:after="40"/>
        <w:ind w:left="403"/>
      </w:pPr>
      <w:r>
        <w:rPr>
          <w:sz w:val="24"/>
        </w:rPr>
        <w:t>7.2. Audit integrity and storage</w:t>
      </w:r>
    </w:p>
    <w:p w14:paraId="3D4E4810" w14:textId="77777777" w:rsidR="001B4D85" w:rsidRDefault="00144521">
      <w:pPr>
        <w:spacing w:after="40"/>
        <w:ind w:left="403"/>
      </w:pPr>
      <w:r>
        <w:rPr>
          <w:sz w:val="24"/>
        </w:rPr>
        <w:t>7</w:t>
      </w:r>
      <w:r>
        <w:rPr>
          <w:sz w:val="24"/>
        </w:rPr>
        <w:t>.3. Upload and prompt-injection controls</w:t>
      </w:r>
    </w:p>
    <w:p w14:paraId="7F2F74E9" w14:textId="77777777" w:rsidR="001B4D85" w:rsidRDefault="00144521">
      <w:pPr>
        <w:spacing w:after="40"/>
        <w:ind w:left="403"/>
      </w:pPr>
      <w:r>
        <w:rPr>
          <w:sz w:val="24"/>
        </w:rPr>
        <w:t>7.4. STRIDE summary</w:t>
      </w:r>
    </w:p>
    <w:p w14:paraId="5AA50C73" w14:textId="77777777" w:rsidR="001B4D85" w:rsidRDefault="00144521">
      <w:pPr>
        <w:spacing w:after="40"/>
      </w:pPr>
      <w:r>
        <w:rPr>
          <w:sz w:val="24"/>
        </w:rPr>
        <w:t>8. Implementation and interface</w:t>
      </w:r>
    </w:p>
    <w:p w14:paraId="08DB70B9" w14:textId="77777777" w:rsidR="001B4D85" w:rsidRDefault="00144521">
      <w:pPr>
        <w:spacing w:after="40"/>
      </w:pPr>
      <w:r>
        <w:rPr>
          <w:sz w:val="24"/>
        </w:rPr>
        <w:t>9. Evaluation and evidence</w:t>
      </w:r>
    </w:p>
    <w:p w14:paraId="65800D9F" w14:textId="77777777" w:rsidR="001B4D85" w:rsidRDefault="00144521">
      <w:pPr>
        <w:spacing w:after="40"/>
        <w:ind w:left="403"/>
      </w:pPr>
      <w:r>
        <w:rPr>
          <w:sz w:val="24"/>
        </w:rPr>
        <w:t>9.1. Evaluation design and provenance</w:t>
      </w:r>
    </w:p>
    <w:p w14:paraId="7C97713D" w14:textId="77777777" w:rsidR="001B4D85" w:rsidRDefault="00144521">
      <w:pPr>
        <w:spacing w:after="40"/>
        <w:ind w:left="403"/>
      </w:pPr>
      <w:r>
        <w:rPr>
          <w:sz w:val="24"/>
        </w:rPr>
        <w:t>9.2. Synthetic holdout forecast comparison</w:t>
      </w:r>
    </w:p>
    <w:p w14:paraId="58E02140" w14:textId="77777777" w:rsidR="001B4D85" w:rsidRDefault="00144521">
      <w:pPr>
        <w:spacing w:after="40"/>
        <w:ind w:left="403"/>
      </w:pPr>
      <w:r>
        <w:rPr>
          <w:sz w:val="24"/>
        </w:rPr>
        <w:t>9.3. Reserve and decision quality</w:t>
      </w:r>
    </w:p>
    <w:p w14:paraId="29688A44" w14:textId="77777777" w:rsidR="001B4D85" w:rsidRDefault="00144521">
      <w:pPr>
        <w:spacing w:after="40"/>
        <w:ind w:left="403"/>
      </w:pPr>
      <w:r>
        <w:rPr>
          <w:sz w:val="24"/>
        </w:rPr>
        <w:t>9.4. Evaluation limit</w:t>
      </w:r>
      <w:r>
        <w:rPr>
          <w:sz w:val="24"/>
        </w:rPr>
        <w:t>ations</w:t>
      </w:r>
    </w:p>
    <w:p w14:paraId="2A8D0967" w14:textId="77777777" w:rsidR="001B4D85" w:rsidRDefault="00144521">
      <w:pPr>
        <w:spacing w:after="40"/>
      </w:pPr>
      <w:r>
        <w:rPr>
          <w:sz w:val="24"/>
        </w:rPr>
        <w:t>10. Discussion, limitations and validity</w:t>
      </w:r>
    </w:p>
    <w:p w14:paraId="7FAE7ED1" w14:textId="77777777" w:rsidR="001B4D85" w:rsidRDefault="00144521">
      <w:pPr>
        <w:spacing w:after="40"/>
        <w:ind w:left="403"/>
      </w:pPr>
      <w:r>
        <w:rPr>
          <w:sz w:val="24"/>
        </w:rPr>
        <w:t>10.1. What the results support</w:t>
      </w:r>
    </w:p>
    <w:p w14:paraId="6444264A" w14:textId="77777777" w:rsidR="001B4D85" w:rsidRDefault="00144521">
      <w:pPr>
        <w:spacing w:after="40"/>
        <w:ind w:left="403"/>
      </w:pPr>
      <w:r>
        <w:rPr>
          <w:sz w:val="24"/>
        </w:rPr>
        <w:t>10.2. What the results do not support</w:t>
      </w:r>
    </w:p>
    <w:p w14:paraId="257DC338" w14:textId="77777777" w:rsidR="001B4D85" w:rsidRDefault="00144521">
      <w:pPr>
        <w:spacing w:after="40"/>
        <w:ind w:left="403"/>
      </w:pPr>
      <w:r>
        <w:rPr>
          <w:sz w:val="24"/>
        </w:rPr>
        <w:t>10.3. Ethical and operational boundaries</w:t>
      </w:r>
    </w:p>
    <w:p w14:paraId="64B7091E" w14:textId="77777777" w:rsidR="001B4D85" w:rsidRDefault="00144521">
      <w:pPr>
        <w:spacing w:after="40"/>
        <w:ind w:left="403"/>
      </w:pPr>
      <w:r>
        <w:rPr>
          <w:sz w:val="24"/>
        </w:rPr>
        <w:t>10.4. Threats to validity</w:t>
      </w:r>
    </w:p>
    <w:p w14:paraId="5CE5B291" w14:textId="77777777" w:rsidR="001B4D85" w:rsidRDefault="00144521">
      <w:pPr>
        <w:spacing w:after="40"/>
      </w:pPr>
      <w:r>
        <w:rPr>
          <w:sz w:val="24"/>
        </w:rPr>
        <w:t>11. Conclusion and future work</w:t>
      </w:r>
    </w:p>
    <w:p w14:paraId="73004960" w14:textId="77777777" w:rsidR="001B4D85" w:rsidRDefault="00144521">
      <w:pPr>
        <w:spacing w:after="40"/>
        <w:ind w:left="403"/>
      </w:pPr>
      <w:r>
        <w:rPr>
          <w:sz w:val="24"/>
        </w:rPr>
        <w:t>Future work</w:t>
      </w:r>
    </w:p>
    <w:p w14:paraId="6D0BECDF" w14:textId="77777777" w:rsidR="001B4D85" w:rsidRDefault="00144521">
      <w:pPr>
        <w:spacing w:after="40"/>
      </w:pPr>
      <w:r>
        <w:rPr>
          <w:sz w:val="24"/>
        </w:rPr>
        <w:t>References</w:t>
      </w:r>
    </w:p>
    <w:p w14:paraId="7D8B10BB" w14:textId="77777777" w:rsidR="001B4D85" w:rsidRDefault="00144521">
      <w:pPr>
        <w:spacing w:after="40"/>
      </w:pPr>
      <w:r>
        <w:rPr>
          <w:sz w:val="24"/>
        </w:rPr>
        <w:lastRenderedPageBreak/>
        <w:t xml:space="preserve">Appendix A. </w:t>
      </w:r>
      <w:r>
        <w:rPr>
          <w:sz w:val="24"/>
        </w:rPr>
        <w:t>Threat model and trust boundaries</w:t>
      </w:r>
    </w:p>
    <w:p w14:paraId="5B0DE186" w14:textId="77777777" w:rsidR="001B4D85" w:rsidRDefault="00144521">
      <w:pPr>
        <w:spacing w:after="40"/>
      </w:pPr>
      <w:r>
        <w:rPr>
          <w:sz w:val="24"/>
        </w:rPr>
        <w:t>Appendix B. Permission matrix</w:t>
      </w:r>
    </w:p>
    <w:p w14:paraId="3E91BACE" w14:textId="77777777" w:rsidR="001B4D85" w:rsidRDefault="00144521">
      <w:pPr>
        <w:spacing w:after="40"/>
      </w:pPr>
      <w:r>
        <w:rPr>
          <w:sz w:val="24"/>
        </w:rPr>
        <w:t>Appendix C. Reproduction commands</w:t>
      </w:r>
    </w:p>
    <w:p w14:paraId="77B8449A" w14:textId="77777777" w:rsidR="001B4D85" w:rsidRDefault="00144521">
      <w:pPr>
        <w:spacing w:after="40"/>
      </w:pPr>
      <w:r>
        <w:rPr>
          <w:sz w:val="24"/>
        </w:rPr>
        <w:t>Appendix D. Copilot receipt example</w:t>
      </w:r>
    </w:p>
    <w:p w14:paraId="732CCAFE" w14:textId="77777777" w:rsidR="001B4D85" w:rsidRDefault="00144521">
      <w:pPr>
        <w:spacing w:after="40"/>
      </w:pPr>
      <w:r>
        <w:rPr>
          <w:sz w:val="24"/>
        </w:rPr>
        <w:t>Appendix E. Known risks and non-implemented controls</w:t>
      </w:r>
    </w:p>
    <w:p w14:paraId="187466A4" w14:textId="77777777" w:rsidR="001B4D85" w:rsidRDefault="00144521">
      <w:pPr>
        <w:pStyle w:val="Heading1"/>
        <w:pageBreakBefore/>
      </w:pPr>
      <w:r>
        <w:rPr>
          <w:rFonts w:ascii="Times New Roman" w:eastAsia="Times New Roman" w:hAnsi="Times New Roman"/>
          <w:sz w:val="24"/>
        </w:rPr>
        <w:lastRenderedPageBreak/>
        <w:t>List of Figures</w:t>
      </w:r>
    </w:p>
    <w:p w14:paraId="44925880" w14:textId="77777777" w:rsidR="001B4D85" w:rsidRDefault="00144521">
      <w:r>
        <w:rPr>
          <w:sz w:val="24"/>
        </w:rPr>
        <w:t>Figure 1. Layered system architecture and evidence fl</w:t>
      </w:r>
      <w:r>
        <w:rPr>
          <w:sz w:val="24"/>
        </w:rPr>
        <w:t>ow. Financial computation is kept in the deterministic core; mutations and authorization are mediated by services.</w:t>
      </w:r>
    </w:p>
    <w:p w14:paraId="3D5A05CF" w14:textId="77777777" w:rsidR="001B4D85" w:rsidRDefault="00144521">
      <w:r>
        <w:rPr>
          <w:sz w:val="24"/>
        </w:rPr>
        <w:t xml:space="preserve">Figure 2. Context-level DFD (Level 0). Arrows indicate application data exchanges; the outer application boundary separates local state from </w:t>
      </w:r>
      <w:r>
        <w:rPr>
          <w:sz w:val="24"/>
        </w:rPr>
        <w:t>the optional provider.</w:t>
      </w:r>
    </w:p>
    <w:p w14:paraId="419DB1D6" w14:textId="77777777" w:rsidR="001B4D85" w:rsidRDefault="00144521">
      <w:r>
        <w:rPr>
          <w:sz w:val="24"/>
        </w:rPr>
        <w:t>Figure 3. Level-1 DFD. P denotes a process and D a local data store; arrows show validated records, computed evidence, or audited state transitions.</w:t>
      </w:r>
    </w:p>
    <w:p w14:paraId="59BC3E33" w14:textId="77777777" w:rsidR="001B4D85" w:rsidRDefault="00144521">
      <w:r>
        <w:rPr>
          <w:sz w:val="24"/>
        </w:rPr>
        <w:t>Figure 4. Semantic data-layer lifecycle. Confirmation changes an assumption’s review</w:t>
      </w:r>
      <w:r>
        <w:rPr>
          <w:sz w:val="24"/>
        </w:rPr>
        <w:t xml:space="preserve"> state; it does not turn a forecast into observed fact.</w:t>
      </w:r>
    </w:p>
    <w:p w14:paraId="25AB141A" w14:textId="77777777" w:rsidR="001B4D85" w:rsidRDefault="00144521">
      <w:r>
        <w:rPr>
          <w:sz w:val="24"/>
        </w:rPr>
        <w:t>Figure 5. Lab evaluation sequence from baseline forecast through scenario comparison and explanation.</w:t>
      </w:r>
    </w:p>
    <w:p w14:paraId="2F2F00AA" w14:textId="77777777" w:rsidR="001B4D85" w:rsidRDefault="00144521">
      <w:r>
        <w:rPr>
          <w:sz w:val="24"/>
        </w:rPr>
        <w:t>Figure 6. Copilot evidence, optional generation, answer checks, and receipt sequence.</w:t>
      </w:r>
    </w:p>
    <w:p w14:paraId="39393DB8" w14:textId="77777777" w:rsidR="001B4D85" w:rsidRDefault="00144521">
      <w:r>
        <w:rPr>
          <w:sz w:val="24"/>
        </w:rPr>
        <w:t>Figure 8. Ac</w:t>
      </w:r>
      <w:r>
        <w:rPr>
          <w:sz w:val="24"/>
        </w:rPr>
        <w:t>tion state machine. Rejected and simulated items are terminal; execution represents only a local record.</w:t>
      </w:r>
    </w:p>
    <w:p w14:paraId="64018C04" w14:textId="77777777" w:rsidR="001B4D85" w:rsidRDefault="00144521">
      <w:r>
        <w:rPr>
          <w:sz w:val="24"/>
        </w:rPr>
        <w:t>Figure 7. Approval sequence across finance_ops, UI, service authorization, SQLite, audit, owner, and local sandbox log.</w:t>
      </w:r>
    </w:p>
    <w:p w14:paraId="2A655CEE" w14:textId="77777777" w:rsidR="001B4D85" w:rsidRDefault="00144521">
      <w:r>
        <w:rPr>
          <w:sz w:val="24"/>
        </w:rPr>
        <w:t>Figure 9. Current public Strati</w:t>
      </w:r>
      <w:r>
        <w:rPr>
          <w:sz w:val="24"/>
        </w:rPr>
        <w:t>fyAI landing/Overview shell capture (docs/img/overview.png, 1440 px). This view does not replace the signed-in dashboard evidence requested below.</w:t>
      </w:r>
    </w:p>
    <w:p w14:paraId="0DAAEA62" w14:textId="77777777" w:rsidR="001B4D85" w:rsidRDefault="00144521">
      <w:r>
        <w:rPr>
          <w:sz w:val="24"/>
        </w:rPr>
        <w:t>Figure 10. [F2] Signed-in owner Overview for Case 3 (high-expense shortage).</w:t>
      </w:r>
    </w:p>
    <w:p w14:paraId="70EE75DC" w14:textId="77777777" w:rsidR="001B4D85" w:rsidRDefault="00144521">
      <w:r>
        <w:rPr>
          <w:sz w:val="24"/>
        </w:rPr>
        <w:t>Figure 11. [F3] Cash-flow foreca</w:t>
      </w:r>
      <w:r>
        <w:rPr>
          <w:sz w:val="24"/>
        </w:rPr>
        <w:t>st with reserve and uncertainty context.</w:t>
      </w:r>
    </w:p>
    <w:p w14:paraId="072C64F9" w14:textId="77777777" w:rsidR="001B4D85" w:rsidRDefault="00144521">
      <w:r>
        <w:rPr>
          <w:sz w:val="24"/>
        </w:rPr>
        <w:t>Figure 12. [F4] Liquidity Decision Lab comparison of baseline and alternatives.</w:t>
      </w:r>
    </w:p>
    <w:p w14:paraId="4D2A553C" w14:textId="77777777" w:rsidR="001B4D85" w:rsidRDefault="00144521">
      <w:r>
        <w:rPr>
          <w:sz w:val="24"/>
        </w:rPr>
        <w:t>Figure 13. [F5] Decision Lab lever settings and stress assumptions.</w:t>
      </w:r>
    </w:p>
    <w:p w14:paraId="6C14C226" w14:textId="77777777" w:rsidR="001B4D85" w:rsidRDefault="00144521">
      <w:r>
        <w:rPr>
          <w:sz w:val="24"/>
        </w:rPr>
        <w:t xml:space="preserve">Figure 14. [F6] Illustrative financing schedule and </w:t>
      </w:r>
      <w:r>
        <w:rPr>
          <w:sz w:val="24"/>
        </w:rPr>
        <w:t>readiness indicator.</w:t>
      </w:r>
    </w:p>
    <w:p w14:paraId="73692676" w14:textId="77777777" w:rsidR="001B4D85" w:rsidRDefault="00144521">
      <w:r>
        <w:rPr>
          <w:sz w:val="24"/>
        </w:rPr>
        <w:t>Figure 15. [F7] Case 2 business analysis and receivables watchlist.</w:t>
      </w:r>
    </w:p>
    <w:p w14:paraId="23F5640C" w14:textId="77777777" w:rsidR="001B4D85" w:rsidRDefault="00144521">
      <w:r>
        <w:rPr>
          <w:sz w:val="24"/>
        </w:rPr>
        <w:t>Figure 16. [F8] Copilot response with expanded Evidence used receipt.</w:t>
      </w:r>
    </w:p>
    <w:p w14:paraId="180BD87C" w14:textId="77777777" w:rsidR="001B4D85" w:rsidRDefault="00144521">
      <w:r>
        <w:rPr>
          <w:sz w:val="24"/>
        </w:rPr>
        <w:t>Figure 17. [F9] Approval workflow from pending draft to approved local record.</w:t>
      </w:r>
    </w:p>
    <w:p w14:paraId="197CC266" w14:textId="77777777" w:rsidR="001B4D85" w:rsidRDefault="00144521">
      <w:r>
        <w:rPr>
          <w:sz w:val="24"/>
        </w:rPr>
        <w:t xml:space="preserve">Figure 18. </w:t>
      </w:r>
      <w:r>
        <w:rPr>
          <w:sz w:val="24"/>
        </w:rPr>
        <w:t>[F10] Audit hash-chain verification result.</w:t>
      </w:r>
    </w:p>
    <w:p w14:paraId="623A831E" w14:textId="77777777" w:rsidR="001B4D85" w:rsidRDefault="00144521">
      <w:r>
        <w:rPr>
          <w:sz w:val="24"/>
        </w:rPr>
        <w:t>Figure 19. [F11] Upload validation of formula-like cell (=1+1).</w:t>
      </w:r>
    </w:p>
    <w:p w14:paraId="79C4FB59" w14:textId="77777777" w:rsidR="001B4D85" w:rsidRDefault="00144521">
      <w:r>
        <w:rPr>
          <w:sz w:val="24"/>
        </w:rPr>
        <w:t>Figure 20. [F12] Security roles and permission matrix.</w:t>
      </w:r>
    </w:p>
    <w:p w14:paraId="14EB834A" w14:textId="77777777" w:rsidR="001B4D85" w:rsidRDefault="00144521">
      <w:pPr>
        <w:pStyle w:val="Heading1"/>
        <w:pageBreakBefore/>
      </w:pPr>
      <w:r>
        <w:rPr>
          <w:rFonts w:ascii="Times New Roman" w:eastAsia="Times New Roman" w:hAnsi="Times New Roman"/>
          <w:sz w:val="24"/>
        </w:rPr>
        <w:lastRenderedPageBreak/>
        <w:t>List of Tables</w:t>
      </w:r>
    </w:p>
    <w:p w14:paraId="2A186E66" w14:textId="77777777" w:rsidR="001B4D85" w:rsidRDefault="00144521">
      <w:r>
        <w:rPr>
          <w:sz w:val="24"/>
        </w:rPr>
        <w:t>Table 2. Code-layer responsibilities and trust boundaries.</w:t>
      </w:r>
    </w:p>
    <w:p w14:paraId="06500198" w14:textId="77777777" w:rsidR="001B4D85" w:rsidRDefault="00144521">
      <w:r>
        <w:rPr>
          <w:sz w:val="24"/>
        </w:rPr>
        <w:t>Table 6. Monte Carl</w:t>
      </w:r>
      <w:r>
        <w:rPr>
          <w:sz w:val="24"/>
        </w:rPr>
        <w:t>o settings and interpretation.</w:t>
      </w:r>
    </w:p>
    <w:p w14:paraId="4659E315" w14:textId="77777777" w:rsidR="001B4D85" w:rsidRDefault="00144521">
      <w:r>
        <w:rPr>
          <w:sz w:val="24"/>
        </w:rPr>
        <w:t>Table 7. Decision Lab levers and financing-plan construction.</w:t>
      </w:r>
    </w:p>
    <w:p w14:paraId="016985AF" w14:textId="77777777" w:rsidR="001B4D85" w:rsidRDefault="00144521">
      <w:r>
        <w:rPr>
          <w:sz w:val="24"/>
        </w:rPr>
        <w:t>Table 8. Editable financing templates; all terms are illustrative.</w:t>
      </w:r>
    </w:p>
    <w:p w14:paraId="483A3103" w14:textId="77777777" w:rsidR="001B4D85" w:rsidRDefault="00144521">
      <w:r>
        <w:rPr>
          <w:sz w:val="24"/>
        </w:rPr>
        <w:t>Table 10. Copilot evidence pack and receipt boundaries.</w:t>
      </w:r>
    </w:p>
    <w:p w14:paraId="7B7720E5" w14:textId="77777777" w:rsidR="001B4D85" w:rsidRDefault="00144521">
      <w:r>
        <w:rPr>
          <w:sz w:val="24"/>
        </w:rPr>
        <w:t>Table 11. Structured draft catalog and h</w:t>
      </w:r>
      <w:r>
        <w:rPr>
          <w:sz w:val="24"/>
        </w:rPr>
        <w:t>uman review boundary.</w:t>
      </w:r>
    </w:p>
    <w:p w14:paraId="2435F092" w14:textId="77777777" w:rsidR="001B4D85" w:rsidRDefault="00144521">
      <w:r>
        <w:rPr>
          <w:sz w:val="24"/>
        </w:rPr>
        <w:t>Table 12. Role/action matrix. A dash denotes denial.</w:t>
      </w:r>
    </w:p>
    <w:p w14:paraId="445AE2C9" w14:textId="77777777" w:rsidR="001B4D85" w:rsidRDefault="00144521">
      <w:r>
        <w:rPr>
          <w:sz w:val="24"/>
        </w:rPr>
        <w:t>Table 15. Per-case holdout metrics transcribed from evidence/backtest_results.csv. Lower is better; the model loses to the naïve baseline in every case.</w:t>
      </w:r>
    </w:p>
    <w:p w14:paraId="6DBB1960" w14:textId="77777777" w:rsidR="001B4D85" w:rsidRDefault="00144521">
      <w:r>
        <w:rPr>
          <w:sz w:val="24"/>
        </w:rPr>
        <w:t>Table 16. Decision-quality e</w:t>
      </w:r>
      <w:r>
        <w:rPr>
          <w:sz w:val="24"/>
        </w:rPr>
        <w:t>vidence from evidence/decision_quality.json. Only one of five selected plans maintained the reserve; breach probabilities are simulation outputs under the configured model.</w:t>
      </w:r>
    </w:p>
    <w:p w14:paraId="3DC96858" w14:textId="77777777" w:rsidR="001B4D85" w:rsidRDefault="00144521">
      <w:r>
        <w:rPr>
          <w:sz w:val="24"/>
        </w:rPr>
        <w:t>Table 14. Per-case interpretation of the holdout errors. Values are from the checke</w:t>
      </w:r>
      <w:r>
        <w:rPr>
          <w:sz w:val="24"/>
        </w:rPr>
        <w:t>d-in CSV, rounded to the nearest BDT.</w:t>
      </w:r>
    </w:p>
    <w:p w14:paraId="72B4C42B" w14:textId="77777777" w:rsidR="001B4D85" w:rsidRDefault="00144521">
      <w:r>
        <w:rPr>
          <w:sz w:val="24"/>
        </w:rPr>
        <w:t>Table 17. Project materials referenced while preparing this technical report.</w:t>
      </w:r>
    </w:p>
    <w:p w14:paraId="1BD69B69" w14:textId="77777777" w:rsidR="00997065" w:rsidRDefault="00497D67">
      <w:pPr>
        <w:pStyle w:val="Heading1"/>
        <w:pageBreakBefore/>
      </w:pPr>
      <w:r>
        <w:rPr>
          <w:rFonts w:ascii="Times New Roman" w:eastAsia="Times New Roman" w:hAnsi="Times New Roman"/>
          <w:sz w:val="24"/>
        </w:rPr>
        <w:lastRenderedPageBreak/>
        <w:t>1. Introduction and motivation</w:t>
      </w:r>
    </w:p>
    <w:p w14:paraId="1314D34E" w14:textId="77777777" w:rsidR="00997065" w:rsidRDefault="00497D67">
      <w:pPr>
        <w:pStyle w:val="Heading2"/>
      </w:pPr>
      <w:r>
        <w:rPr>
          <w:rFonts w:ascii="Times New Roman" w:eastAsia="Times New Roman" w:hAnsi="Times New Roman"/>
          <w:sz w:val="24"/>
        </w:rPr>
        <w:t>1.1. Liquidity visibility for small businesses</w:t>
      </w:r>
    </w:p>
    <w:p w14:paraId="20FB07BE" w14:textId="77777777" w:rsidR="00997065" w:rsidRDefault="00497D67">
      <w:pPr>
        <w:spacing w:after="100" w:line="269" w:lineRule="auto"/>
      </w:pPr>
      <w:r>
        <w:rPr>
          <w:sz w:val="24"/>
        </w:rPr>
        <w:t>A business can report sales and still experience a near-term cash shortfall when customer receipts are delayed, supplier bills fall due, or operating costs rise. The practical issue is temporal: which week is likely to breach a minimum reserve, what obligations drive the gap, and which plausible actions improve the path? Working-capital research shows that liquidity policy involves trade-offs rather than a universal rule to minimize current assets [1, 2]. Small firms also face financing frictions associated with firm size, age, and information availability [3]. StratifyAI turns these concerns into a transparent scenario workflow over structured synthetic records; it does not claim to remove financing frictions or predict actual lender decisions.</w:t>
      </w:r>
    </w:p>
    <w:p w14:paraId="5964C489" w14:textId="77777777" w:rsidR="00997065" w:rsidRDefault="00497D67">
      <w:pPr>
        <w:pStyle w:val="Heading2"/>
      </w:pPr>
      <w:r>
        <w:rPr>
          <w:rFonts w:ascii="Times New Roman" w:eastAsia="Times New Roman" w:hAnsi="Times New Roman"/>
          <w:sz w:val="24"/>
        </w:rPr>
        <w:t>1.2. Scope and contributions</w:t>
      </w:r>
    </w:p>
    <w:p w14:paraId="09D4A4AC" w14:textId="77777777" w:rsidR="00997065" w:rsidRDefault="00497D67">
      <w:pPr>
        <w:spacing w:after="100" w:line="269" w:lineRule="auto"/>
      </w:pPr>
      <w:r>
        <w:rPr>
          <w:sz w:val="24"/>
        </w:rPr>
        <w:t>The contribution is an integrated, inspectable application design rather than a new statistical forecasting method. The project contributes: (1) explicit separation of actual, forecast, hypothetical, and owner-confirmed information; (2) a deterministic weekly cash engine paired with seeded scenario uncertainty; (3) a transparent liquidity comparison that models collection, deferral, expense-reduction, and financing options; (4) a read-only, evidence-grounded copilot separated from privileged action services; and (5) backend authorization, human approval, audit evidence, and candid synthetic evaluation. These are prototype engineering contributions. No causal effect, general forecast superiority, or production security assurance is claimed.</w:t>
      </w:r>
    </w:p>
    <w:p w14:paraId="3DBE195A" w14:textId="77777777" w:rsidR="00997065" w:rsidRDefault="00497D67">
      <w:pPr>
        <w:pStyle w:val="Heading2"/>
      </w:pPr>
      <w:r>
        <w:rPr>
          <w:rFonts w:ascii="Times New Roman" w:eastAsia="Times New Roman" w:hAnsi="Times New Roman"/>
          <w:sz w:val="24"/>
        </w:rPr>
        <w:t>1.3. Topic E alignment</w:t>
      </w:r>
    </w:p>
    <w:tbl>
      <w:tblPr>
        <w:tblStyle w:val="TableGrid"/>
        <w:tblW w:w="0" w:type="auto"/>
        <w:jc w:val="center"/>
        <w:tblLook w:val="04A0" w:firstRow="1" w:lastRow="0" w:firstColumn="1" w:lastColumn="0" w:noHBand="0" w:noVBand="1"/>
      </w:tblPr>
      <w:tblGrid>
        <w:gridCol w:w="3331"/>
        <w:gridCol w:w="3331"/>
        <w:gridCol w:w="3331"/>
      </w:tblGrid>
      <w:tr w:rsidR="00997065" w14:paraId="395B8E9F" w14:textId="77777777">
        <w:trPr>
          <w:tblHeader/>
          <w:jc w:val="center"/>
        </w:trPr>
        <w:tc>
          <w:tcPr>
            <w:tcW w:w="3331" w:type="dxa"/>
            <w:tcBorders>
              <w:top w:val="single" w:sz="6" w:space="0" w:color="166B52"/>
              <w:left w:val="single" w:sz="6" w:space="0" w:color="166B52"/>
              <w:bottom w:val="single" w:sz="6" w:space="0" w:color="166B52"/>
              <w:right w:val="single" w:sz="6" w:space="0" w:color="166B52"/>
            </w:tcBorders>
            <w:shd w:val="clear" w:color="auto" w:fill="166B52"/>
            <w:vAlign w:val="center"/>
          </w:tcPr>
          <w:p w14:paraId="40DF5462" w14:textId="77777777" w:rsidR="00997065" w:rsidRDefault="00497D67">
            <w:pPr>
              <w:spacing w:before="20" w:after="20"/>
            </w:pPr>
            <w:r>
              <w:rPr>
                <w:b/>
                <w:color w:val="FFFFFF"/>
                <w:sz w:val="24"/>
              </w:rPr>
              <w:t>Topic E capability</w:t>
            </w:r>
          </w:p>
        </w:tc>
        <w:tc>
          <w:tcPr>
            <w:tcW w:w="3331" w:type="dxa"/>
            <w:tcBorders>
              <w:top w:val="single" w:sz="6" w:space="0" w:color="166B52"/>
              <w:left w:val="single" w:sz="6" w:space="0" w:color="166B52"/>
              <w:bottom w:val="single" w:sz="6" w:space="0" w:color="166B52"/>
              <w:right w:val="single" w:sz="6" w:space="0" w:color="166B52"/>
            </w:tcBorders>
            <w:shd w:val="clear" w:color="auto" w:fill="166B52"/>
            <w:vAlign w:val="center"/>
          </w:tcPr>
          <w:p w14:paraId="52B50067" w14:textId="77777777" w:rsidR="00997065" w:rsidRDefault="00497D67">
            <w:pPr>
              <w:spacing w:before="20" w:after="20"/>
            </w:pPr>
            <w:r>
              <w:rPr>
                <w:b/>
                <w:color w:val="FFFFFF"/>
                <w:sz w:val="24"/>
              </w:rPr>
              <w:t>StratifyAI component</w:t>
            </w:r>
          </w:p>
        </w:tc>
        <w:tc>
          <w:tcPr>
            <w:tcW w:w="3331" w:type="dxa"/>
            <w:tcBorders>
              <w:top w:val="single" w:sz="6" w:space="0" w:color="166B52"/>
              <w:left w:val="single" w:sz="6" w:space="0" w:color="166B52"/>
              <w:bottom w:val="single" w:sz="6" w:space="0" w:color="166B52"/>
              <w:right w:val="single" w:sz="6" w:space="0" w:color="166B52"/>
            </w:tcBorders>
            <w:shd w:val="clear" w:color="auto" w:fill="166B52"/>
            <w:vAlign w:val="center"/>
          </w:tcPr>
          <w:p w14:paraId="04DD503B" w14:textId="77777777" w:rsidR="00997065" w:rsidRDefault="00497D67">
            <w:pPr>
              <w:spacing w:before="20" w:after="20"/>
            </w:pPr>
            <w:r>
              <w:rPr>
                <w:b/>
                <w:color w:val="FFFFFF"/>
                <w:sz w:val="24"/>
              </w:rPr>
              <w:t>Boundary / evidence</w:t>
            </w:r>
          </w:p>
        </w:tc>
      </w:tr>
      <w:tr w:rsidR="00997065" w14:paraId="3A078D68" w14:textId="77777777">
        <w:trPr>
          <w:jc w:val="center"/>
        </w:trPr>
        <w:tc>
          <w:tcPr>
            <w:tcW w:w="3331" w:type="dxa"/>
            <w:tcBorders>
              <w:top w:val="single" w:sz="6" w:space="0" w:color="D7E4DD"/>
              <w:left w:val="single" w:sz="6" w:space="0" w:color="D7E4DD"/>
              <w:bottom w:val="single" w:sz="6" w:space="0" w:color="D7E4DD"/>
              <w:right w:val="single" w:sz="6" w:space="0" w:color="D7E4DD"/>
            </w:tcBorders>
            <w:shd w:val="clear" w:color="auto" w:fill="F4F8F5"/>
            <w:vAlign w:val="center"/>
          </w:tcPr>
          <w:p w14:paraId="087B4388" w14:textId="77777777" w:rsidR="00997065" w:rsidRDefault="00497D67">
            <w:pPr>
              <w:spacing w:before="20" w:after="20"/>
            </w:pPr>
            <w:r>
              <w:rPr>
                <w:sz w:val="24"/>
              </w:rPr>
              <w:t>Cash-flow management and alerts</w:t>
            </w:r>
          </w:p>
        </w:tc>
        <w:tc>
          <w:tcPr>
            <w:tcW w:w="3331" w:type="dxa"/>
            <w:tcBorders>
              <w:top w:val="single" w:sz="6" w:space="0" w:color="D7E4DD"/>
              <w:left w:val="single" w:sz="6" w:space="0" w:color="D7E4DD"/>
              <w:bottom w:val="single" w:sz="6" w:space="0" w:color="D7E4DD"/>
              <w:right w:val="single" w:sz="6" w:space="0" w:color="D7E4DD"/>
            </w:tcBorders>
            <w:shd w:val="clear" w:color="auto" w:fill="F4F8F5"/>
            <w:vAlign w:val="center"/>
          </w:tcPr>
          <w:p w14:paraId="7BDA5CBE" w14:textId="77777777" w:rsidR="00997065" w:rsidRDefault="00497D67">
            <w:pPr>
              <w:spacing w:before="20" w:after="20"/>
            </w:pPr>
            <w:r>
              <w:rPr>
                <w:sz w:val="24"/>
              </w:rPr>
              <w:t>Weekly FORECAST, reserve breach and funding gap</w:t>
            </w:r>
          </w:p>
        </w:tc>
        <w:tc>
          <w:tcPr>
            <w:tcW w:w="3331" w:type="dxa"/>
            <w:tcBorders>
              <w:top w:val="single" w:sz="6" w:space="0" w:color="D7E4DD"/>
              <w:left w:val="single" w:sz="6" w:space="0" w:color="D7E4DD"/>
              <w:bottom w:val="single" w:sz="6" w:space="0" w:color="D7E4DD"/>
              <w:right w:val="single" w:sz="6" w:space="0" w:color="D7E4DD"/>
            </w:tcBorders>
            <w:shd w:val="clear" w:color="auto" w:fill="F4F8F5"/>
            <w:vAlign w:val="center"/>
          </w:tcPr>
          <w:p w14:paraId="0324E8E7" w14:textId="77777777" w:rsidR="00997065" w:rsidRDefault="00497D67">
            <w:pPr>
              <w:spacing w:before="20" w:after="20"/>
            </w:pPr>
            <w:r>
              <w:rPr>
                <w:sz w:val="24"/>
              </w:rPr>
              <w:t>Deterministic rules; five synthetic cases</w:t>
            </w:r>
          </w:p>
        </w:tc>
      </w:tr>
      <w:tr w:rsidR="00997065" w14:paraId="004A8E8E" w14:textId="77777777">
        <w:trPr>
          <w:jc w:val="center"/>
        </w:trPr>
        <w:tc>
          <w:tcPr>
            <w:tcW w:w="3331" w:type="dxa"/>
            <w:tcBorders>
              <w:top w:val="single" w:sz="6" w:space="0" w:color="D7E4DD"/>
              <w:left w:val="single" w:sz="6" w:space="0" w:color="D7E4DD"/>
              <w:bottom w:val="single" w:sz="6" w:space="0" w:color="D7E4DD"/>
              <w:right w:val="single" w:sz="6" w:space="0" w:color="D7E4DD"/>
            </w:tcBorders>
            <w:shd w:val="clear" w:color="auto" w:fill="FFFFFF"/>
            <w:vAlign w:val="center"/>
          </w:tcPr>
          <w:p w14:paraId="4EC89E0F" w14:textId="77777777" w:rsidR="00997065" w:rsidRDefault="00497D67">
            <w:pPr>
              <w:spacing w:before="20" w:after="20"/>
            </w:pPr>
            <w:r>
              <w:rPr>
                <w:sz w:val="24"/>
              </w:rPr>
              <w:t>Financing-option comparison</w:t>
            </w:r>
          </w:p>
        </w:tc>
        <w:tc>
          <w:tcPr>
            <w:tcW w:w="3331" w:type="dxa"/>
            <w:tcBorders>
              <w:top w:val="single" w:sz="6" w:space="0" w:color="D7E4DD"/>
              <w:left w:val="single" w:sz="6" w:space="0" w:color="D7E4DD"/>
              <w:bottom w:val="single" w:sz="6" w:space="0" w:color="D7E4DD"/>
              <w:right w:val="single" w:sz="6" w:space="0" w:color="D7E4DD"/>
            </w:tcBorders>
            <w:shd w:val="clear" w:color="auto" w:fill="FFFFFF"/>
            <w:vAlign w:val="center"/>
          </w:tcPr>
          <w:p w14:paraId="016476AD" w14:textId="77777777" w:rsidR="00997065" w:rsidRDefault="00497D67">
            <w:pPr>
              <w:spacing w:before="20" w:after="20"/>
            </w:pPr>
            <w:r>
              <w:rPr>
                <w:sz w:val="24"/>
              </w:rPr>
              <w:t>Four editable illustrative templates and repayment schedules</w:t>
            </w:r>
          </w:p>
        </w:tc>
        <w:tc>
          <w:tcPr>
            <w:tcW w:w="3331" w:type="dxa"/>
            <w:tcBorders>
              <w:top w:val="single" w:sz="6" w:space="0" w:color="D7E4DD"/>
              <w:left w:val="single" w:sz="6" w:space="0" w:color="D7E4DD"/>
              <w:bottom w:val="single" w:sz="6" w:space="0" w:color="D7E4DD"/>
              <w:right w:val="single" w:sz="6" w:space="0" w:color="D7E4DD"/>
            </w:tcBorders>
            <w:shd w:val="clear" w:color="auto" w:fill="FFFFFF"/>
            <w:vAlign w:val="center"/>
          </w:tcPr>
          <w:p w14:paraId="06297A6E" w14:textId="77777777" w:rsidR="00997065" w:rsidRDefault="00497D67">
            <w:pPr>
              <w:spacing w:before="20" w:after="20"/>
            </w:pPr>
            <w:r>
              <w:rPr>
                <w:sz w:val="24"/>
              </w:rPr>
              <w:t>No lender connection, approval or application</w:t>
            </w:r>
          </w:p>
        </w:tc>
      </w:tr>
      <w:tr w:rsidR="00997065" w14:paraId="1964ABFC" w14:textId="77777777">
        <w:trPr>
          <w:jc w:val="center"/>
        </w:trPr>
        <w:tc>
          <w:tcPr>
            <w:tcW w:w="3331" w:type="dxa"/>
            <w:tcBorders>
              <w:top w:val="single" w:sz="6" w:space="0" w:color="D7E4DD"/>
              <w:left w:val="single" w:sz="6" w:space="0" w:color="D7E4DD"/>
              <w:bottom w:val="single" w:sz="6" w:space="0" w:color="D7E4DD"/>
              <w:right w:val="single" w:sz="6" w:space="0" w:color="D7E4DD"/>
            </w:tcBorders>
            <w:shd w:val="clear" w:color="auto" w:fill="F4F8F5"/>
            <w:vAlign w:val="center"/>
          </w:tcPr>
          <w:p w14:paraId="474B8C39" w14:textId="77777777" w:rsidR="00997065" w:rsidRDefault="00497D67">
            <w:pPr>
              <w:spacing w:before="20" w:after="20"/>
            </w:pPr>
            <w:r>
              <w:rPr>
                <w:sz w:val="24"/>
              </w:rPr>
              <w:t>Business financial analysis</w:t>
            </w:r>
          </w:p>
        </w:tc>
        <w:tc>
          <w:tcPr>
            <w:tcW w:w="3331" w:type="dxa"/>
            <w:tcBorders>
              <w:top w:val="single" w:sz="6" w:space="0" w:color="D7E4DD"/>
              <w:left w:val="single" w:sz="6" w:space="0" w:color="D7E4DD"/>
              <w:bottom w:val="single" w:sz="6" w:space="0" w:color="D7E4DD"/>
              <w:right w:val="single" w:sz="6" w:space="0" w:color="D7E4DD"/>
            </w:tcBorders>
            <w:shd w:val="clear" w:color="auto" w:fill="F4F8F5"/>
            <w:vAlign w:val="center"/>
          </w:tcPr>
          <w:p w14:paraId="384F4ED6" w14:textId="77777777" w:rsidR="00997065" w:rsidRDefault="00497D67">
            <w:pPr>
              <w:spacing w:before="20" w:after="20"/>
            </w:pPr>
            <w:r>
              <w:rPr>
                <w:sz w:val="24"/>
              </w:rPr>
              <w:t>Historical summaries, aging, DSO/DPO availability, readiness and watchlist</w:t>
            </w:r>
          </w:p>
        </w:tc>
        <w:tc>
          <w:tcPr>
            <w:tcW w:w="3331" w:type="dxa"/>
            <w:tcBorders>
              <w:top w:val="single" w:sz="6" w:space="0" w:color="D7E4DD"/>
              <w:left w:val="single" w:sz="6" w:space="0" w:color="D7E4DD"/>
              <w:bottom w:val="single" w:sz="6" w:space="0" w:color="D7E4DD"/>
              <w:right w:val="single" w:sz="6" w:space="0" w:color="D7E4DD"/>
            </w:tcBorders>
            <w:shd w:val="clear" w:color="auto" w:fill="F4F8F5"/>
            <w:vAlign w:val="center"/>
          </w:tcPr>
          <w:p w14:paraId="55903C43" w14:textId="77777777" w:rsidR="00997065" w:rsidRDefault="00497D67">
            <w:pPr>
              <w:spacing w:before="20" w:after="20"/>
            </w:pPr>
            <w:r>
              <w:rPr>
                <w:sz w:val="24"/>
              </w:rPr>
              <w:t>Indicators are explainable heuristics, not credit scores</w:t>
            </w:r>
          </w:p>
        </w:tc>
      </w:tr>
      <w:tr w:rsidR="00997065" w14:paraId="57FB8996" w14:textId="77777777">
        <w:trPr>
          <w:jc w:val="center"/>
        </w:trPr>
        <w:tc>
          <w:tcPr>
            <w:tcW w:w="3331" w:type="dxa"/>
            <w:tcBorders>
              <w:top w:val="single" w:sz="6" w:space="0" w:color="D7E4DD"/>
              <w:left w:val="single" w:sz="6" w:space="0" w:color="D7E4DD"/>
              <w:bottom w:val="single" w:sz="6" w:space="0" w:color="D7E4DD"/>
              <w:right w:val="single" w:sz="6" w:space="0" w:color="D7E4DD"/>
            </w:tcBorders>
            <w:shd w:val="clear" w:color="auto" w:fill="FFFFFF"/>
            <w:vAlign w:val="center"/>
          </w:tcPr>
          <w:p w14:paraId="4626ADA0" w14:textId="77777777" w:rsidR="00997065" w:rsidRDefault="00497D67">
            <w:pPr>
              <w:spacing w:before="20" w:after="20"/>
            </w:pPr>
            <w:r>
              <w:rPr>
                <w:sz w:val="24"/>
              </w:rPr>
              <w:t>Finance copilot</w:t>
            </w:r>
          </w:p>
        </w:tc>
        <w:tc>
          <w:tcPr>
            <w:tcW w:w="3331" w:type="dxa"/>
            <w:tcBorders>
              <w:top w:val="single" w:sz="6" w:space="0" w:color="D7E4DD"/>
              <w:left w:val="single" w:sz="6" w:space="0" w:color="D7E4DD"/>
              <w:bottom w:val="single" w:sz="6" w:space="0" w:color="D7E4DD"/>
              <w:right w:val="single" w:sz="6" w:space="0" w:color="D7E4DD"/>
            </w:tcBorders>
            <w:shd w:val="clear" w:color="auto" w:fill="FFFFFF"/>
            <w:vAlign w:val="center"/>
          </w:tcPr>
          <w:p w14:paraId="54DFAD1D" w14:textId="77777777" w:rsidR="00997065" w:rsidRDefault="00497D67">
            <w:pPr>
              <w:spacing w:before="20" w:after="20"/>
            </w:pPr>
            <w:r>
              <w:rPr>
                <w:sz w:val="24"/>
              </w:rPr>
              <w:t>Offline-by-default answers over computed evidence</w:t>
            </w:r>
          </w:p>
        </w:tc>
        <w:tc>
          <w:tcPr>
            <w:tcW w:w="3331" w:type="dxa"/>
            <w:tcBorders>
              <w:top w:val="single" w:sz="6" w:space="0" w:color="D7E4DD"/>
              <w:left w:val="single" w:sz="6" w:space="0" w:color="D7E4DD"/>
              <w:bottom w:val="single" w:sz="6" w:space="0" w:color="D7E4DD"/>
              <w:right w:val="single" w:sz="6" w:space="0" w:color="D7E4DD"/>
            </w:tcBorders>
            <w:shd w:val="clear" w:color="auto" w:fill="FFFFFF"/>
            <w:vAlign w:val="center"/>
          </w:tcPr>
          <w:p w14:paraId="24011125" w14:textId="77777777" w:rsidR="00997065" w:rsidRDefault="00497D67">
            <w:pPr>
              <w:spacing w:before="20" w:after="20"/>
            </w:pPr>
            <w:r>
              <w:rPr>
                <w:sz w:val="24"/>
              </w:rPr>
              <w:t>Optional endpoint; answer validator; read-only</w:t>
            </w:r>
          </w:p>
        </w:tc>
      </w:tr>
      <w:tr w:rsidR="00997065" w14:paraId="58B01CAD" w14:textId="77777777">
        <w:trPr>
          <w:jc w:val="center"/>
        </w:trPr>
        <w:tc>
          <w:tcPr>
            <w:tcW w:w="3331" w:type="dxa"/>
            <w:tcBorders>
              <w:top w:val="single" w:sz="6" w:space="0" w:color="D7E4DD"/>
              <w:left w:val="single" w:sz="6" w:space="0" w:color="D7E4DD"/>
              <w:bottom w:val="single" w:sz="6" w:space="0" w:color="D7E4DD"/>
              <w:right w:val="single" w:sz="6" w:space="0" w:color="D7E4DD"/>
            </w:tcBorders>
            <w:shd w:val="clear" w:color="auto" w:fill="F4F8F5"/>
            <w:vAlign w:val="center"/>
          </w:tcPr>
          <w:p w14:paraId="67DA34D4" w14:textId="77777777" w:rsidR="00997065" w:rsidRDefault="00497D67">
            <w:pPr>
              <w:spacing w:before="20" w:after="20"/>
            </w:pPr>
            <w:r>
              <w:rPr>
                <w:sz w:val="24"/>
              </w:rPr>
              <w:t>Secure task interaction</w:t>
            </w:r>
          </w:p>
        </w:tc>
        <w:tc>
          <w:tcPr>
            <w:tcW w:w="3331" w:type="dxa"/>
            <w:tcBorders>
              <w:top w:val="single" w:sz="6" w:space="0" w:color="D7E4DD"/>
              <w:left w:val="single" w:sz="6" w:space="0" w:color="D7E4DD"/>
              <w:bottom w:val="single" w:sz="6" w:space="0" w:color="D7E4DD"/>
              <w:right w:val="single" w:sz="6" w:space="0" w:color="D7E4DD"/>
            </w:tcBorders>
            <w:shd w:val="clear" w:color="auto" w:fill="F4F8F5"/>
            <w:vAlign w:val="center"/>
          </w:tcPr>
          <w:p w14:paraId="39299417" w14:textId="77777777" w:rsidR="00997065" w:rsidRDefault="00497D67">
            <w:pPr>
              <w:spacing w:before="20" w:after="20"/>
            </w:pPr>
            <w:r>
              <w:rPr>
                <w:sz w:val="24"/>
              </w:rPr>
              <w:t>RBAC, draft/approval workflow, audit</w:t>
            </w:r>
          </w:p>
        </w:tc>
        <w:tc>
          <w:tcPr>
            <w:tcW w:w="3331" w:type="dxa"/>
            <w:tcBorders>
              <w:top w:val="single" w:sz="6" w:space="0" w:color="D7E4DD"/>
              <w:left w:val="single" w:sz="6" w:space="0" w:color="D7E4DD"/>
              <w:bottom w:val="single" w:sz="6" w:space="0" w:color="D7E4DD"/>
              <w:right w:val="single" w:sz="6" w:space="0" w:color="D7E4DD"/>
            </w:tcBorders>
            <w:shd w:val="clear" w:color="auto" w:fill="F4F8F5"/>
            <w:vAlign w:val="center"/>
          </w:tcPr>
          <w:p w14:paraId="0B22FF7D" w14:textId="77777777" w:rsidR="00997065" w:rsidRDefault="00497D67">
            <w:pPr>
              <w:spacing w:before="20" w:after="20"/>
            </w:pPr>
            <w:r>
              <w:rPr>
                <w:sz w:val="24"/>
              </w:rPr>
              <w:t>Execution is local simulation; money movement denied</w:t>
            </w:r>
          </w:p>
        </w:tc>
      </w:tr>
    </w:tbl>
    <w:p w14:paraId="7748F083" w14:textId="77777777" w:rsidR="00997065" w:rsidRDefault="00997065">
      <w:pPr>
        <w:spacing w:after="0"/>
      </w:pPr>
    </w:p>
    <w:p w14:paraId="443FBF5C" w14:textId="77777777" w:rsidR="00997065" w:rsidRDefault="00497D67">
      <w:pPr>
        <w:spacing w:after="100" w:line="269" w:lineRule="auto"/>
      </w:pPr>
      <w:r>
        <w:rPr>
          <w:sz w:val="24"/>
        </w:rPr>
        <w:t>This capability mapping operationalizes the competition brief’s Topic E scope for cash-flow management, financing-option comparison, and business analysis [13].</w:t>
      </w:r>
    </w:p>
    <w:p w14:paraId="5C9D0A4E" w14:textId="77777777" w:rsidR="00997065" w:rsidRDefault="00497D67">
      <w:pPr>
        <w:pStyle w:val="Heading2"/>
      </w:pPr>
      <w:r>
        <w:rPr>
          <w:rFonts w:ascii="Times New Roman" w:eastAsia="Times New Roman" w:hAnsi="Times New Roman"/>
          <w:sz w:val="24"/>
        </w:rPr>
        <w:t>1.4. Research questions</w:t>
      </w:r>
    </w:p>
    <w:p w14:paraId="0FA14308" w14:textId="77777777" w:rsidR="00997065" w:rsidRDefault="00497D67">
      <w:pPr>
        <w:spacing w:after="100" w:line="269" w:lineRule="auto"/>
      </w:pPr>
      <w:r>
        <w:rPr>
          <w:sz w:val="24"/>
        </w:rPr>
        <w:t>RQ1: How can near-term liquidity status and counterfactual action options be shown with explicit provenance and assumptions? RQ2: How can natural-language explanation be constrained to deterministic financial evidence and separated from action authority? RQ3: What do the prototype’s synthetic tests reveal about task completion, security checks, forecast errors, and reserve feasibility? These questions are addressed as a system evaluation, not as field or causal research.</w:t>
      </w:r>
    </w:p>
    <w:p w14:paraId="38954493" w14:textId="77777777" w:rsidR="00997065" w:rsidRDefault="00497D67">
      <w:pPr>
        <w:pStyle w:val="Heading1"/>
      </w:pPr>
      <w:r>
        <w:rPr>
          <w:rFonts w:ascii="Times New Roman" w:eastAsia="Times New Roman" w:hAnsi="Times New Roman"/>
          <w:sz w:val="24"/>
        </w:rPr>
        <w:lastRenderedPageBreak/>
        <w:t>2. Related work</w:t>
      </w:r>
    </w:p>
    <w:p w14:paraId="51749DDB" w14:textId="77777777" w:rsidR="00997065" w:rsidRDefault="00497D67">
      <w:pPr>
        <w:spacing w:after="100" w:line="269" w:lineRule="auto"/>
      </w:pPr>
      <w:r>
        <w:rPr>
          <w:sz w:val="24"/>
        </w:rPr>
        <w:t>Working-capital scholarship motivates the focus on timing and operational trade-offs. Deloof’s firm-level analysis links working-capital measures with profitability, while Baños-Caballero, García-Teruel, and Martínez-Solano report a non-monotonic relationship for Spanish SMEs, consistent with firm-specific rather than one-directional policies [1, 2]. Berger and Udell describe how small-firm financing sources change over a financial growth cycle, emphasizing the importance of firm characteristics and information in financing access [3]. Beaver’s foundational failure-prediction study shows the historical role of financial ratios in distress analysis, but a ratio-based population model differs materially from this project’s short-horizon cash ledger [4].</w:t>
      </w:r>
    </w:p>
    <w:p w14:paraId="01D8CE54" w14:textId="77777777" w:rsidR="00997065" w:rsidRDefault="00497D67">
      <w:pPr>
        <w:spacing w:after="100" w:line="269" w:lineRule="auto"/>
      </w:pPr>
      <w:r>
        <w:rPr>
          <w:sz w:val="24"/>
        </w:rPr>
        <w:t>Research on retrieval-augmented generation demonstrates how an external evidence source can support knowledge-intensive generation and provenance [5]. Self-RAG explores adaptive retrieval and self-critique to improve factuality and citation behavior [6]. StratifyAI adopts the narrower engineering principle of grounding answers in a bounded, recomputed evidence pack and validating cited IDs and numerical literals. It does not implement a general retrieval index, train a model, or claim the research performance reported in those papers.</w:t>
      </w:r>
    </w:p>
    <w:p w14:paraId="757011FA" w14:textId="77777777" w:rsidR="00997065" w:rsidRDefault="00497D67">
      <w:pPr>
        <w:spacing w:after="100" w:line="269" w:lineRule="auto"/>
      </w:pPr>
      <w:r>
        <w:rPr>
          <w:sz w:val="24"/>
        </w:rPr>
        <w:t>For application security, OWASP’s 2025 LLM risk taxonomy identifies prompt injection, sensitive-information disclosure, excessive agency, misinformation, and unbounded consumption among relevant risk classes [7]. NIST’s AI Risk Management Framework and Generative AI Profile provide broader voluntary risk-management guidance [8, 9]. StratifyAI maps selected controls to these concepts in its self-assessment; this mapping is an internal design exercise, not certification. The project uses Streamlit for interactive Python UI and Plotly for chart rendering [10, 11].</w:t>
      </w:r>
    </w:p>
    <w:p w14:paraId="676E9D21" w14:textId="77777777" w:rsidR="00997065" w:rsidRDefault="00497D67">
      <w:pPr>
        <w:spacing w:after="100" w:line="269" w:lineRule="auto"/>
      </w:pPr>
      <w:r>
        <w:rPr>
          <w:sz w:val="24"/>
        </w:rPr>
        <w:t>Positioning gap. Many cited streams study either SME working capital/credit risk or language-model grounding and security. StratifyAI’s system-level focus is the integration boundary: deterministic financial computation, explicit uncertainty and scenario labels, constrained natural-language explanation, and owner-controlled action simulation. The present evaluation is too small and synthetic to establish operational benefit or forecast validity.</w:t>
      </w:r>
    </w:p>
    <w:p w14:paraId="198EEEC1" w14:textId="77777777" w:rsidR="00997065" w:rsidRDefault="00497D67">
      <w:pPr>
        <w:pStyle w:val="Heading1"/>
      </w:pPr>
      <w:r>
        <w:rPr>
          <w:rFonts w:ascii="Times New Roman" w:eastAsia="Times New Roman" w:hAnsi="Times New Roman"/>
          <w:sz w:val="24"/>
        </w:rPr>
        <w:t>3. System overview and architecture</w:t>
      </w:r>
    </w:p>
    <w:p w14:paraId="1B6A2DF1" w14:textId="77777777" w:rsidR="00997065" w:rsidRDefault="00497D67">
      <w:pPr>
        <w:pStyle w:val="Heading2"/>
      </w:pPr>
      <w:r>
        <w:rPr>
          <w:rFonts w:ascii="Times New Roman" w:eastAsia="Times New Roman" w:hAnsi="Times New Roman"/>
          <w:sz w:val="24"/>
        </w:rPr>
        <w:t>3.1. Layered design</w:t>
      </w:r>
    </w:p>
    <w:p w14:paraId="5371497F" w14:textId="77777777" w:rsidR="00997065" w:rsidRDefault="00497D67">
      <w:pPr>
        <w:spacing w:after="100" w:line="269" w:lineRule="auto"/>
      </w:pPr>
      <w:r>
        <w:rPr>
          <w:sz w:val="24"/>
        </w:rPr>
        <w:t>The application is organized into three code layers. core/ contains typed data structures and pure deterministic calculations; it does not import Streamlit. services/ contains authentication, permission enforcement, upload validation, approval/action transitions, copilot evidence construction, and audit persistence. app/ contains the Streamlit shell, pages, shared components, styling, and chart presentation. Synthetic case data is stored under data/; evaluation artifacts are under evidence/.</w:t>
      </w:r>
    </w:p>
    <w:p w14:paraId="3C1D69E6" w14:textId="77777777" w:rsidR="00997065" w:rsidRDefault="00497D67">
      <w:r>
        <w:rPr>
          <w:noProof/>
          <w:sz w:val="24"/>
        </w:rPr>
        <w:lastRenderedPageBreak/>
        <w:drawing>
          <wp:inline distT="0" distB="0" distL="0" distR="0" wp14:anchorId="5FCDC140" wp14:editId="737B9235">
            <wp:extent cx="5806440" cy="29419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td_arch.png"/>
                    <pic:cNvPicPr/>
                  </pic:nvPicPr>
                  <pic:blipFill>
                    <a:blip r:embed="rId8"/>
                    <a:stretch>
                      <a:fillRect/>
                    </a:stretch>
                  </pic:blipFill>
                  <pic:spPr>
                    <a:xfrm>
                      <a:off x="0" y="0"/>
                      <a:ext cx="5806440" cy="2941930"/>
                    </a:xfrm>
                    <a:prstGeom prst="rect">
                      <a:avLst/>
                    </a:prstGeom>
                  </pic:spPr>
                </pic:pic>
              </a:graphicData>
            </a:graphic>
          </wp:inline>
        </w:drawing>
      </w:r>
    </w:p>
    <w:p w14:paraId="4F747173" w14:textId="77777777" w:rsidR="00997065" w:rsidRDefault="00497D67">
      <w:pPr>
        <w:spacing w:after="160"/>
        <w:jc w:val="center"/>
      </w:pPr>
      <w:r>
        <w:rPr>
          <w:i/>
          <w:color w:val="596963"/>
          <w:sz w:val="24"/>
        </w:rPr>
        <w:t>Figure 1. Layered system architecture and evidence flow. Financial computation is kept in the deterministic core; mutations and authorization are mediated by services.</w:t>
      </w:r>
    </w:p>
    <w:p w14:paraId="41311AE6" w14:textId="77777777" w:rsidR="00997065" w:rsidRDefault="00497D67">
      <w:pPr>
        <w:spacing w:after="100" w:line="269" w:lineRule="auto"/>
      </w:pPr>
      <w:r>
        <w:rPr>
          <w:sz w:val="24"/>
        </w:rPr>
        <w:t>The UI calls service functions for protected reads and state changes. Services resolve the authenticated principal and authorize actions before invoking core calculations or persistence. Financial outputs and their provenance are returned to the UI for rendering. The optional LLM path is isolated to copilot explanation: offline deterministic responses are the default, while configured mode receives the user question and a masked evidence pack. It has no action tools.</w:t>
      </w:r>
    </w:p>
    <w:p w14:paraId="13E1C665" w14:textId="77777777" w:rsidR="00997065" w:rsidRDefault="00497D67">
      <w:pPr>
        <w:spacing w:after="120" w:line="269" w:lineRule="auto"/>
      </w:pPr>
      <w:r>
        <w:rPr>
          <w:sz w:val="24"/>
        </w:rPr>
        <w:t>Figure 2 shows the system context: operators and uploaded files are external inputs, StratifyAI is a local application boundary, and an LLM endpoint is optional. Only masked question/evidence data crosses the optional provider boundary. Draft state, audit records, and simulation logs remain local. The design has no money-movement data flow.</w:t>
      </w:r>
    </w:p>
    <w:p w14:paraId="5784C630" w14:textId="77777777" w:rsidR="00997065" w:rsidRDefault="00497D67">
      <w:pPr>
        <w:keepNext/>
        <w:jc w:val="center"/>
      </w:pPr>
      <w:r>
        <w:rPr>
          <w:noProof/>
          <w:sz w:val="24"/>
        </w:rPr>
        <w:lastRenderedPageBreak/>
        <w:drawing>
          <wp:inline distT="0" distB="0" distL="0" distR="0" wp14:anchorId="66A4F2EA" wp14:editId="6107D7FE">
            <wp:extent cx="5806440" cy="34037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rev_context_dfd.png"/>
                    <pic:cNvPicPr/>
                  </pic:nvPicPr>
                  <pic:blipFill>
                    <a:blip r:embed="rId9"/>
                    <a:stretch>
                      <a:fillRect/>
                    </a:stretch>
                  </pic:blipFill>
                  <pic:spPr>
                    <a:xfrm>
                      <a:off x="0" y="0"/>
                      <a:ext cx="5806440" cy="3403775"/>
                    </a:xfrm>
                    <a:prstGeom prst="rect">
                      <a:avLst/>
                    </a:prstGeom>
                  </pic:spPr>
                </pic:pic>
              </a:graphicData>
            </a:graphic>
          </wp:inline>
        </w:drawing>
      </w:r>
    </w:p>
    <w:p w14:paraId="1BB413CE" w14:textId="77777777" w:rsidR="00997065" w:rsidRDefault="00497D67">
      <w:pPr>
        <w:spacing w:after="160"/>
        <w:jc w:val="center"/>
      </w:pPr>
      <w:r>
        <w:rPr>
          <w:i/>
          <w:color w:val="596963"/>
          <w:sz w:val="24"/>
        </w:rPr>
        <w:t>Figure 2. Context-level DFD (Level 0). Arrows indicate application data exchanges; the outer application boundary separates local state from the optional provider.</w:t>
      </w:r>
    </w:p>
    <w:p w14:paraId="66687CAE" w14:textId="77777777" w:rsidR="00997065" w:rsidRDefault="00497D67">
      <w:pPr>
        <w:spacing w:after="120" w:line="269" w:lineRule="auto"/>
      </w:pPr>
      <w:r>
        <w:rPr>
          <w:sz w:val="24"/>
        </w:rPr>
        <w:t>The Level 1 DFD in Figure 3 decomposes the internal path. File parsing and validation precede typed case construction; core analytics calculate the baseline; the Lab transforms copies for what-if comparisons; the Copilot consumes masked computed evidence; and privileged state transitions pass through service authorization before persistence. The return path into the UI includes evidence IDs and validation status so an explanation can be inspected rather than accepted as an opaque answer.</w:t>
      </w:r>
    </w:p>
    <w:p w14:paraId="51841DEA" w14:textId="77777777" w:rsidR="00997065" w:rsidRDefault="00497D67">
      <w:pPr>
        <w:keepNext/>
        <w:jc w:val="center"/>
      </w:pPr>
      <w:r>
        <w:rPr>
          <w:noProof/>
          <w:sz w:val="24"/>
        </w:rPr>
        <w:drawing>
          <wp:inline distT="0" distB="0" distL="0" distR="0" wp14:anchorId="04F61513" wp14:editId="6F933FA8">
            <wp:extent cx="5806440" cy="262226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rev_level1_dfd.png"/>
                    <pic:cNvPicPr/>
                  </pic:nvPicPr>
                  <pic:blipFill>
                    <a:blip r:embed="rId10"/>
                    <a:stretch>
                      <a:fillRect/>
                    </a:stretch>
                  </pic:blipFill>
                  <pic:spPr>
                    <a:xfrm>
                      <a:off x="0" y="0"/>
                      <a:ext cx="5806440" cy="2622263"/>
                    </a:xfrm>
                    <a:prstGeom prst="rect">
                      <a:avLst/>
                    </a:prstGeom>
                  </pic:spPr>
                </pic:pic>
              </a:graphicData>
            </a:graphic>
          </wp:inline>
        </w:drawing>
      </w:r>
    </w:p>
    <w:p w14:paraId="547C79C4" w14:textId="77777777" w:rsidR="00997065" w:rsidRDefault="00497D67">
      <w:pPr>
        <w:spacing w:after="160"/>
        <w:jc w:val="center"/>
      </w:pPr>
      <w:r>
        <w:rPr>
          <w:i/>
          <w:color w:val="596963"/>
          <w:sz w:val="24"/>
        </w:rPr>
        <w:t>Figure 3. Level-1 DFD. P denotes a process and D a local data store; arrows show validated records, computed evidence, or audited state transitions.</w:t>
      </w:r>
    </w:p>
    <w:p w14:paraId="46583349" w14:textId="77777777" w:rsidR="00997065" w:rsidRDefault="00497D67">
      <w:pPr>
        <w:spacing w:after="120" w:line="269" w:lineRule="auto"/>
      </w:pPr>
      <w:r>
        <w:rPr>
          <w:sz w:val="24"/>
        </w:rPr>
        <w:t>The four semantic labels in Figure 4 express provenance. A scenario does not overwrite historical ACTUAL records. A CONFIRMED flag records the owner’s decision about an assumption, but remains an assertion rather than independent evidence. Keeping these paths separate is necessary when charts, plan tables, answer receipts, and audit events are compared.</w:t>
      </w:r>
    </w:p>
    <w:p w14:paraId="40B4649E" w14:textId="77777777" w:rsidR="00997065" w:rsidRDefault="00497D67">
      <w:pPr>
        <w:keepNext/>
        <w:jc w:val="center"/>
      </w:pPr>
      <w:r>
        <w:rPr>
          <w:noProof/>
          <w:sz w:val="24"/>
        </w:rPr>
        <w:lastRenderedPageBreak/>
        <w:drawing>
          <wp:inline distT="0" distB="0" distL="0" distR="0" wp14:anchorId="7EFE145A" wp14:editId="745FB881">
            <wp:extent cx="5806440" cy="250402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rev_layer_lifecycle.png"/>
                    <pic:cNvPicPr/>
                  </pic:nvPicPr>
                  <pic:blipFill>
                    <a:blip r:embed="rId11"/>
                    <a:stretch>
                      <a:fillRect/>
                    </a:stretch>
                  </pic:blipFill>
                  <pic:spPr>
                    <a:xfrm>
                      <a:off x="0" y="0"/>
                      <a:ext cx="5806440" cy="2504027"/>
                    </a:xfrm>
                    <a:prstGeom prst="rect">
                      <a:avLst/>
                    </a:prstGeom>
                  </pic:spPr>
                </pic:pic>
              </a:graphicData>
            </a:graphic>
          </wp:inline>
        </w:drawing>
      </w:r>
    </w:p>
    <w:p w14:paraId="6384C6DB" w14:textId="77777777" w:rsidR="00997065" w:rsidRDefault="00497D67">
      <w:pPr>
        <w:spacing w:after="160"/>
        <w:jc w:val="center"/>
      </w:pPr>
      <w:r>
        <w:rPr>
          <w:i/>
          <w:color w:val="596963"/>
          <w:sz w:val="24"/>
        </w:rPr>
        <w:t>Figure 4. Semantic data-layer lifecycle. Confirmation changes an assumption’s review state; it does not turn a forecast into observed fact.</w:t>
      </w:r>
    </w:p>
    <w:p w14:paraId="77CDA801" w14:textId="77777777" w:rsidR="00997065" w:rsidRDefault="00497D67">
      <w:pPr>
        <w:pStyle w:val="Heading2"/>
      </w:pPr>
      <w:r>
        <w:rPr>
          <w:rFonts w:ascii="Times New Roman" w:eastAsia="Times New Roman" w:hAnsi="Times New Roman"/>
          <w:sz w:val="24"/>
        </w:rPr>
        <w:t>3.2. Four semantic data layers</w:t>
      </w:r>
    </w:p>
    <w:tbl>
      <w:tblPr>
        <w:tblStyle w:val="TableGrid"/>
        <w:tblW w:w="0" w:type="auto"/>
        <w:jc w:val="center"/>
        <w:tblLook w:val="04A0" w:firstRow="1" w:lastRow="0" w:firstColumn="1" w:lastColumn="0" w:noHBand="0" w:noVBand="1"/>
      </w:tblPr>
      <w:tblGrid>
        <w:gridCol w:w="2498"/>
        <w:gridCol w:w="2498"/>
        <w:gridCol w:w="2498"/>
        <w:gridCol w:w="2498"/>
      </w:tblGrid>
      <w:tr w:rsidR="00997065" w14:paraId="15DF2765" w14:textId="77777777">
        <w:trPr>
          <w:tblHeader/>
          <w:jc w:val="center"/>
        </w:trPr>
        <w:tc>
          <w:tcPr>
            <w:tcW w:w="2498" w:type="dxa"/>
            <w:tcBorders>
              <w:top w:val="single" w:sz="6" w:space="0" w:color="166B52"/>
              <w:left w:val="single" w:sz="6" w:space="0" w:color="166B52"/>
              <w:bottom w:val="single" w:sz="6" w:space="0" w:color="166B52"/>
              <w:right w:val="single" w:sz="6" w:space="0" w:color="166B52"/>
            </w:tcBorders>
            <w:shd w:val="clear" w:color="auto" w:fill="166B52"/>
            <w:vAlign w:val="center"/>
          </w:tcPr>
          <w:p w14:paraId="27B33683" w14:textId="77777777" w:rsidR="00997065" w:rsidRDefault="00497D67">
            <w:pPr>
              <w:spacing w:before="20" w:after="20"/>
            </w:pPr>
            <w:r>
              <w:rPr>
                <w:b/>
                <w:color w:val="FFFFFF"/>
                <w:sz w:val="24"/>
              </w:rPr>
              <w:t>Layer</w:t>
            </w:r>
          </w:p>
        </w:tc>
        <w:tc>
          <w:tcPr>
            <w:tcW w:w="2498" w:type="dxa"/>
            <w:tcBorders>
              <w:top w:val="single" w:sz="6" w:space="0" w:color="166B52"/>
              <w:left w:val="single" w:sz="6" w:space="0" w:color="166B52"/>
              <w:bottom w:val="single" w:sz="6" w:space="0" w:color="166B52"/>
              <w:right w:val="single" w:sz="6" w:space="0" w:color="166B52"/>
            </w:tcBorders>
            <w:shd w:val="clear" w:color="auto" w:fill="166B52"/>
            <w:vAlign w:val="center"/>
          </w:tcPr>
          <w:p w14:paraId="213EF4B7" w14:textId="77777777" w:rsidR="00997065" w:rsidRDefault="00497D67">
            <w:pPr>
              <w:spacing w:before="20" w:after="20"/>
            </w:pPr>
            <w:r>
              <w:rPr>
                <w:b/>
                <w:color w:val="FFFFFF"/>
                <w:sz w:val="24"/>
              </w:rPr>
              <w:t>Meaning</w:t>
            </w:r>
          </w:p>
        </w:tc>
        <w:tc>
          <w:tcPr>
            <w:tcW w:w="2498" w:type="dxa"/>
            <w:tcBorders>
              <w:top w:val="single" w:sz="6" w:space="0" w:color="166B52"/>
              <w:left w:val="single" w:sz="6" w:space="0" w:color="166B52"/>
              <w:bottom w:val="single" w:sz="6" w:space="0" w:color="166B52"/>
              <w:right w:val="single" w:sz="6" w:space="0" w:color="166B52"/>
            </w:tcBorders>
            <w:shd w:val="clear" w:color="auto" w:fill="166B52"/>
            <w:vAlign w:val="center"/>
          </w:tcPr>
          <w:p w14:paraId="073EE202" w14:textId="77777777" w:rsidR="00997065" w:rsidRDefault="00497D67">
            <w:pPr>
              <w:spacing w:before="20" w:after="20"/>
            </w:pPr>
            <w:r>
              <w:rPr>
                <w:b/>
                <w:color w:val="FFFFFF"/>
                <w:sz w:val="24"/>
              </w:rPr>
              <w:t>Example</w:t>
            </w:r>
          </w:p>
        </w:tc>
        <w:tc>
          <w:tcPr>
            <w:tcW w:w="2498" w:type="dxa"/>
            <w:tcBorders>
              <w:top w:val="single" w:sz="6" w:space="0" w:color="166B52"/>
              <w:left w:val="single" w:sz="6" w:space="0" w:color="166B52"/>
              <w:bottom w:val="single" w:sz="6" w:space="0" w:color="166B52"/>
              <w:right w:val="single" w:sz="6" w:space="0" w:color="166B52"/>
            </w:tcBorders>
            <w:shd w:val="clear" w:color="auto" w:fill="166B52"/>
            <w:vAlign w:val="center"/>
          </w:tcPr>
          <w:p w14:paraId="12710BD2" w14:textId="77777777" w:rsidR="00997065" w:rsidRDefault="00497D67">
            <w:pPr>
              <w:spacing w:before="20" w:after="20"/>
            </w:pPr>
            <w:r>
              <w:rPr>
                <w:b/>
                <w:color w:val="FFFFFF"/>
                <w:sz w:val="24"/>
              </w:rPr>
              <w:t>Control / interpretation</w:t>
            </w:r>
          </w:p>
        </w:tc>
      </w:tr>
      <w:tr w:rsidR="00997065" w14:paraId="1B9CB9D2" w14:textId="77777777">
        <w:trPr>
          <w:jc w:val="center"/>
        </w:trPr>
        <w:tc>
          <w:tcPr>
            <w:tcW w:w="2498" w:type="dxa"/>
            <w:tcBorders>
              <w:top w:val="single" w:sz="6" w:space="0" w:color="D7E4DD"/>
              <w:left w:val="single" w:sz="6" w:space="0" w:color="D7E4DD"/>
              <w:bottom w:val="single" w:sz="6" w:space="0" w:color="D7E4DD"/>
              <w:right w:val="single" w:sz="6" w:space="0" w:color="D7E4DD"/>
            </w:tcBorders>
            <w:shd w:val="clear" w:color="auto" w:fill="F4F8F5"/>
            <w:vAlign w:val="center"/>
          </w:tcPr>
          <w:p w14:paraId="2CF718B2" w14:textId="77777777" w:rsidR="00997065" w:rsidRDefault="00497D67">
            <w:pPr>
              <w:spacing w:before="20" w:after="20"/>
            </w:pPr>
            <w:r>
              <w:rPr>
                <w:sz w:val="24"/>
              </w:rPr>
              <w:t>ACTUAL</w:t>
            </w:r>
          </w:p>
        </w:tc>
        <w:tc>
          <w:tcPr>
            <w:tcW w:w="2498" w:type="dxa"/>
            <w:tcBorders>
              <w:top w:val="single" w:sz="6" w:space="0" w:color="D7E4DD"/>
              <w:left w:val="single" w:sz="6" w:space="0" w:color="D7E4DD"/>
              <w:bottom w:val="single" w:sz="6" w:space="0" w:color="D7E4DD"/>
              <w:right w:val="single" w:sz="6" w:space="0" w:color="D7E4DD"/>
            </w:tcBorders>
            <w:shd w:val="clear" w:color="auto" w:fill="F4F8F5"/>
            <w:vAlign w:val="center"/>
          </w:tcPr>
          <w:p w14:paraId="1E7B37B0" w14:textId="77777777" w:rsidR="00997065" w:rsidRDefault="00497D67">
            <w:pPr>
              <w:spacing w:before="20" w:after="20"/>
            </w:pPr>
            <w:r>
              <w:rPr>
                <w:sz w:val="24"/>
              </w:rPr>
              <w:t>Recorded historical records supplied by the synthetic case or validated upload</w:t>
            </w:r>
          </w:p>
        </w:tc>
        <w:tc>
          <w:tcPr>
            <w:tcW w:w="2498" w:type="dxa"/>
            <w:tcBorders>
              <w:top w:val="single" w:sz="6" w:space="0" w:color="D7E4DD"/>
              <w:left w:val="single" w:sz="6" w:space="0" w:color="D7E4DD"/>
              <w:bottom w:val="single" w:sz="6" w:space="0" w:color="D7E4DD"/>
              <w:right w:val="single" w:sz="6" w:space="0" w:color="D7E4DD"/>
            </w:tcBorders>
            <w:shd w:val="clear" w:color="auto" w:fill="F4F8F5"/>
            <w:vAlign w:val="center"/>
          </w:tcPr>
          <w:p w14:paraId="7814184D" w14:textId="77777777" w:rsidR="00997065" w:rsidRDefault="00497D67">
            <w:pPr>
              <w:spacing w:before="20" w:after="20"/>
            </w:pPr>
            <w:r>
              <w:rPr>
                <w:sz w:val="24"/>
              </w:rPr>
              <w:t>Past transactions and balances</w:t>
            </w:r>
          </w:p>
        </w:tc>
        <w:tc>
          <w:tcPr>
            <w:tcW w:w="2498" w:type="dxa"/>
            <w:tcBorders>
              <w:top w:val="single" w:sz="6" w:space="0" w:color="D7E4DD"/>
              <w:left w:val="single" w:sz="6" w:space="0" w:color="D7E4DD"/>
              <w:bottom w:val="single" w:sz="6" w:space="0" w:color="D7E4DD"/>
              <w:right w:val="single" w:sz="6" w:space="0" w:color="D7E4DD"/>
            </w:tcBorders>
            <w:shd w:val="clear" w:color="auto" w:fill="F4F8F5"/>
            <w:vAlign w:val="center"/>
          </w:tcPr>
          <w:p w14:paraId="35F5391C" w14:textId="77777777" w:rsidR="00997065" w:rsidRDefault="00497D67">
            <w:pPr>
              <w:spacing w:before="20" w:after="20"/>
            </w:pPr>
            <w:r>
              <w:rPr>
                <w:sz w:val="24"/>
              </w:rPr>
              <w:t>Source records; not independently audited</w:t>
            </w:r>
          </w:p>
        </w:tc>
      </w:tr>
      <w:tr w:rsidR="00997065" w14:paraId="57E9C1C3" w14:textId="77777777">
        <w:trPr>
          <w:jc w:val="center"/>
        </w:trPr>
        <w:tc>
          <w:tcPr>
            <w:tcW w:w="2498" w:type="dxa"/>
            <w:tcBorders>
              <w:top w:val="single" w:sz="6" w:space="0" w:color="D7E4DD"/>
              <w:left w:val="single" w:sz="6" w:space="0" w:color="D7E4DD"/>
              <w:bottom w:val="single" w:sz="6" w:space="0" w:color="D7E4DD"/>
              <w:right w:val="single" w:sz="6" w:space="0" w:color="D7E4DD"/>
            </w:tcBorders>
            <w:shd w:val="clear" w:color="auto" w:fill="FFFFFF"/>
            <w:vAlign w:val="center"/>
          </w:tcPr>
          <w:p w14:paraId="66916E2D" w14:textId="77777777" w:rsidR="00997065" w:rsidRDefault="00497D67">
            <w:pPr>
              <w:spacing w:before="20" w:after="20"/>
            </w:pPr>
            <w:r>
              <w:rPr>
                <w:sz w:val="24"/>
              </w:rPr>
              <w:t>FORECAST</w:t>
            </w:r>
          </w:p>
        </w:tc>
        <w:tc>
          <w:tcPr>
            <w:tcW w:w="2498" w:type="dxa"/>
            <w:tcBorders>
              <w:top w:val="single" w:sz="6" w:space="0" w:color="D7E4DD"/>
              <w:left w:val="single" w:sz="6" w:space="0" w:color="D7E4DD"/>
              <w:bottom w:val="single" w:sz="6" w:space="0" w:color="D7E4DD"/>
              <w:right w:val="single" w:sz="6" w:space="0" w:color="D7E4DD"/>
            </w:tcBorders>
            <w:shd w:val="clear" w:color="auto" w:fill="FFFFFF"/>
            <w:vAlign w:val="center"/>
          </w:tcPr>
          <w:p w14:paraId="743C99B9" w14:textId="77777777" w:rsidR="00997065" w:rsidRDefault="00497D67">
            <w:pPr>
              <w:spacing w:before="20" w:after="20"/>
            </w:pPr>
            <w:r>
              <w:rPr>
                <w:sz w:val="24"/>
              </w:rPr>
              <w:t>Deterministic output calculated from actuals and explicit assumptions</w:t>
            </w:r>
          </w:p>
        </w:tc>
        <w:tc>
          <w:tcPr>
            <w:tcW w:w="2498" w:type="dxa"/>
            <w:tcBorders>
              <w:top w:val="single" w:sz="6" w:space="0" w:color="D7E4DD"/>
              <w:left w:val="single" w:sz="6" w:space="0" w:color="D7E4DD"/>
              <w:bottom w:val="single" w:sz="6" w:space="0" w:color="D7E4DD"/>
              <w:right w:val="single" w:sz="6" w:space="0" w:color="D7E4DD"/>
            </w:tcBorders>
            <w:shd w:val="clear" w:color="auto" w:fill="FFFFFF"/>
            <w:vAlign w:val="center"/>
          </w:tcPr>
          <w:p w14:paraId="53E24531" w14:textId="77777777" w:rsidR="00997065" w:rsidRDefault="00497D67">
            <w:pPr>
              <w:spacing w:before="20" w:after="20"/>
            </w:pPr>
            <w:r>
              <w:rPr>
                <w:sz w:val="24"/>
              </w:rPr>
              <w:t>Projected weekly closing cash</w:t>
            </w:r>
          </w:p>
        </w:tc>
        <w:tc>
          <w:tcPr>
            <w:tcW w:w="2498" w:type="dxa"/>
            <w:tcBorders>
              <w:top w:val="single" w:sz="6" w:space="0" w:color="D7E4DD"/>
              <w:left w:val="single" w:sz="6" w:space="0" w:color="D7E4DD"/>
              <w:bottom w:val="single" w:sz="6" w:space="0" w:color="D7E4DD"/>
              <w:right w:val="single" w:sz="6" w:space="0" w:color="D7E4DD"/>
            </w:tcBorders>
            <w:shd w:val="clear" w:color="auto" w:fill="FFFFFF"/>
            <w:vAlign w:val="center"/>
          </w:tcPr>
          <w:p w14:paraId="2A8553BA" w14:textId="77777777" w:rsidR="00997065" w:rsidRDefault="00497D67">
            <w:pPr>
              <w:spacing w:before="20" w:after="20"/>
            </w:pPr>
            <w:r>
              <w:rPr>
                <w:sz w:val="24"/>
              </w:rPr>
              <w:t>Computed, model-dependent estimate</w:t>
            </w:r>
          </w:p>
        </w:tc>
      </w:tr>
      <w:tr w:rsidR="00997065" w14:paraId="06AAED7B" w14:textId="77777777">
        <w:trPr>
          <w:jc w:val="center"/>
        </w:trPr>
        <w:tc>
          <w:tcPr>
            <w:tcW w:w="2498" w:type="dxa"/>
            <w:tcBorders>
              <w:top w:val="single" w:sz="6" w:space="0" w:color="D7E4DD"/>
              <w:left w:val="single" w:sz="6" w:space="0" w:color="D7E4DD"/>
              <w:bottom w:val="single" w:sz="6" w:space="0" w:color="D7E4DD"/>
              <w:right w:val="single" w:sz="6" w:space="0" w:color="D7E4DD"/>
            </w:tcBorders>
            <w:shd w:val="clear" w:color="auto" w:fill="F4F8F5"/>
            <w:vAlign w:val="center"/>
          </w:tcPr>
          <w:p w14:paraId="3DBB42B6" w14:textId="77777777" w:rsidR="00997065" w:rsidRDefault="00497D67">
            <w:pPr>
              <w:spacing w:before="20" w:after="20"/>
            </w:pPr>
            <w:r>
              <w:rPr>
                <w:sz w:val="24"/>
              </w:rPr>
              <w:t>HYPOTHETICAL</w:t>
            </w:r>
          </w:p>
        </w:tc>
        <w:tc>
          <w:tcPr>
            <w:tcW w:w="2498" w:type="dxa"/>
            <w:tcBorders>
              <w:top w:val="single" w:sz="6" w:space="0" w:color="D7E4DD"/>
              <w:left w:val="single" w:sz="6" w:space="0" w:color="D7E4DD"/>
              <w:bottom w:val="single" w:sz="6" w:space="0" w:color="D7E4DD"/>
              <w:right w:val="single" w:sz="6" w:space="0" w:color="D7E4DD"/>
            </w:tcBorders>
            <w:shd w:val="clear" w:color="auto" w:fill="F4F8F5"/>
            <w:vAlign w:val="center"/>
          </w:tcPr>
          <w:p w14:paraId="53FB1708" w14:textId="77777777" w:rsidR="00997065" w:rsidRDefault="00497D67">
            <w:pPr>
              <w:spacing w:before="20" w:after="20"/>
            </w:pPr>
            <w:r>
              <w:rPr>
                <w:sz w:val="24"/>
              </w:rPr>
              <w:t>Unapproved what-if changes</w:t>
            </w:r>
          </w:p>
        </w:tc>
        <w:tc>
          <w:tcPr>
            <w:tcW w:w="2498" w:type="dxa"/>
            <w:tcBorders>
              <w:top w:val="single" w:sz="6" w:space="0" w:color="D7E4DD"/>
              <w:left w:val="single" w:sz="6" w:space="0" w:color="D7E4DD"/>
              <w:bottom w:val="single" w:sz="6" w:space="0" w:color="D7E4DD"/>
              <w:right w:val="single" w:sz="6" w:space="0" w:color="D7E4DD"/>
            </w:tcBorders>
            <w:shd w:val="clear" w:color="auto" w:fill="F4F8F5"/>
            <w:vAlign w:val="center"/>
          </w:tcPr>
          <w:p w14:paraId="62AF82B8" w14:textId="77777777" w:rsidR="00997065" w:rsidRDefault="00497D67">
            <w:pPr>
              <w:spacing w:before="20" w:after="20"/>
            </w:pPr>
            <w:r>
              <w:rPr>
                <w:sz w:val="24"/>
              </w:rPr>
              <w:t>Earlier collection, supplier deferral, cost reduction, financing</w:t>
            </w:r>
          </w:p>
        </w:tc>
        <w:tc>
          <w:tcPr>
            <w:tcW w:w="2498" w:type="dxa"/>
            <w:tcBorders>
              <w:top w:val="single" w:sz="6" w:space="0" w:color="D7E4DD"/>
              <w:left w:val="single" w:sz="6" w:space="0" w:color="D7E4DD"/>
              <w:bottom w:val="single" w:sz="6" w:space="0" w:color="D7E4DD"/>
              <w:right w:val="single" w:sz="6" w:space="0" w:color="D7E4DD"/>
            </w:tcBorders>
            <w:shd w:val="clear" w:color="auto" w:fill="F4F8F5"/>
            <w:vAlign w:val="center"/>
          </w:tcPr>
          <w:p w14:paraId="0236AD81" w14:textId="77777777" w:rsidR="00997065" w:rsidRDefault="00497D67">
            <w:pPr>
              <w:spacing w:before="20" w:after="20"/>
            </w:pPr>
            <w:r>
              <w:rPr>
                <w:sz w:val="24"/>
              </w:rPr>
              <w:t>Never treat as agreed or committed</w:t>
            </w:r>
          </w:p>
        </w:tc>
      </w:tr>
      <w:tr w:rsidR="00997065" w14:paraId="12A309E9" w14:textId="77777777">
        <w:trPr>
          <w:jc w:val="center"/>
        </w:trPr>
        <w:tc>
          <w:tcPr>
            <w:tcW w:w="2498" w:type="dxa"/>
            <w:tcBorders>
              <w:top w:val="single" w:sz="6" w:space="0" w:color="D7E4DD"/>
              <w:left w:val="single" w:sz="6" w:space="0" w:color="D7E4DD"/>
              <w:bottom w:val="single" w:sz="6" w:space="0" w:color="D7E4DD"/>
              <w:right w:val="single" w:sz="6" w:space="0" w:color="D7E4DD"/>
            </w:tcBorders>
            <w:shd w:val="clear" w:color="auto" w:fill="FFFFFF"/>
            <w:vAlign w:val="center"/>
          </w:tcPr>
          <w:p w14:paraId="66654354" w14:textId="77777777" w:rsidR="00997065" w:rsidRDefault="00497D67">
            <w:pPr>
              <w:spacing w:before="20" w:after="20"/>
            </w:pPr>
            <w:r>
              <w:rPr>
                <w:sz w:val="24"/>
              </w:rPr>
              <w:t>CONFIRMED</w:t>
            </w:r>
          </w:p>
        </w:tc>
        <w:tc>
          <w:tcPr>
            <w:tcW w:w="2498" w:type="dxa"/>
            <w:tcBorders>
              <w:top w:val="single" w:sz="6" w:space="0" w:color="D7E4DD"/>
              <w:left w:val="single" w:sz="6" w:space="0" w:color="D7E4DD"/>
              <w:bottom w:val="single" w:sz="6" w:space="0" w:color="D7E4DD"/>
              <w:right w:val="single" w:sz="6" w:space="0" w:color="D7E4DD"/>
            </w:tcBorders>
            <w:shd w:val="clear" w:color="auto" w:fill="FFFFFF"/>
            <w:vAlign w:val="center"/>
          </w:tcPr>
          <w:p w14:paraId="55D4CE76" w14:textId="77777777" w:rsidR="00997065" w:rsidRDefault="00497D67">
            <w:pPr>
              <w:spacing w:before="20" w:after="20"/>
            </w:pPr>
            <w:r>
              <w:rPr>
                <w:sz w:val="24"/>
              </w:rPr>
              <w:t>A hypothetical assumption explicitly approved by the owner</w:t>
            </w:r>
          </w:p>
        </w:tc>
        <w:tc>
          <w:tcPr>
            <w:tcW w:w="2498" w:type="dxa"/>
            <w:tcBorders>
              <w:top w:val="single" w:sz="6" w:space="0" w:color="D7E4DD"/>
              <w:left w:val="single" w:sz="6" w:space="0" w:color="D7E4DD"/>
              <w:bottom w:val="single" w:sz="6" w:space="0" w:color="D7E4DD"/>
              <w:right w:val="single" w:sz="6" w:space="0" w:color="D7E4DD"/>
            </w:tcBorders>
            <w:shd w:val="clear" w:color="auto" w:fill="FFFFFF"/>
            <w:vAlign w:val="center"/>
          </w:tcPr>
          <w:p w14:paraId="6001776E" w14:textId="77777777" w:rsidR="00997065" w:rsidRDefault="00497D67">
            <w:pPr>
              <w:spacing w:before="20" w:after="20"/>
            </w:pPr>
            <w:r>
              <w:rPr>
                <w:sz w:val="24"/>
              </w:rPr>
              <w:t>Owner accepts a scenario proposal</w:t>
            </w:r>
          </w:p>
        </w:tc>
        <w:tc>
          <w:tcPr>
            <w:tcW w:w="2498" w:type="dxa"/>
            <w:tcBorders>
              <w:top w:val="single" w:sz="6" w:space="0" w:color="D7E4DD"/>
              <w:left w:val="single" w:sz="6" w:space="0" w:color="D7E4DD"/>
              <w:bottom w:val="single" w:sz="6" w:space="0" w:color="D7E4DD"/>
              <w:right w:val="single" w:sz="6" w:space="0" w:color="D7E4DD"/>
            </w:tcBorders>
            <w:shd w:val="clear" w:color="auto" w:fill="FFFFFF"/>
            <w:vAlign w:val="center"/>
          </w:tcPr>
          <w:p w14:paraId="334FACC0" w14:textId="77777777" w:rsidR="00997065" w:rsidRDefault="00497D67">
            <w:pPr>
              <w:spacing w:before="20" w:after="20"/>
            </w:pPr>
            <w:r>
              <w:rPr>
                <w:sz w:val="24"/>
              </w:rPr>
              <w:t>Owner assertion only; not external verification</w:t>
            </w:r>
          </w:p>
        </w:tc>
      </w:tr>
    </w:tbl>
    <w:p w14:paraId="13BFE00D" w14:textId="77777777" w:rsidR="00997065" w:rsidRDefault="00997065">
      <w:pPr>
        <w:spacing w:after="0"/>
      </w:pPr>
    </w:p>
    <w:p w14:paraId="4303133C" w14:textId="77777777" w:rsidR="00997065" w:rsidRDefault="00497D67">
      <w:pPr>
        <w:spacing w:after="100" w:line="269" w:lineRule="auto"/>
      </w:pPr>
      <w:r>
        <w:rPr>
          <w:sz w:val="24"/>
        </w:rPr>
        <w:t>These labels are semantic state, not statistical confidence levels. A CONFIRMED assumption records human approval; it does not assert that a customer will pay, a supplier will consent, or a lender will approve financing.</w:t>
      </w:r>
    </w:p>
    <w:p w14:paraId="6805CDB2" w14:textId="77777777" w:rsidR="00997065" w:rsidRDefault="00497D67">
      <w:pPr>
        <w:spacing w:after="120" w:line="269" w:lineRule="auto"/>
      </w:pPr>
      <w:r>
        <w:rPr>
          <w:sz w:val="24"/>
        </w:rPr>
        <w:t>A typical request begins with a signed-in role and selected business/scenario context. The UI passes the session identity and requested action to a service function; the service resolves the principal from trusted server-side state and checks the action registry. Read-only calculations are returned for display, while uploads, drafts, approval decisions, and scenario changes are separately authorized and audited. The core remains a calculation library: it does not decide permissions or render pages.</w:t>
      </w:r>
    </w:p>
    <w:p w14:paraId="41B10AE4" w14:textId="77777777" w:rsidR="00997065" w:rsidRDefault="00497D67">
      <w:pPr>
        <w:spacing w:after="120" w:line="269" w:lineRule="auto"/>
      </w:pPr>
      <w:r>
        <w:rPr>
          <w:sz w:val="24"/>
        </w:rPr>
        <w:t>This separation makes the service layer the security boundary. Hiding a button in Streamlit improves usability but is not authorization. The same backend permission check must reject a direct or forged UI request. Pure parsers and calculation helpers operate on validated objects and do not write protected state.</w:t>
      </w:r>
    </w:p>
    <w:tbl>
      <w:tblPr>
        <w:tblStyle w:val="TableGrid"/>
        <w:tblW w:w="0" w:type="auto"/>
        <w:jc w:val="center"/>
        <w:tblLook w:val="04A0" w:firstRow="1" w:lastRow="0" w:firstColumn="1" w:lastColumn="0" w:noHBand="0" w:noVBand="1"/>
      </w:tblPr>
      <w:tblGrid>
        <w:gridCol w:w="3331"/>
        <w:gridCol w:w="3331"/>
        <w:gridCol w:w="3331"/>
      </w:tblGrid>
      <w:tr w:rsidR="00997065" w14:paraId="30C1AE1A" w14:textId="77777777">
        <w:trPr>
          <w:tblHeader/>
          <w:jc w:val="center"/>
        </w:trPr>
        <w:tc>
          <w:tcPr>
            <w:tcW w:w="3331" w:type="dxa"/>
            <w:tcBorders>
              <w:top w:val="single" w:sz="5" w:space="0" w:color="D7E4DD"/>
              <w:left w:val="single" w:sz="5" w:space="0" w:color="D7E4DD"/>
              <w:bottom w:val="single" w:sz="5" w:space="0" w:color="D7E4DD"/>
              <w:right w:val="single" w:sz="5" w:space="0" w:color="D7E4DD"/>
            </w:tcBorders>
            <w:shd w:val="clear" w:color="auto" w:fill="166B52"/>
            <w:vAlign w:val="center"/>
          </w:tcPr>
          <w:p w14:paraId="3FFBB5E1" w14:textId="77777777" w:rsidR="00997065" w:rsidRDefault="00497D67">
            <w:pPr>
              <w:spacing w:before="20" w:after="20"/>
            </w:pPr>
            <w:r>
              <w:rPr>
                <w:b/>
                <w:color w:val="FFFFFF"/>
                <w:sz w:val="24"/>
              </w:rPr>
              <w:lastRenderedPageBreak/>
              <w:t>Layer</w:t>
            </w:r>
          </w:p>
        </w:tc>
        <w:tc>
          <w:tcPr>
            <w:tcW w:w="3331" w:type="dxa"/>
            <w:tcBorders>
              <w:top w:val="single" w:sz="5" w:space="0" w:color="D7E4DD"/>
              <w:left w:val="single" w:sz="5" w:space="0" w:color="D7E4DD"/>
              <w:bottom w:val="single" w:sz="5" w:space="0" w:color="D7E4DD"/>
              <w:right w:val="single" w:sz="5" w:space="0" w:color="D7E4DD"/>
            </w:tcBorders>
            <w:shd w:val="clear" w:color="auto" w:fill="166B52"/>
            <w:vAlign w:val="center"/>
          </w:tcPr>
          <w:p w14:paraId="367D458A" w14:textId="77777777" w:rsidR="00997065" w:rsidRDefault="00497D67">
            <w:pPr>
              <w:spacing w:before="20" w:after="20"/>
            </w:pPr>
            <w:r>
              <w:rPr>
                <w:b/>
                <w:color w:val="FFFFFF"/>
                <w:sz w:val="24"/>
              </w:rPr>
              <w:t>Owns</w:t>
            </w:r>
          </w:p>
        </w:tc>
        <w:tc>
          <w:tcPr>
            <w:tcW w:w="3331" w:type="dxa"/>
            <w:tcBorders>
              <w:top w:val="single" w:sz="5" w:space="0" w:color="D7E4DD"/>
              <w:left w:val="single" w:sz="5" w:space="0" w:color="D7E4DD"/>
              <w:bottom w:val="single" w:sz="5" w:space="0" w:color="D7E4DD"/>
              <w:right w:val="single" w:sz="5" w:space="0" w:color="D7E4DD"/>
            </w:tcBorders>
            <w:shd w:val="clear" w:color="auto" w:fill="166B52"/>
            <w:vAlign w:val="center"/>
          </w:tcPr>
          <w:p w14:paraId="7EE19FF0" w14:textId="77777777" w:rsidR="00997065" w:rsidRDefault="00497D67">
            <w:pPr>
              <w:spacing w:before="20" w:after="20"/>
            </w:pPr>
            <w:r>
              <w:rPr>
                <w:b/>
                <w:color w:val="FFFFFF"/>
                <w:sz w:val="24"/>
              </w:rPr>
              <w:t>Must not be treated as</w:t>
            </w:r>
          </w:p>
        </w:tc>
      </w:tr>
      <w:tr w:rsidR="00997065" w14:paraId="033E0E08" w14:textId="77777777">
        <w:trPr>
          <w:jc w:val="center"/>
        </w:trPr>
        <w:tc>
          <w:tcPr>
            <w:tcW w:w="3331" w:type="dxa"/>
            <w:tcBorders>
              <w:top w:val="single" w:sz="5" w:space="0" w:color="D7E4DD"/>
              <w:left w:val="single" w:sz="5" w:space="0" w:color="D7E4DD"/>
              <w:bottom w:val="single" w:sz="5" w:space="0" w:color="D7E4DD"/>
              <w:right w:val="single" w:sz="5" w:space="0" w:color="D7E4DD"/>
            </w:tcBorders>
            <w:shd w:val="clear" w:color="auto" w:fill="F4F8F5"/>
            <w:vAlign w:val="center"/>
          </w:tcPr>
          <w:p w14:paraId="1140F54A" w14:textId="77777777" w:rsidR="00997065" w:rsidRDefault="00497D67">
            <w:pPr>
              <w:spacing w:before="20" w:after="20"/>
            </w:pPr>
            <w:r>
              <w:rPr>
                <w:sz w:val="24"/>
              </w:rPr>
              <w:t>app/</w:t>
            </w:r>
          </w:p>
        </w:tc>
        <w:tc>
          <w:tcPr>
            <w:tcW w:w="3331" w:type="dxa"/>
            <w:tcBorders>
              <w:top w:val="single" w:sz="5" w:space="0" w:color="D7E4DD"/>
              <w:left w:val="single" w:sz="5" w:space="0" w:color="D7E4DD"/>
              <w:bottom w:val="single" w:sz="5" w:space="0" w:color="D7E4DD"/>
              <w:right w:val="single" w:sz="5" w:space="0" w:color="D7E4DD"/>
            </w:tcBorders>
            <w:shd w:val="clear" w:color="auto" w:fill="F4F8F5"/>
            <w:vAlign w:val="center"/>
          </w:tcPr>
          <w:p w14:paraId="040EC332" w14:textId="77777777" w:rsidR="00997065" w:rsidRDefault="00497D67">
            <w:pPr>
              <w:spacing w:before="20" w:after="20"/>
            </w:pPr>
            <w:r>
              <w:rPr>
                <w:sz w:val="24"/>
              </w:rPr>
              <w:t>Navigation, widgets, visualizations, page-level context and status</w:t>
            </w:r>
          </w:p>
        </w:tc>
        <w:tc>
          <w:tcPr>
            <w:tcW w:w="3331" w:type="dxa"/>
            <w:tcBorders>
              <w:top w:val="single" w:sz="5" w:space="0" w:color="D7E4DD"/>
              <w:left w:val="single" w:sz="5" w:space="0" w:color="D7E4DD"/>
              <w:bottom w:val="single" w:sz="5" w:space="0" w:color="D7E4DD"/>
              <w:right w:val="single" w:sz="5" w:space="0" w:color="D7E4DD"/>
            </w:tcBorders>
            <w:shd w:val="clear" w:color="auto" w:fill="F4F8F5"/>
            <w:vAlign w:val="center"/>
          </w:tcPr>
          <w:p w14:paraId="45630831" w14:textId="77777777" w:rsidR="00997065" w:rsidRDefault="00497D67">
            <w:pPr>
              <w:spacing w:before="20" w:after="20"/>
            </w:pPr>
            <w:r>
              <w:rPr>
                <w:sz w:val="24"/>
              </w:rPr>
              <w:t>A security enforcement boundary</w:t>
            </w:r>
          </w:p>
        </w:tc>
      </w:tr>
      <w:tr w:rsidR="00997065" w14:paraId="28EB2B90" w14:textId="77777777">
        <w:trPr>
          <w:jc w:val="center"/>
        </w:trPr>
        <w:tc>
          <w:tcPr>
            <w:tcW w:w="3331" w:type="dxa"/>
            <w:tcBorders>
              <w:top w:val="single" w:sz="5" w:space="0" w:color="D7E4DD"/>
              <w:left w:val="single" w:sz="5" w:space="0" w:color="D7E4DD"/>
              <w:bottom w:val="single" w:sz="5" w:space="0" w:color="D7E4DD"/>
              <w:right w:val="single" w:sz="5" w:space="0" w:color="D7E4DD"/>
            </w:tcBorders>
            <w:shd w:val="clear" w:color="auto" w:fill="FFFFFF"/>
            <w:vAlign w:val="center"/>
          </w:tcPr>
          <w:p w14:paraId="7EACEE4B" w14:textId="77777777" w:rsidR="00997065" w:rsidRDefault="00497D67">
            <w:pPr>
              <w:spacing w:before="20" w:after="20"/>
            </w:pPr>
            <w:r>
              <w:rPr>
                <w:sz w:val="24"/>
              </w:rPr>
              <w:t>services/</w:t>
            </w:r>
          </w:p>
        </w:tc>
        <w:tc>
          <w:tcPr>
            <w:tcW w:w="3331" w:type="dxa"/>
            <w:tcBorders>
              <w:top w:val="single" w:sz="5" w:space="0" w:color="D7E4DD"/>
              <w:left w:val="single" w:sz="5" w:space="0" w:color="D7E4DD"/>
              <w:bottom w:val="single" w:sz="5" w:space="0" w:color="D7E4DD"/>
              <w:right w:val="single" w:sz="5" w:space="0" w:color="D7E4DD"/>
            </w:tcBorders>
            <w:shd w:val="clear" w:color="auto" w:fill="FFFFFF"/>
            <w:vAlign w:val="center"/>
          </w:tcPr>
          <w:p w14:paraId="4B3EA597" w14:textId="77777777" w:rsidR="00997065" w:rsidRDefault="00497D67">
            <w:pPr>
              <w:spacing w:before="20" w:after="20"/>
            </w:pPr>
            <w:r>
              <w:rPr>
                <w:sz w:val="24"/>
              </w:rPr>
              <w:t>Authentication, permission checks, validation, workflow transitions, audit and Copilot orchestration</w:t>
            </w:r>
          </w:p>
        </w:tc>
        <w:tc>
          <w:tcPr>
            <w:tcW w:w="3331" w:type="dxa"/>
            <w:tcBorders>
              <w:top w:val="single" w:sz="5" w:space="0" w:color="D7E4DD"/>
              <w:left w:val="single" w:sz="5" w:space="0" w:color="D7E4DD"/>
              <w:bottom w:val="single" w:sz="5" w:space="0" w:color="D7E4DD"/>
              <w:right w:val="single" w:sz="5" w:space="0" w:color="D7E4DD"/>
            </w:tcBorders>
            <w:shd w:val="clear" w:color="auto" w:fill="FFFFFF"/>
            <w:vAlign w:val="center"/>
          </w:tcPr>
          <w:p w14:paraId="3D636374" w14:textId="77777777" w:rsidR="00997065" w:rsidRDefault="00497D67">
            <w:pPr>
              <w:spacing w:before="20" w:after="20"/>
            </w:pPr>
            <w:r>
              <w:rPr>
                <w:sz w:val="24"/>
              </w:rPr>
              <w:t>A substitute for deterministic financial calculation</w:t>
            </w:r>
          </w:p>
        </w:tc>
      </w:tr>
      <w:tr w:rsidR="00997065" w14:paraId="7E88A115" w14:textId="77777777">
        <w:trPr>
          <w:jc w:val="center"/>
        </w:trPr>
        <w:tc>
          <w:tcPr>
            <w:tcW w:w="3331" w:type="dxa"/>
            <w:tcBorders>
              <w:top w:val="single" w:sz="5" w:space="0" w:color="D7E4DD"/>
              <w:left w:val="single" w:sz="5" w:space="0" w:color="D7E4DD"/>
              <w:bottom w:val="single" w:sz="5" w:space="0" w:color="D7E4DD"/>
              <w:right w:val="single" w:sz="5" w:space="0" w:color="D7E4DD"/>
            </w:tcBorders>
            <w:shd w:val="clear" w:color="auto" w:fill="F4F8F5"/>
            <w:vAlign w:val="center"/>
          </w:tcPr>
          <w:p w14:paraId="60F305A8" w14:textId="77777777" w:rsidR="00997065" w:rsidRDefault="00497D67">
            <w:pPr>
              <w:spacing w:before="20" w:after="20"/>
            </w:pPr>
            <w:r>
              <w:rPr>
                <w:sz w:val="24"/>
              </w:rPr>
              <w:t>core/</w:t>
            </w:r>
          </w:p>
        </w:tc>
        <w:tc>
          <w:tcPr>
            <w:tcW w:w="3331" w:type="dxa"/>
            <w:tcBorders>
              <w:top w:val="single" w:sz="5" w:space="0" w:color="D7E4DD"/>
              <w:left w:val="single" w:sz="5" w:space="0" w:color="D7E4DD"/>
              <w:bottom w:val="single" w:sz="5" w:space="0" w:color="D7E4DD"/>
              <w:right w:val="single" w:sz="5" w:space="0" w:color="D7E4DD"/>
            </w:tcBorders>
            <w:shd w:val="clear" w:color="auto" w:fill="F4F8F5"/>
            <w:vAlign w:val="center"/>
          </w:tcPr>
          <w:p w14:paraId="662CEFC5" w14:textId="77777777" w:rsidR="00997065" w:rsidRDefault="00497D67">
            <w:pPr>
              <w:spacing w:before="20" w:after="20"/>
            </w:pPr>
            <w:r>
              <w:rPr>
                <w:sz w:val="24"/>
              </w:rPr>
              <w:t>Typed domain records and financial calculations</w:t>
            </w:r>
          </w:p>
        </w:tc>
        <w:tc>
          <w:tcPr>
            <w:tcW w:w="3331" w:type="dxa"/>
            <w:tcBorders>
              <w:top w:val="single" w:sz="5" w:space="0" w:color="D7E4DD"/>
              <w:left w:val="single" w:sz="5" w:space="0" w:color="D7E4DD"/>
              <w:bottom w:val="single" w:sz="5" w:space="0" w:color="D7E4DD"/>
              <w:right w:val="single" w:sz="5" w:space="0" w:color="D7E4DD"/>
            </w:tcBorders>
            <w:shd w:val="clear" w:color="auto" w:fill="F4F8F5"/>
            <w:vAlign w:val="center"/>
          </w:tcPr>
          <w:p w14:paraId="64F74E6D" w14:textId="77777777" w:rsidR="00997065" w:rsidRDefault="00497D67">
            <w:pPr>
              <w:spacing w:before="20" w:after="20"/>
            </w:pPr>
            <w:r>
              <w:rPr>
                <w:sz w:val="24"/>
              </w:rPr>
              <w:t>A UI module or source of lender decisions</w:t>
            </w:r>
          </w:p>
        </w:tc>
      </w:tr>
      <w:tr w:rsidR="00997065" w14:paraId="3D962830" w14:textId="77777777">
        <w:trPr>
          <w:jc w:val="center"/>
        </w:trPr>
        <w:tc>
          <w:tcPr>
            <w:tcW w:w="3331" w:type="dxa"/>
            <w:tcBorders>
              <w:top w:val="single" w:sz="5" w:space="0" w:color="D7E4DD"/>
              <w:left w:val="single" w:sz="5" w:space="0" w:color="D7E4DD"/>
              <w:bottom w:val="single" w:sz="5" w:space="0" w:color="D7E4DD"/>
              <w:right w:val="single" w:sz="5" w:space="0" w:color="D7E4DD"/>
            </w:tcBorders>
            <w:shd w:val="clear" w:color="auto" w:fill="FFFFFF"/>
            <w:vAlign w:val="center"/>
          </w:tcPr>
          <w:p w14:paraId="5A989BA3" w14:textId="77777777" w:rsidR="00997065" w:rsidRDefault="00497D67">
            <w:pPr>
              <w:spacing w:before="20" w:after="20"/>
            </w:pPr>
            <w:r>
              <w:rPr>
                <w:sz w:val="24"/>
              </w:rPr>
              <w:t>data/ and evidence/</w:t>
            </w:r>
          </w:p>
        </w:tc>
        <w:tc>
          <w:tcPr>
            <w:tcW w:w="3331" w:type="dxa"/>
            <w:tcBorders>
              <w:top w:val="single" w:sz="5" w:space="0" w:color="D7E4DD"/>
              <w:left w:val="single" w:sz="5" w:space="0" w:color="D7E4DD"/>
              <w:bottom w:val="single" w:sz="5" w:space="0" w:color="D7E4DD"/>
              <w:right w:val="single" w:sz="5" w:space="0" w:color="D7E4DD"/>
            </w:tcBorders>
            <w:shd w:val="clear" w:color="auto" w:fill="FFFFFF"/>
            <w:vAlign w:val="center"/>
          </w:tcPr>
          <w:p w14:paraId="2B97A38B" w14:textId="77777777" w:rsidR="00997065" w:rsidRDefault="00497D67">
            <w:pPr>
              <w:spacing w:before="20" w:after="20"/>
            </w:pPr>
            <w:r>
              <w:rPr>
                <w:sz w:val="24"/>
              </w:rPr>
              <w:t>Synthetic input fixtures and recorded evaluation artifacts</w:t>
            </w:r>
          </w:p>
        </w:tc>
        <w:tc>
          <w:tcPr>
            <w:tcW w:w="3331" w:type="dxa"/>
            <w:tcBorders>
              <w:top w:val="single" w:sz="5" w:space="0" w:color="D7E4DD"/>
              <w:left w:val="single" w:sz="5" w:space="0" w:color="D7E4DD"/>
              <w:bottom w:val="single" w:sz="5" w:space="0" w:color="D7E4DD"/>
              <w:right w:val="single" w:sz="5" w:space="0" w:color="D7E4DD"/>
            </w:tcBorders>
            <w:shd w:val="clear" w:color="auto" w:fill="FFFFFF"/>
            <w:vAlign w:val="center"/>
          </w:tcPr>
          <w:p w14:paraId="7369D17A" w14:textId="77777777" w:rsidR="00997065" w:rsidRDefault="00497D67">
            <w:pPr>
              <w:spacing w:before="20" w:after="20"/>
            </w:pPr>
            <w:r>
              <w:rPr>
                <w:sz w:val="24"/>
              </w:rPr>
              <w:t>Real SME records or independently verified facts</w:t>
            </w:r>
          </w:p>
        </w:tc>
      </w:tr>
    </w:tbl>
    <w:p w14:paraId="44907E72" w14:textId="77777777" w:rsidR="00997065" w:rsidRDefault="00497D67">
      <w:pPr>
        <w:spacing w:after="160"/>
        <w:jc w:val="center"/>
      </w:pPr>
      <w:r>
        <w:rPr>
          <w:i/>
          <w:color w:val="596963"/>
          <w:sz w:val="24"/>
        </w:rPr>
        <w:t>Table 2. Code-layer responsibilities and trust boundaries.</w:t>
      </w:r>
    </w:p>
    <w:p w14:paraId="764FC06A" w14:textId="77777777" w:rsidR="00997065" w:rsidRDefault="00497D67">
      <w:pPr>
        <w:pStyle w:val="Heading2"/>
      </w:pPr>
      <w:r>
        <w:rPr>
          <w:rFonts w:ascii="Times New Roman" w:eastAsia="Times New Roman" w:hAnsi="Times New Roman"/>
          <w:sz w:val="24"/>
        </w:rPr>
        <w:t>3.3. Processing flow</w:t>
      </w:r>
    </w:p>
    <w:p w14:paraId="6C959D03" w14:textId="77777777" w:rsidR="00997065" w:rsidRDefault="00497D67">
      <w:pPr>
        <w:pStyle w:val="ListNumber"/>
        <w:spacing w:after="40"/>
      </w:pPr>
      <w:r>
        <w:rPr>
          <w:sz w:val="24"/>
        </w:rPr>
        <w:t>1. Load a labelled synthetic case or parse an uploaded CSV/XLSX file.</w:t>
      </w:r>
    </w:p>
    <w:p w14:paraId="42B57BB1" w14:textId="77777777" w:rsidR="00997065" w:rsidRDefault="00497D67">
      <w:pPr>
        <w:pStyle w:val="ListNumber"/>
        <w:spacing w:after="40"/>
      </w:pPr>
      <w:r>
        <w:rPr>
          <w:sz w:val="24"/>
        </w:rPr>
        <w:t>2. Validate size, schema, required fields, data types, dates, values, duplicates, currency, text length, and formula-like cells.</w:t>
      </w:r>
    </w:p>
    <w:p w14:paraId="47571C07" w14:textId="77777777" w:rsidR="00997065" w:rsidRDefault="00497D67">
      <w:pPr>
        <w:pStyle w:val="ListNumber"/>
        <w:spacing w:after="40"/>
      </w:pPr>
      <w:r>
        <w:rPr>
          <w:sz w:val="24"/>
        </w:rPr>
        <w:t>3. Map valid records into typed case models and compute actual summaries.</w:t>
      </w:r>
    </w:p>
    <w:p w14:paraId="73DB1381" w14:textId="77777777" w:rsidR="00997065" w:rsidRDefault="00497D67">
      <w:pPr>
        <w:pStyle w:val="ListNumber"/>
        <w:spacing w:after="40"/>
      </w:pPr>
      <w:r>
        <w:rPr>
          <w:sz w:val="24"/>
        </w:rPr>
        <w:t>4. Produce deterministic forecasts, financial-analysis metrics, readiness components, and receivables watchlist records.</w:t>
      </w:r>
    </w:p>
    <w:p w14:paraId="36882956" w14:textId="77777777" w:rsidR="00997065" w:rsidRDefault="00497D67">
      <w:pPr>
        <w:pStyle w:val="ListNumber"/>
        <w:spacing w:after="40"/>
      </w:pPr>
      <w:r>
        <w:rPr>
          <w:sz w:val="24"/>
        </w:rPr>
        <w:t>5. Run scenario changes only on copied cash-flow series; preserve original case inputs.</w:t>
      </w:r>
    </w:p>
    <w:p w14:paraId="20A68A42" w14:textId="77777777" w:rsidR="00997065" w:rsidRDefault="00497D67">
      <w:pPr>
        <w:pStyle w:val="ListNumber"/>
        <w:spacing w:after="40"/>
      </w:pPr>
      <w:r>
        <w:rPr>
          <w:sz w:val="24"/>
        </w:rPr>
        <w:t>6. Build a masked copilot evidence pack from computed results; validate candidate answer citations and numbers.</w:t>
      </w:r>
    </w:p>
    <w:p w14:paraId="3012BA6D" w14:textId="77777777" w:rsidR="00997065" w:rsidRDefault="00497D67">
      <w:pPr>
        <w:pStyle w:val="ListNumber"/>
        <w:spacing w:after="40"/>
      </w:pPr>
      <w:r>
        <w:rPr>
          <w:sz w:val="24"/>
        </w:rPr>
        <w:t>7. Persist authorized drafts/decisions and sanitized audit events locally; simulated execution remains explicitly non-networked.</w:t>
      </w:r>
    </w:p>
    <w:p w14:paraId="5986C721" w14:textId="77777777" w:rsidR="00997065" w:rsidRDefault="00497D67">
      <w:pPr>
        <w:pStyle w:val="Heading1"/>
      </w:pPr>
      <w:r>
        <w:rPr>
          <w:rFonts w:ascii="Times New Roman" w:eastAsia="Times New Roman" w:hAnsi="Times New Roman"/>
          <w:sz w:val="24"/>
        </w:rPr>
        <w:t>4. Synthetic data and validation</w:t>
      </w:r>
    </w:p>
    <w:p w14:paraId="22922D88" w14:textId="77777777" w:rsidR="00997065" w:rsidRDefault="00497D67">
      <w:pPr>
        <w:spacing w:after="100" w:line="269" w:lineRule="auto"/>
      </w:pPr>
      <w:r>
        <w:rPr>
          <w:sz w:val="24"/>
        </w:rPr>
        <w:t>The demonstration uses five generated synthetic SME cases representing stable operations, sales deterioration/cost pressure, high expenses, delayed customer payments, and import-financing assumptions. Each checked-in case contains 78 transactions across 39 weeks, 12 receivables, 12 payables, 10 synthetic customer profiles, and 6 synthetic supplier profiles. No real customer, supplier, account, or lender data is required. Case generation is deterministic; these fixtures are not a representative sample of Bangladeshi businesses.</w:t>
      </w:r>
    </w:p>
    <w:tbl>
      <w:tblPr>
        <w:tblStyle w:val="TableGrid"/>
        <w:tblW w:w="0" w:type="auto"/>
        <w:jc w:val="center"/>
        <w:tblLook w:val="04A0" w:firstRow="1" w:lastRow="0" w:firstColumn="1" w:lastColumn="0" w:noHBand="0" w:noVBand="1"/>
      </w:tblPr>
      <w:tblGrid>
        <w:gridCol w:w="3331"/>
        <w:gridCol w:w="3331"/>
        <w:gridCol w:w="3331"/>
      </w:tblGrid>
      <w:tr w:rsidR="00997065" w14:paraId="1DA72696" w14:textId="77777777">
        <w:trPr>
          <w:tblHeader/>
          <w:jc w:val="center"/>
        </w:trPr>
        <w:tc>
          <w:tcPr>
            <w:tcW w:w="3331" w:type="dxa"/>
            <w:tcBorders>
              <w:top w:val="single" w:sz="6" w:space="0" w:color="166B52"/>
              <w:left w:val="single" w:sz="6" w:space="0" w:color="166B52"/>
              <w:bottom w:val="single" w:sz="6" w:space="0" w:color="166B52"/>
              <w:right w:val="single" w:sz="6" w:space="0" w:color="166B52"/>
            </w:tcBorders>
            <w:shd w:val="clear" w:color="auto" w:fill="166B52"/>
            <w:vAlign w:val="center"/>
          </w:tcPr>
          <w:p w14:paraId="5CE98D80" w14:textId="77777777" w:rsidR="00997065" w:rsidRDefault="00497D67">
            <w:pPr>
              <w:spacing w:before="20" w:after="20"/>
            </w:pPr>
            <w:r>
              <w:rPr>
                <w:b/>
                <w:color w:val="FFFFFF"/>
                <w:sz w:val="24"/>
              </w:rPr>
              <w:t>Record family</w:t>
            </w:r>
          </w:p>
        </w:tc>
        <w:tc>
          <w:tcPr>
            <w:tcW w:w="3331" w:type="dxa"/>
            <w:tcBorders>
              <w:top w:val="single" w:sz="6" w:space="0" w:color="166B52"/>
              <w:left w:val="single" w:sz="6" w:space="0" w:color="166B52"/>
              <w:bottom w:val="single" w:sz="6" w:space="0" w:color="166B52"/>
              <w:right w:val="single" w:sz="6" w:space="0" w:color="166B52"/>
            </w:tcBorders>
            <w:shd w:val="clear" w:color="auto" w:fill="166B52"/>
            <w:vAlign w:val="center"/>
          </w:tcPr>
          <w:p w14:paraId="06E65234" w14:textId="77777777" w:rsidR="00997065" w:rsidRDefault="00497D67">
            <w:pPr>
              <w:spacing w:before="20" w:after="20"/>
            </w:pPr>
            <w:r>
              <w:rPr>
                <w:b/>
                <w:color w:val="FFFFFF"/>
                <w:sz w:val="24"/>
              </w:rPr>
              <w:t>Core fields represented</w:t>
            </w:r>
          </w:p>
        </w:tc>
        <w:tc>
          <w:tcPr>
            <w:tcW w:w="3331" w:type="dxa"/>
            <w:tcBorders>
              <w:top w:val="single" w:sz="6" w:space="0" w:color="166B52"/>
              <w:left w:val="single" w:sz="6" w:space="0" w:color="166B52"/>
              <w:bottom w:val="single" w:sz="6" w:space="0" w:color="166B52"/>
              <w:right w:val="single" w:sz="6" w:space="0" w:color="166B52"/>
            </w:tcBorders>
            <w:shd w:val="clear" w:color="auto" w:fill="166B52"/>
            <w:vAlign w:val="center"/>
          </w:tcPr>
          <w:p w14:paraId="4CEC3B2E" w14:textId="77777777" w:rsidR="00997065" w:rsidRDefault="00497D67">
            <w:pPr>
              <w:spacing w:before="20" w:after="20"/>
            </w:pPr>
            <w:r>
              <w:rPr>
                <w:b/>
                <w:color w:val="FFFFFF"/>
                <w:sz w:val="24"/>
              </w:rPr>
              <w:t>Purpose</w:t>
            </w:r>
          </w:p>
        </w:tc>
      </w:tr>
      <w:tr w:rsidR="00997065" w14:paraId="60D5FC7E" w14:textId="77777777">
        <w:trPr>
          <w:jc w:val="center"/>
        </w:trPr>
        <w:tc>
          <w:tcPr>
            <w:tcW w:w="3331" w:type="dxa"/>
            <w:tcBorders>
              <w:top w:val="single" w:sz="6" w:space="0" w:color="D7E4DD"/>
              <w:left w:val="single" w:sz="6" w:space="0" w:color="D7E4DD"/>
              <w:bottom w:val="single" w:sz="6" w:space="0" w:color="D7E4DD"/>
              <w:right w:val="single" w:sz="6" w:space="0" w:color="D7E4DD"/>
            </w:tcBorders>
            <w:shd w:val="clear" w:color="auto" w:fill="F4F8F5"/>
            <w:vAlign w:val="center"/>
          </w:tcPr>
          <w:p w14:paraId="307FF7EC" w14:textId="77777777" w:rsidR="00997065" w:rsidRDefault="00497D67">
            <w:pPr>
              <w:spacing w:before="20" w:after="20"/>
            </w:pPr>
            <w:r>
              <w:rPr>
                <w:sz w:val="24"/>
              </w:rPr>
              <w:t>Transactions</w:t>
            </w:r>
          </w:p>
        </w:tc>
        <w:tc>
          <w:tcPr>
            <w:tcW w:w="3331" w:type="dxa"/>
            <w:tcBorders>
              <w:top w:val="single" w:sz="6" w:space="0" w:color="D7E4DD"/>
              <w:left w:val="single" w:sz="6" w:space="0" w:color="D7E4DD"/>
              <w:bottom w:val="single" w:sz="6" w:space="0" w:color="D7E4DD"/>
              <w:right w:val="single" w:sz="6" w:space="0" w:color="D7E4DD"/>
            </w:tcBorders>
            <w:shd w:val="clear" w:color="auto" w:fill="F4F8F5"/>
            <w:vAlign w:val="center"/>
          </w:tcPr>
          <w:p w14:paraId="3856F1C0" w14:textId="77777777" w:rsidR="00997065" w:rsidRDefault="00497D67">
            <w:pPr>
              <w:spacing w:before="20" w:after="20"/>
            </w:pPr>
            <w:r>
              <w:rPr>
                <w:sz w:val="24"/>
              </w:rPr>
              <w:t>ID, date, direction, category, amount, balance after, description</w:t>
            </w:r>
          </w:p>
        </w:tc>
        <w:tc>
          <w:tcPr>
            <w:tcW w:w="3331" w:type="dxa"/>
            <w:tcBorders>
              <w:top w:val="single" w:sz="6" w:space="0" w:color="D7E4DD"/>
              <w:left w:val="single" w:sz="6" w:space="0" w:color="D7E4DD"/>
              <w:bottom w:val="single" w:sz="6" w:space="0" w:color="D7E4DD"/>
              <w:right w:val="single" w:sz="6" w:space="0" w:color="D7E4DD"/>
            </w:tcBorders>
            <w:shd w:val="clear" w:color="auto" w:fill="F4F8F5"/>
            <w:vAlign w:val="center"/>
          </w:tcPr>
          <w:p w14:paraId="7A85247E" w14:textId="77777777" w:rsidR="00997065" w:rsidRDefault="00497D67">
            <w:pPr>
              <w:spacing w:before="20" w:after="20"/>
            </w:pPr>
            <w:r>
              <w:rPr>
                <w:sz w:val="24"/>
              </w:rPr>
              <w:t>Actual cash history and observed balances</w:t>
            </w:r>
          </w:p>
        </w:tc>
      </w:tr>
      <w:tr w:rsidR="00997065" w14:paraId="387B874F" w14:textId="77777777">
        <w:trPr>
          <w:jc w:val="center"/>
        </w:trPr>
        <w:tc>
          <w:tcPr>
            <w:tcW w:w="3331" w:type="dxa"/>
            <w:tcBorders>
              <w:top w:val="single" w:sz="6" w:space="0" w:color="D7E4DD"/>
              <w:left w:val="single" w:sz="6" w:space="0" w:color="D7E4DD"/>
              <w:bottom w:val="single" w:sz="6" w:space="0" w:color="D7E4DD"/>
              <w:right w:val="single" w:sz="6" w:space="0" w:color="D7E4DD"/>
            </w:tcBorders>
            <w:shd w:val="clear" w:color="auto" w:fill="FFFFFF"/>
            <w:vAlign w:val="center"/>
          </w:tcPr>
          <w:p w14:paraId="0C445E65" w14:textId="77777777" w:rsidR="00997065" w:rsidRDefault="00497D67">
            <w:pPr>
              <w:spacing w:before="20" w:after="20"/>
            </w:pPr>
            <w:r>
              <w:rPr>
                <w:sz w:val="24"/>
              </w:rPr>
              <w:t>Receivables</w:t>
            </w:r>
          </w:p>
        </w:tc>
        <w:tc>
          <w:tcPr>
            <w:tcW w:w="3331" w:type="dxa"/>
            <w:tcBorders>
              <w:top w:val="single" w:sz="6" w:space="0" w:color="D7E4DD"/>
              <w:left w:val="single" w:sz="6" w:space="0" w:color="D7E4DD"/>
              <w:bottom w:val="single" w:sz="6" w:space="0" w:color="D7E4DD"/>
              <w:right w:val="single" w:sz="6" w:space="0" w:color="D7E4DD"/>
            </w:tcBorders>
            <w:shd w:val="clear" w:color="auto" w:fill="FFFFFF"/>
            <w:vAlign w:val="center"/>
          </w:tcPr>
          <w:p w14:paraId="35E5FC65" w14:textId="77777777" w:rsidR="00997065" w:rsidRDefault="00497D67">
            <w:pPr>
              <w:spacing w:before="20" w:after="20"/>
            </w:pPr>
            <w:r>
              <w:rPr>
                <w:sz w:val="24"/>
              </w:rPr>
              <w:t>Invoice/customer IDs, issue/due/paid dates, amount, paid amount, currency</w:t>
            </w:r>
          </w:p>
        </w:tc>
        <w:tc>
          <w:tcPr>
            <w:tcW w:w="3331" w:type="dxa"/>
            <w:tcBorders>
              <w:top w:val="single" w:sz="6" w:space="0" w:color="D7E4DD"/>
              <w:left w:val="single" w:sz="6" w:space="0" w:color="D7E4DD"/>
              <w:bottom w:val="single" w:sz="6" w:space="0" w:color="D7E4DD"/>
              <w:right w:val="single" w:sz="6" w:space="0" w:color="D7E4DD"/>
            </w:tcBorders>
            <w:shd w:val="clear" w:color="auto" w:fill="FFFFFF"/>
            <w:vAlign w:val="center"/>
          </w:tcPr>
          <w:p w14:paraId="53106EE7" w14:textId="77777777" w:rsidR="00997065" w:rsidRDefault="00497D67">
            <w:pPr>
              <w:spacing w:before="20" w:after="20"/>
            </w:pPr>
            <w:r>
              <w:rPr>
                <w:sz w:val="24"/>
              </w:rPr>
              <w:t>Outstanding collections, aging, payment-delay evidence</w:t>
            </w:r>
          </w:p>
        </w:tc>
      </w:tr>
      <w:tr w:rsidR="00997065" w14:paraId="03C698A7" w14:textId="77777777">
        <w:trPr>
          <w:jc w:val="center"/>
        </w:trPr>
        <w:tc>
          <w:tcPr>
            <w:tcW w:w="3331" w:type="dxa"/>
            <w:tcBorders>
              <w:top w:val="single" w:sz="6" w:space="0" w:color="D7E4DD"/>
              <w:left w:val="single" w:sz="6" w:space="0" w:color="D7E4DD"/>
              <w:bottom w:val="single" w:sz="6" w:space="0" w:color="D7E4DD"/>
              <w:right w:val="single" w:sz="6" w:space="0" w:color="D7E4DD"/>
            </w:tcBorders>
            <w:shd w:val="clear" w:color="auto" w:fill="F4F8F5"/>
            <w:vAlign w:val="center"/>
          </w:tcPr>
          <w:p w14:paraId="7602B10C" w14:textId="77777777" w:rsidR="00997065" w:rsidRDefault="00497D67">
            <w:pPr>
              <w:spacing w:before="20" w:after="20"/>
            </w:pPr>
            <w:r>
              <w:rPr>
                <w:sz w:val="24"/>
              </w:rPr>
              <w:t>Payables</w:t>
            </w:r>
          </w:p>
        </w:tc>
        <w:tc>
          <w:tcPr>
            <w:tcW w:w="3331" w:type="dxa"/>
            <w:tcBorders>
              <w:top w:val="single" w:sz="6" w:space="0" w:color="D7E4DD"/>
              <w:left w:val="single" w:sz="6" w:space="0" w:color="D7E4DD"/>
              <w:bottom w:val="single" w:sz="6" w:space="0" w:color="D7E4DD"/>
              <w:right w:val="single" w:sz="6" w:space="0" w:color="D7E4DD"/>
            </w:tcBorders>
            <w:shd w:val="clear" w:color="auto" w:fill="F4F8F5"/>
            <w:vAlign w:val="center"/>
          </w:tcPr>
          <w:p w14:paraId="604F00E9" w14:textId="77777777" w:rsidR="00997065" w:rsidRDefault="00497D67">
            <w:pPr>
              <w:spacing w:before="20" w:after="20"/>
            </w:pPr>
            <w:r>
              <w:rPr>
                <w:sz w:val="24"/>
              </w:rPr>
              <w:t>Bill/supplier IDs, issue/due/paid dates, amount, paid amount, category, deferrable/discretionary flags</w:t>
            </w:r>
          </w:p>
        </w:tc>
        <w:tc>
          <w:tcPr>
            <w:tcW w:w="3331" w:type="dxa"/>
            <w:tcBorders>
              <w:top w:val="single" w:sz="6" w:space="0" w:color="D7E4DD"/>
              <w:left w:val="single" w:sz="6" w:space="0" w:color="D7E4DD"/>
              <w:bottom w:val="single" w:sz="6" w:space="0" w:color="D7E4DD"/>
              <w:right w:val="single" w:sz="6" w:space="0" w:color="D7E4DD"/>
            </w:tcBorders>
            <w:shd w:val="clear" w:color="auto" w:fill="F4F8F5"/>
            <w:vAlign w:val="center"/>
          </w:tcPr>
          <w:p w14:paraId="51E2C5AE" w14:textId="77777777" w:rsidR="00997065" w:rsidRDefault="00497D67">
            <w:pPr>
              <w:spacing w:before="20" w:after="20"/>
            </w:pPr>
            <w:r>
              <w:rPr>
                <w:sz w:val="24"/>
              </w:rPr>
              <w:t>Obligations, deferral and expense what-ifs</w:t>
            </w:r>
          </w:p>
        </w:tc>
      </w:tr>
      <w:tr w:rsidR="00997065" w14:paraId="43431A4E" w14:textId="77777777">
        <w:trPr>
          <w:jc w:val="center"/>
        </w:trPr>
        <w:tc>
          <w:tcPr>
            <w:tcW w:w="3331" w:type="dxa"/>
            <w:tcBorders>
              <w:top w:val="single" w:sz="6" w:space="0" w:color="D7E4DD"/>
              <w:left w:val="single" w:sz="6" w:space="0" w:color="D7E4DD"/>
              <w:bottom w:val="single" w:sz="6" w:space="0" w:color="D7E4DD"/>
              <w:right w:val="single" w:sz="6" w:space="0" w:color="D7E4DD"/>
            </w:tcBorders>
            <w:shd w:val="clear" w:color="auto" w:fill="FFFFFF"/>
            <w:vAlign w:val="center"/>
          </w:tcPr>
          <w:p w14:paraId="74DAFC7B" w14:textId="77777777" w:rsidR="00997065" w:rsidRDefault="00497D67">
            <w:pPr>
              <w:spacing w:before="20" w:after="20"/>
            </w:pPr>
            <w:r>
              <w:rPr>
                <w:sz w:val="24"/>
              </w:rPr>
              <w:t>Profiles</w:t>
            </w:r>
          </w:p>
        </w:tc>
        <w:tc>
          <w:tcPr>
            <w:tcW w:w="3331" w:type="dxa"/>
            <w:tcBorders>
              <w:top w:val="single" w:sz="6" w:space="0" w:color="D7E4DD"/>
              <w:left w:val="single" w:sz="6" w:space="0" w:color="D7E4DD"/>
              <w:bottom w:val="single" w:sz="6" w:space="0" w:color="D7E4DD"/>
              <w:right w:val="single" w:sz="6" w:space="0" w:color="D7E4DD"/>
            </w:tcBorders>
            <w:shd w:val="clear" w:color="auto" w:fill="FFFFFF"/>
            <w:vAlign w:val="center"/>
          </w:tcPr>
          <w:p w14:paraId="1014F545" w14:textId="77777777" w:rsidR="00997065" w:rsidRDefault="00497D67">
            <w:pPr>
              <w:spacing w:before="20" w:after="20"/>
            </w:pPr>
            <w:r>
              <w:rPr>
                <w:sz w:val="24"/>
              </w:rPr>
              <w:t>Business opening cash; customer/supplier identifiers and editable assumptions</w:t>
            </w:r>
          </w:p>
        </w:tc>
        <w:tc>
          <w:tcPr>
            <w:tcW w:w="3331" w:type="dxa"/>
            <w:tcBorders>
              <w:top w:val="single" w:sz="6" w:space="0" w:color="D7E4DD"/>
              <w:left w:val="single" w:sz="6" w:space="0" w:color="D7E4DD"/>
              <w:bottom w:val="single" w:sz="6" w:space="0" w:color="D7E4DD"/>
              <w:right w:val="single" w:sz="6" w:space="0" w:color="D7E4DD"/>
            </w:tcBorders>
            <w:shd w:val="clear" w:color="auto" w:fill="FFFFFF"/>
            <w:vAlign w:val="center"/>
          </w:tcPr>
          <w:p w14:paraId="0F1211D7" w14:textId="77777777" w:rsidR="00997065" w:rsidRDefault="00497D67">
            <w:pPr>
              <w:spacing w:before="20" w:after="20"/>
            </w:pPr>
            <w:r>
              <w:rPr>
                <w:sz w:val="24"/>
              </w:rPr>
              <w:t>Synthetic case metadata and delay assumptions</w:t>
            </w:r>
          </w:p>
        </w:tc>
      </w:tr>
      <w:tr w:rsidR="00997065" w14:paraId="7692BB36" w14:textId="77777777">
        <w:trPr>
          <w:jc w:val="center"/>
        </w:trPr>
        <w:tc>
          <w:tcPr>
            <w:tcW w:w="3331" w:type="dxa"/>
            <w:tcBorders>
              <w:top w:val="single" w:sz="6" w:space="0" w:color="D7E4DD"/>
              <w:left w:val="single" w:sz="6" w:space="0" w:color="D7E4DD"/>
              <w:bottom w:val="single" w:sz="6" w:space="0" w:color="D7E4DD"/>
              <w:right w:val="single" w:sz="6" w:space="0" w:color="D7E4DD"/>
            </w:tcBorders>
            <w:shd w:val="clear" w:color="auto" w:fill="F4F8F5"/>
            <w:vAlign w:val="center"/>
          </w:tcPr>
          <w:p w14:paraId="0054FAD5" w14:textId="77777777" w:rsidR="00997065" w:rsidRDefault="00497D67">
            <w:pPr>
              <w:spacing w:before="20" w:after="20"/>
            </w:pPr>
            <w:r>
              <w:rPr>
                <w:sz w:val="24"/>
              </w:rPr>
              <w:lastRenderedPageBreak/>
              <w:t>Assumptions</w:t>
            </w:r>
          </w:p>
        </w:tc>
        <w:tc>
          <w:tcPr>
            <w:tcW w:w="3331" w:type="dxa"/>
            <w:tcBorders>
              <w:top w:val="single" w:sz="6" w:space="0" w:color="D7E4DD"/>
              <w:left w:val="single" w:sz="6" w:space="0" w:color="D7E4DD"/>
              <w:bottom w:val="single" w:sz="6" w:space="0" w:color="D7E4DD"/>
              <w:right w:val="single" w:sz="6" w:space="0" w:color="D7E4DD"/>
            </w:tcBorders>
            <w:shd w:val="clear" w:color="auto" w:fill="F4F8F5"/>
            <w:vAlign w:val="center"/>
          </w:tcPr>
          <w:p w14:paraId="57275E59" w14:textId="77777777" w:rsidR="00997065" w:rsidRDefault="00497D67">
            <w:pPr>
              <w:spacing w:before="20" w:after="20"/>
            </w:pPr>
            <w:r>
              <w:rPr>
                <w:sz w:val="24"/>
              </w:rPr>
              <w:t>Forecast horizon, reserve, random seed, variability and Lab/financing defaults</w:t>
            </w:r>
          </w:p>
        </w:tc>
        <w:tc>
          <w:tcPr>
            <w:tcW w:w="3331" w:type="dxa"/>
            <w:tcBorders>
              <w:top w:val="single" w:sz="6" w:space="0" w:color="D7E4DD"/>
              <w:left w:val="single" w:sz="6" w:space="0" w:color="D7E4DD"/>
              <w:bottom w:val="single" w:sz="6" w:space="0" w:color="D7E4DD"/>
              <w:right w:val="single" w:sz="6" w:space="0" w:color="D7E4DD"/>
            </w:tcBorders>
            <w:shd w:val="clear" w:color="auto" w:fill="F4F8F5"/>
            <w:vAlign w:val="center"/>
          </w:tcPr>
          <w:p w14:paraId="1C5B532E" w14:textId="77777777" w:rsidR="00997065" w:rsidRDefault="00497D67">
            <w:pPr>
              <w:spacing w:before="20" w:after="20"/>
            </w:pPr>
            <w:r>
              <w:rPr>
                <w:sz w:val="24"/>
              </w:rPr>
              <w:t>Explicit editable model parameters</w:t>
            </w:r>
          </w:p>
        </w:tc>
      </w:tr>
    </w:tbl>
    <w:p w14:paraId="76250CF6" w14:textId="77777777" w:rsidR="00997065" w:rsidRDefault="00997065">
      <w:pPr>
        <w:spacing w:after="0"/>
      </w:pPr>
    </w:p>
    <w:p w14:paraId="066F2D6F" w14:textId="77777777" w:rsidR="00997065" w:rsidRDefault="00497D67">
      <w:pPr>
        <w:spacing w:after="100" w:line="269" w:lineRule="auto"/>
      </w:pPr>
      <w:r>
        <w:rPr>
          <w:sz w:val="24"/>
        </w:rPr>
        <w:t>Upload controls documented by services/validation.py cap the file at 5 MiB, rows at 50,000, and text fields at 500 characters. The validator checks supported CSV/XLSX form, header-to-record kind, required fields, dates, numeric values, transaction types, duplicate identifiers, currency consistency, and text bounds. Formula-like text is neutralized and reported instead of executed. Untrusted content is never promoted to instructions. A passing upload means structural validation succeeded; it does not certify the accuracy or ownership of the source data.</w:t>
      </w:r>
    </w:p>
    <w:p w14:paraId="722EBCBC" w14:textId="77777777" w:rsidR="00997065" w:rsidRDefault="00497D67">
      <w:pPr>
        <w:spacing w:after="100" w:line="269" w:lineRule="auto"/>
      </w:pPr>
      <w:r>
        <w:rPr>
          <w:sz w:val="24"/>
        </w:rPr>
        <w:t>The currently available checked-in case generator and evaluation records do not establish statistical representativeness, population coverage, or external data validity. All tables, examples, and screenshots in this report must remain labelled synthetic.</w:t>
      </w:r>
    </w:p>
    <w:p w14:paraId="060B6818" w14:textId="77777777" w:rsidR="00997065" w:rsidRDefault="00497D67">
      <w:pPr>
        <w:pStyle w:val="Heading1"/>
      </w:pPr>
      <w:r>
        <w:rPr>
          <w:rFonts w:ascii="Times New Roman" w:eastAsia="Times New Roman" w:hAnsi="Times New Roman"/>
          <w:sz w:val="24"/>
        </w:rPr>
        <w:t>5. Core algorithms</w:t>
      </w:r>
    </w:p>
    <w:p w14:paraId="7EA5147E" w14:textId="77777777" w:rsidR="00997065" w:rsidRDefault="00497D67">
      <w:pPr>
        <w:pStyle w:val="Heading2"/>
      </w:pPr>
      <w:r>
        <w:rPr>
          <w:rFonts w:ascii="Times New Roman" w:eastAsia="Times New Roman" w:hAnsi="Times New Roman"/>
          <w:sz w:val="24"/>
        </w:rPr>
        <w:t>5.1. Weekly cash-flow forecast</w:t>
      </w:r>
    </w:p>
    <w:p w14:paraId="1E101352" w14:textId="77777777" w:rsidR="00997065" w:rsidRDefault="00497D67">
      <w:pPr>
        <w:spacing w:after="100" w:line="269" w:lineRule="auto"/>
      </w:pPr>
      <w:r>
        <w:rPr>
          <w:sz w:val="24"/>
        </w:rPr>
        <w:t>core.forecast.forecast groups actual transactions into Monday-start weeks. The latest recorded balance is the forecast opening cash, and the forecast begins in the following week. The default horizon is 13 weeks, with a minimum of eight. Category run rates use the most recent eight weeks. When receivable records exist, inflow categories are excluded from run-rate projection; when payable records exist for a category, matching outflow run rates are excluded to avoid double counting. Outstanding invoices are bucketed by due date plus an estimated customer delay; the median observed delay is used when at least three paid invoices are available, otherwise the profile assumption is used. Outstanding bills are bucketed on their due dates.</w:t>
      </w:r>
    </w:p>
    <w:tbl>
      <w:tblPr>
        <w:tblW w:w="0" w:type="auto"/>
        <w:tblLook w:val="04A0" w:firstRow="1" w:lastRow="0" w:firstColumn="1" w:lastColumn="0" w:noHBand="0" w:noVBand="1"/>
      </w:tblPr>
      <w:tblGrid>
        <w:gridCol w:w="9994"/>
      </w:tblGrid>
      <w:tr w:rsidR="00997065" w14:paraId="519AB121" w14:textId="77777777">
        <w:tc>
          <w:tcPr>
            <w:tcW w:w="9994" w:type="dxa"/>
            <w:tcBorders>
              <w:top w:val="single" w:sz="10" w:space="0" w:color="166B52"/>
              <w:left w:val="single" w:sz="10" w:space="0" w:color="166B52"/>
              <w:bottom w:val="single" w:sz="10" w:space="0" w:color="166B52"/>
              <w:right w:val="single" w:sz="10" w:space="0" w:color="166B52"/>
            </w:tcBorders>
            <w:shd w:val="clear" w:color="auto" w:fill="EAF4EF"/>
          </w:tcPr>
          <w:p w14:paraId="69C1F9D8" w14:textId="77777777" w:rsidR="00997065" w:rsidRDefault="00497D67">
            <w:pPr>
              <w:spacing w:before="100" w:after="100"/>
              <w:jc w:val="center"/>
            </w:pPr>
            <w:r>
              <w:rPr>
                <w:b/>
                <w:sz w:val="24"/>
              </w:rPr>
              <w:t>ClosingCash_t = ClosingCash_(t−1) + ProjectedInflows_t − ProjectedOutflows_t</w:t>
            </w:r>
          </w:p>
        </w:tc>
      </w:tr>
    </w:tbl>
    <w:p w14:paraId="368A1AC7" w14:textId="77777777" w:rsidR="00997065" w:rsidRDefault="00997065">
      <w:pPr>
        <w:spacing w:after="0"/>
      </w:pPr>
    </w:p>
    <w:tbl>
      <w:tblPr>
        <w:tblW w:w="0" w:type="auto"/>
        <w:tblLook w:val="04A0" w:firstRow="1" w:lastRow="0" w:firstColumn="1" w:lastColumn="0" w:noHBand="0" w:noVBand="1"/>
      </w:tblPr>
      <w:tblGrid>
        <w:gridCol w:w="9994"/>
      </w:tblGrid>
      <w:tr w:rsidR="00997065" w14:paraId="79E9507B" w14:textId="77777777">
        <w:tc>
          <w:tcPr>
            <w:tcW w:w="9994" w:type="dxa"/>
            <w:tcBorders>
              <w:top w:val="single" w:sz="10" w:space="0" w:color="166B52"/>
              <w:left w:val="single" w:sz="10" w:space="0" w:color="166B52"/>
              <w:bottom w:val="single" w:sz="10" w:space="0" w:color="166B52"/>
              <w:right w:val="single" w:sz="10" w:space="0" w:color="166B52"/>
            </w:tcBorders>
            <w:shd w:val="clear" w:color="auto" w:fill="EAF4EF"/>
          </w:tcPr>
          <w:p w14:paraId="6B320B53" w14:textId="77777777" w:rsidR="00997065" w:rsidRDefault="00497D67">
            <w:pPr>
              <w:spacing w:before="100" w:after="100"/>
              <w:jc w:val="center"/>
            </w:pPr>
            <w:r>
              <w:rPr>
                <w:b/>
                <w:sz w:val="24"/>
              </w:rPr>
              <w:t>Reserve = configured reserve weeks × average fixed weekly outflow  (default: 2 weeks)</w:t>
            </w:r>
          </w:p>
        </w:tc>
      </w:tr>
    </w:tbl>
    <w:p w14:paraId="06C17D17" w14:textId="77777777" w:rsidR="00997065" w:rsidRDefault="00997065">
      <w:pPr>
        <w:spacing w:after="0"/>
      </w:pPr>
    </w:p>
    <w:tbl>
      <w:tblPr>
        <w:tblW w:w="0" w:type="auto"/>
        <w:tblLook w:val="04A0" w:firstRow="1" w:lastRow="0" w:firstColumn="1" w:lastColumn="0" w:noHBand="0" w:noVBand="1"/>
      </w:tblPr>
      <w:tblGrid>
        <w:gridCol w:w="9994"/>
      </w:tblGrid>
      <w:tr w:rsidR="00997065" w14:paraId="4234B699" w14:textId="77777777">
        <w:tc>
          <w:tcPr>
            <w:tcW w:w="9994" w:type="dxa"/>
            <w:tcBorders>
              <w:top w:val="single" w:sz="10" w:space="0" w:color="166B52"/>
              <w:left w:val="single" w:sz="10" w:space="0" w:color="166B52"/>
              <w:bottom w:val="single" w:sz="10" w:space="0" w:color="166B52"/>
              <w:right w:val="single" w:sz="10" w:space="0" w:color="166B52"/>
            </w:tcBorders>
            <w:shd w:val="clear" w:color="auto" w:fill="EAF4EF"/>
          </w:tcPr>
          <w:p w14:paraId="47E89F51" w14:textId="77777777" w:rsidR="00997065" w:rsidRDefault="00497D67">
            <w:pPr>
              <w:spacing w:before="100" w:after="100"/>
              <w:jc w:val="center"/>
            </w:pPr>
            <w:r>
              <w:rPr>
                <w:b/>
                <w:sz w:val="24"/>
              </w:rPr>
              <w:t>FundingGap = max(0, Reserve − minimum projected closing cash) × (1 + buffer% / 100)</w:t>
            </w:r>
          </w:p>
        </w:tc>
      </w:tr>
    </w:tbl>
    <w:p w14:paraId="7B4DF30E" w14:textId="77777777" w:rsidR="00997065" w:rsidRDefault="00997065">
      <w:pPr>
        <w:spacing w:after="0"/>
      </w:pPr>
    </w:p>
    <w:p w14:paraId="78725A5E" w14:textId="77777777" w:rsidR="00997065" w:rsidRDefault="00497D67">
      <w:pPr>
        <w:spacing w:after="100" w:line="269" w:lineRule="auto"/>
      </w:pPr>
      <w:r>
        <w:rPr>
          <w:sz w:val="24"/>
        </w:rPr>
        <w:t>The first closing balance below reserve defines the shortage week; the first balance below zero is reported separately. Severity is none when the reserve is maintained, watch for reserve breach without a below-zero week, and critical when a below-zero week occurs. This is deterministic arithmetic over provided records and assumptions, not a learned forecast model.</w:t>
      </w:r>
    </w:p>
    <w:p w14:paraId="5601B2C5" w14:textId="77777777" w:rsidR="00997065" w:rsidRDefault="00497D67">
      <w:pPr>
        <w:pStyle w:val="Heading2"/>
      </w:pPr>
      <w:r>
        <w:rPr>
          <w:rFonts w:ascii="Times New Roman" w:eastAsia="Times New Roman" w:hAnsi="Times New Roman"/>
          <w:sz w:val="24"/>
        </w:rPr>
        <w:t>5.2. Seeded Monte Carlo uncertainty</w:t>
      </w:r>
    </w:p>
    <w:p w14:paraId="1A341BB1" w14:textId="77777777" w:rsidR="00997065" w:rsidRDefault="00497D67">
      <w:pPr>
        <w:spacing w:after="100" w:line="269" w:lineRule="auto"/>
      </w:pPr>
      <w:r>
        <w:rPr>
          <w:sz w:val="24"/>
        </w:rPr>
        <w:t xml:space="preserve">core.montecarlo.simulate produces 2,000 paths by default using NumPy’s seeded random generator and the seed stored in the selected case assumptions. The checked-in case profiles assign distinct reproducible seeds; docs/DECISIONS.md also mentions 42 as a generic seed, so case-profile values are the runtime source of truth. When invoice-delay sampling is enabled, customer payment delays are drawn from observed fully paid invoice history when at least five observations exist; otherwise a non-negative normal draw around the configured delay is used. Projected inflows are multiplied by a mean-one log-normal factor parameterized by the editable coefficient of variation. Each path is </w:t>
      </w:r>
      <w:r>
        <w:rPr>
          <w:sz w:val="24"/>
        </w:rPr>
        <w:lastRenderedPageBreak/>
        <w:t>accumulated into weekly closing balances. The outputs include weekly P10/P50/P90 balances, weekly reserve/zero breach frequencies, and the fraction of paths with any reserve breach.</w:t>
      </w:r>
    </w:p>
    <w:tbl>
      <w:tblPr>
        <w:tblW w:w="0" w:type="auto"/>
        <w:tblLook w:val="04A0" w:firstRow="1" w:lastRow="0" w:firstColumn="1" w:lastColumn="0" w:noHBand="0" w:noVBand="1"/>
      </w:tblPr>
      <w:tblGrid>
        <w:gridCol w:w="9994"/>
      </w:tblGrid>
      <w:tr w:rsidR="00997065" w14:paraId="7B56A4D9" w14:textId="77777777">
        <w:tc>
          <w:tcPr>
            <w:tcW w:w="9994" w:type="dxa"/>
            <w:tcBorders>
              <w:top w:val="single" w:sz="10" w:space="0" w:color="166B52"/>
              <w:left w:val="single" w:sz="10" w:space="0" w:color="166B52"/>
              <w:bottom w:val="single" w:sz="10" w:space="0" w:color="166B52"/>
              <w:right w:val="single" w:sz="10" w:space="0" w:color="166B52"/>
            </w:tcBorders>
            <w:shd w:val="clear" w:color="auto" w:fill="EAF4EF"/>
          </w:tcPr>
          <w:p w14:paraId="5C170CE5" w14:textId="77777777" w:rsidR="00997065" w:rsidRDefault="00497D67">
            <w:pPr>
              <w:spacing w:before="100" w:after="100"/>
              <w:jc w:val="center"/>
            </w:pPr>
            <w:r>
              <w:rPr>
                <w:b/>
                <w:sz w:val="24"/>
              </w:rPr>
              <w:t>P_breach(any) = (1 / N) Σᵢ 𝟙[min_t(balanceᵢ,t) &lt; reserve],  N = 2,000 by default</w:t>
            </w:r>
          </w:p>
        </w:tc>
      </w:tr>
    </w:tbl>
    <w:p w14:paraId="45FF1C1B" w14:textId="77777777" w:rsidR="00997065" w:rsidRDefault="00997065">
      <w:pPr>
        <w:spacing w:after="0"/>
      </w:pPr>
    </w:p>
    <w:p w14:paraId="66E61AA3" w14:textId="77777777" w:rsidR="00997065" w:rsidRDefault="00497D67">
      <w:pPr>
        <w:spacing w:after="100" w:line="269" w:lineRule="auto"/>
      </w:pPr>
      <w:r>
        <w:rPr>
          <w:sz w:val="24"/>
        </w:rPr>
        <w:t>A fixed seed makes a run repeatable for the same inputs and runtime behavior; it does not make the estimated event probabilities calibrated. Invoice amounts are fixed in source records, so the log-normal multiplier is a receipt-amount variability proxy. The model does not estimate uncertainty from a sufficiently large real business history.</w:t>
      </w:r>
    </w:p>
    <w:tbl>
      <w:tblPr>
        <w:tblStyle w:val="TableGrid"/>
        <w:tblW w:w="0" w:type="auto"/>
        <w:jc w:val="center"/>
        <w:tblLook w:val="04A0" w:firstRow="1" w:lastRow="0" w:firstColumn="1" w:lastColumn="0" w:noHBand="0" w:noVBand="1"/>
      </w:tblPr>
      <w:tblGrid>
        <w:gridCol w:w="3331"/>
        <w:gridCol w:w="3331"/>
        <w:gridCol w:w="3331"/>
      </w:tblGrid>
      <w:tr w:rsidR="00997065" w14:paraId="66677580" w14:textId="77777777">
        <w:trPr>
          <w:tblHeader/>
          <w:jc w:val="center"/>
        </w:trPr>
        <w:tc>
          <w:tcPr>
            <w:tcW w:w="3331" w:type="dxa"/>
            <w:tcBorders>
              <w:top w:val="single" w:sz="5" w:space="0" w:color="D7E4DD"/>
              <w:left w:val="single" w:sz="5" w:space="0" w:color="D7E4DD"/>
              <w:bottom w:val="single" w:sz="5" w:space="0" w:color="D7E4DD"/>
              <w:right w:val="single" w:sz="5" w:space="0" w:color="D7E4DD"/>
            </w:tcBorders>
            <w:shd w:val="clear" w:color="auto" w:fill="166B52"/>
            <w:vAlign w:val="center"/>
          </w:tcPr>
          <w:p w14:paraId="2498CF76" w14:textId="77777777" w:rsidR="00997065" w:rsidRDefault="00497D67">
            <w:pPr>
              <w:spacing w:before="20" w:after="20"/>
            </w:pPr>
            <w:r>
              <w:rPr>
                <w:b/>
                <w:color w:val="FFFFFF"/>
                <w:sz w:val="24"/>
              </w:rPr>
              <w:t>Monte Carlo setting</w:t>
            </w:r>
          </w:p>
        </w:tc>
        <w:tc>
          <w:tcPr>
            <w:tcW w:w="3331" w:type="dxa"/>
            <w:tcBorders>
              <w:top w:val="single" w:sz="5" w:space="0" w:color="D7E4DD"/>
              <w:left w:val="single" w:sz="5" w:space="0" w:color="D7E4DD"/>
              <w:bottom w:val="single" w:sz="5" w:space="0" w:color="D7E4DD"/>
              <w:right w:val="single" w:sz="5" w:space="0" w:color="D7E4DD"/>
            </w:tcBorders>
            <w:shd w:val="clear" w:color="auto" w:fill="166B52"/>
            <w:vAlign w:val="center"/>
          </w:tcPr>
          <w:p w14:paraId="155B9918" w14:textId="77777777" w:rsidR="00997065" w:rsidRDefault="00497D67">
            <w:pPr>
              <w:spacing w:before="20" w:after="20"/>
            </w:pPr>
            <w:r>
              <w:rPr>
                <w:b/>
                <w:color w:val="FFFFFF"/>
                <w:sz w:val="24"/>
              </w:rPr>
              <w:t>Default / selection rule</w:t>
            </w:r>
          </w:p>
        </w:tc>
        <w:tc>
          <w:tcPr>
            <w:tcW w:w="3331" w:type="dxa"/>
            <w:tcBorders>
              <w:top w:val="single" w:sz="5" w:space="0" w:color="D7E4DD"/>
              <w:left w:val="single" w:sz="5" w:space="0" w:color="D7E4DD"/>
              <w:bottom w:val="single" w:sz="5" w:space="0" w:color="D7E4DD"/>
              <w:right w:val="single" w:sz="5" w:space="0" w:color="D7E4DD"/>
            </w:tcBorders>
            <w:shd w:val="clear" w:color="auto" w:fill="166B52"/>
            <w:vAlign w:val="center"/>
          </w:tcPr>
          <w:p w14:paraId="760CDC2C" w14:textId="77777777" w:rsidR="00997065" w:rsidRDefault="00497D67">
            <w:pPr>
              <w:spacing w:before="20" w:after="20"/>
            </w:pPr>
            <w:r>
              <w:rPr>
                <w:b/>
                <w:color w:val="FFFFFF"/>
                <w:sz w:val="24"/>
              </w:rPr>
              <w:t>Interpretation and caveat</w:t>
            </w:r>
          </w:p>
        </w:tc>
      </w:tr>
      <w:tr w:rsidR="00997065" w14:paraId="6F2DF5C3" w14:textId="77777777">
        <w:trPr>
          <w:jc w:val="center"/>
        </w:trPr>
        <w:tc>
          <w:tcPr>
            <w:tcW w:w="3331" w:type="dxa"/>
            <w:tcBorders>
              <w:top w:val="single" w:sz="5" w:space="0" w:color="D7E4DD"/>
              <w:left w:val="single" w:sz="5" w:space="0" w:color="D7E4DD"/>
              <w:bottom w:val="single" w:sz="5" w:space="0" w:color="D7E4DD"/>
              <w:right w:val="single" w:sz="5" w:space="0" w:color="D7E4DD"/>
            </w:tcBorders>
            <w:shd w:val="clear" w:color="auto" w:fill="F4F8F5"/>
            <w:vAlign w:val="center"/>
          </w:tcPr>
          <w:p w14:paraId="2A139089" w14:textId="77777777" w:rsidR="00997065" w:rsidRDefault="00497D67">
            <w:pPr>
              <w:spacing w:before="20" w:after="20"/>
            </w:pPr>
            <w:r>
              <w:rPr>
                <w:sz w:val="24"/>
              </w:rPr>
              <w:t>Runs</w:t>
            </w:r>
          </w:p>
        </w:tc>
        <w:tc>
          <w:tcPr>
            <w:tcW w:w="3331" w:type="dxa"/>
            <w:tcBorders>
              <w:top w:val="single" w:sz="5" w:space="0" w:color="D7E4DD"/>
              <w:left w:val="single" w:sz="5" w:space="0" w:color="D7E4DD"/>
              <w:bottom w:val="single" w:sz="5" w:space="0" w:color="D7E4DD"/>
              <w:right w:val="single" w:sz="5" w:space="0" w:color="D7E4DD"/>
            </w:tcBorders>
            <w:shd w:val="clear" w:color="auto" w:fill="F4F8F5"/>
            <w:vAlign w:val="center"/>
          </w:tcPr>
          <w:p w14:paraId="4B9C93DD" w14:textId="77777777" w:rsidR="00997065" w:rsidRDefault="00497D67">
            <w:pPr>
              <w:spacing w:before="20" w:after="20"/>
            </w:pPr>
            <w:r>
              <w:rPr>
                <w:sz w:val="24"/>
              </w:rPr>
              <w:t>2,000</w:t>
            </w:r>
          </w:p>
        </w:tc>
        <w:tc>
          <w:tcPr>
            <w:tcW w:w="3331" w:type="dxa"/>
            <w:tcBorders>
              <w:top w:val="single" w:sz="5" w:space="0" w:color="D7E4DD"/>
              <w:left w:val="single" w:sz="5" w:space="0" w:color="D7E4DD"/>
              <w:bottom w:val="single" w:sz="5" w:space="0" w:color="D7E4DD"/>
              <w:right w:val="single" w:sz="5" w:space="0" w:color="D7E4DD"/>
            </w:tcBorders>
            <w:shd w:val="clear" w:color="auto" w:fill="F4F8F5"/>
            <w:vAlign w:val="center"/>
          </w:tcPr>
          <w:p w14:paraId="50E152AF" w14:textId="77777777" w:rsidR="00997065" w:rsidRDefault="00497D67">
            <w:pPr>
              <w:spacing w:before="20" w:after="20"/>
            </w:pPr>
            <w:r>
              <w:rPr>
                <w:sz w:val="24"/>
              </w:rPr>
              <w:t>Empirical frequency across simulated paths; not population probability</w:t>
            </w:r>
          </w:p>
        </w:tc>
      </w:tr>
      <w:tr w:rsidR="00997065" w14:paraId="03938D0E" w14:textId="77777777">
        <w:trPr>
          <w:jc w:val="center"/>
        </w:trPr>
        <w:tc>
          <w:tcPr>
            <w:tcW w:w="3331" w:type="dxa"/>
            <w:tcBorders>
              <w:top w:val="single" w:sz="5" w:space="0" w:color="D7E4DD"/>
              <w:left w:val="single" w:sz="5" w:space="0" w:color="D7E4DD"/>
              <w:bottom w:val="single" w:sz="5" w:space="0" w:color="D7E4DD"/>
              <w:right w:val="single" w:sz="5" w:space="0" w:color="D7E4DD"/>
            </w:tcBorders>
            <w:shd w:val="clear" w:color="auto" w:fill="FFFFFF"/>
            <w:vAlign w:val="center"/>
          </w:tcPr>
          <w:p w14:paraId="513A3326" w14:textId="77777777" w:rsidR="00997065" w:rsidRDefault="00497D67">
            <w:pPr>
              <w:spacing w:before="20" w:after="20"/>
            </w:pPr>
            <w:r>
              <w:rPr>
                <w:sz w:val="24"/>
              </w:rPr>
              <w:t>Seed</w:t>
            </w:r>
          </w:p>
        </w:tc>
        <w:tc>
          <w:tcPr>
            <w:tcW w:w="3331" w:type="dxa"/>
            <w:tcBorders>
              <w:top w:val="single" w:sz="5" w:space="0" w:color="D7E4DD"/>
              <w:left w:val="single" w:sz="5" w:space="0" w:color="D7E4DD"/>
              <w:bottom w:val="single" w:sz="5" w:space="0" w:color="D7E4DD"/>
              <w:right w:val="single" w:sz="5" w:space="0" w:color="D7E4DD"/>
            </w:tcBorders>
            <w:shd w:val="clear" w:color="auto" w:fill="FFFFFF"/>
            <w:vAlign w:val="center"/>
          </w:tcPr>
          <w:p w14:paraId="40C915A4" w14:textId="77777777" w:rsidR="00997065" w:rsidRDefault="00497D67">
            <w:pPr>
              <w:spacing w:before="20" w:after="20"/>
            </w:pPr>
            <w:r>
              <w:rPr>
                <w:sz w:val="24"/>
              </w:rPr>
              <w:t>Selected case profile random_seed</w:t>
            </w:r>
          </w:p>
        </w:tc>
        <w:tc>
          <w:tcPr>
            <w:tcW w:w="3331" w:type="dxa"/>
            <w:tcBorders>
              <w:top w:val="single" w:sz="5" w:space="0" w:color="D7E4DD"/>
              <w:left w:val="single" w:sz="5" w:space="0" w:color="D7E4DD"/>
              <w:bottom w:val="single" w:sz="5" w:space="0" w:color="D7E4DD"/>
              <w:right w:val="single" w:sz="5" w:space="0" w:color="D7E4DD"/>
            </w:tcBorders>
            <w:shd w:val="clear" w:color="auto" w:fill="FFFFFF"/>
            <w:vAlign w:val="center"/>
          </w:tcPr>
          <w:p w14:paraId="7D501070" w14:textId="77777777" w:rsidR="00997065" w:rsidRDefault="00497D67">
            <w:pPr>
              <w:spacing w:before="20" w:after="20"/>
            </w:pPr>
            <w:r>
              <w:rPr>
                <w:sz w:val="24"/>
              </w:rPr>
              <w:t>Repeatable for same case and parameters; generated fixtures use distinct seeds</w:t>
            </w:r>
          </w:p>
        </w:tc>
      </w:tr>
      <w:tr w:rsidR="00997065" w14:paraId="48DF40BD" w14:textId="77777777">
        <w:trPr>
          <w:jc w:val="center"/>
        </w:trPr>
        <w:tc>
          <w:tcPr>
            <w:tcW w:w="3331" w:type="dxa"/>
            <w:tcBorders>
              <w:top w:val="single" w:sz="5" w:space="0" w:color="D7E4DD"/>
              <w:left w:val="single" w:sz="5" w:space="0" w:color="D7E4DD"/>
              <w:bottom w:val="single" w:sz="5" w:space="0" w:color="D7E4DD"/>
              <w:right w:val="single" w:sz="5" w:space="0" w:color="D7E4DD"/>
            </w:tcBorders>
            <w:shd w:val="clear" w:color="auto" w:fill="F4F8F5"/>
            <w:vAlign w:val="center"/>
          </w:tcPr>
          <w:p w14:paraId="4E970902" w14:textId="77777777" w:rsidR="00997065" w:rsidRDefault="00497D67">
            <w:pPr>
              <w:spacing w:before="20" w:after="20"/>
            </w:pPr>
            <w:r>
              <w:rPr>
                <w:sz w:val="24"/>
              </w:rPr>
              <w:t>Invoice delay</w:t>
            </w:r>
          </w:p>
        </w:tc>
        <w:tc>
          <w:tcPr>
            <w:tcW w:w="3331" w:type="dxa"/>
            <w:tcBorders>
              <w:top w:val="single" w:sz="5" w:space="0" w:color="D7E4DD"/>
              <w:left w:val="single" w:sz="5" w:space="0" w:color="D7E4DD"/>
              <w:bottom w:val="single" w:sz="5" w:space="0" w:color="D7E4DD"/>
              <w:right w:val="single" w:sz="5" w:space="0" w:color="D7E4DD"/>
            </w:tcBorders>
            <w:shd w:val="clear" w:color="auto" w:fill="F4F8F5"/>
            <w:vAlign w:val="center"/>
          </w:tcPr>
          <w:p w14:paraId="1341710A" w14:textId="77777777" w:rsidR="00997065" w:rsidRDefault="00497D67">
            <w:pPr>
              <w:spacing w:before="20" w:after="20"/>
            </w:pPr>
            <w:r>
              <w:rPr>
                <w:sz w:val="24"/>
              </w:rPr>
              <w:t>Empirical customer delays when history has at least five paid invoices; otherwise nonnegative normal around configured delay</w:t>
            </w:r>
          </w:p>
        </w:tc>
        <w:tc>
          <w:tcPr>
            <w:tcW w:w="3331" w:type="dxa"/>
            <w:tcBorders>
              <w:top w:val="single" w:sz="5" w:space="0" w:color="D7E4DD"/>
              <w:left w:val="single" w:sz="5" w:space="0" w:color="D7E4DD"/>
              <w:bottom w:val="single" w:sz="5" w:space="0" w:color="D7E4DD"/>
              <w:right w:val="single" w:sz="5" w:space="0" w:color="D7E4DD"/>
            </w:tcBorders>
            <w:shd w:val="clear" w:color="auto" w:fill="F4F8F5"/>
            <w:vAlign w:val="center"/>
          </w:tcPr>
          <w:p w14:paraId="509A41E8" w14:textId="77777777" w:rsidR="00997065" w:rsidRDefault="00497D67">
            <w:pPr>
              <w:spacing w:before="20" w:after="20"/>
            </w:pPr>
            <w:r>
              <w:rPr>
                <w:sz w:val="24"/>
              </w:rPr>
              <w:t>History-backed only within the synthetic case; normal fallback is a proxy</w:t>
            </w:r>
          </w:p>
        </w:tc>
      </w:tr>
      <w:tr w:rsidR="00997065" w14:paraId="3BDC24AF" w14:textId="77777777">
        <w:trPr>
          <w:jc w:val="center"/>
        </w:trPr>
        <w:tc>
          <w:tcPr>
            <w:tcW w:w="3331" w:type="dxa"/>
            <w:tcBorders>
              <w:top w:val="single" w:sz="5" w:space="0" w:color="D7E4DD"/>
              <w:left w:val="single" w:sz="5" w:space="0" w:color="D7E4DD"/>
              <w:bottom w:val="single" w:sz="5" w:space="0" w:color="D7E4DD"/>
              <w:right w:val="single" w:sz="5" w:space="0" w:color="D7E4DD"/>
            </w:tcBorders>
            <w:shd w:val="clear" w:color="auto" w:fill="FFFFFF"/>
            <w:vAlign w:val="center"/>
          </w:tcPr>
          <w:p w14:paraId="37C37C3C" w14:textId="77777777" w:rsidR="00997065" w:rsidRDefault="00497D67">
            <w:pPr>
              <w:spacing w:before="20" w:after="20"/>
            </w:pPr>
            <w:r>
              <w:rPr>
                <w:sz w:val="24"/>
              </w:rPr>
              <w:t>Receipt variability</w:t>
            </w:r>
          </w:p>
        </w:tc>
        <w:tc>
          <w:tcPr>
            <w:tcW w:w="3331" w:type="dxa"/>
            <w:tcBorders>
              <w:top w:val="single" w:sz="5" w:space="0" w:color="D7E4DD"/>
              <w:left w:val="single" w:sz="5" w:space="0" w:color="D7E4DD"/>
              <w:bottom w:val="single" w:sz="5" w:space="0" w:color="D7E4DD"/>
              <w:right w:val="single" w:sz="5" w:space="0" w:color="D7E4DD"/>
            </w:tcBorders>
            <w:shd w:val="clear" w:color="auto" w:fill="FFFFFF"/>
            <w:vAlign w:val="center"/>
          </w:tcPr>
          <w:p w14:paraId="6181E103" w14:textId="77777777" w:rsidR="00997065" w:rsidRDefault="00497D67">
            <w:pPr>
              <w:spacing w:before="20" w:after="20"/>
            </w:pPr>
            <w:r>
              <w:rPr>
                <w:sz w:val="24"/>
              </w:rPr>
              <w:t>Mean-one log-normal multiplier; case CV default 0.15</w:t>
            </w:r>
          </w:p>
        </w:tc>
        <w:tc>
          <w:tcPr>
            <w:tcW w:w="3331" w:type="dxa"/>
            <w:tcBorders>
              <w:top w:val="single" w:sz="5" w:space="0" w:color="D7E4DD"/>
              <w:left w:val="single" w:sz="5" w:space="0" w:color="D7E4DD"/>
              <w:bottom w:val="single" w:sz="5" w:space="0" w:color="D7E4DD"/>
              <w:right w:val="single" w:sz="5" w:space="0" w:color="D7E4DD"/>
            </w:tcBorders>
            <w:shd w:val="clear" w:color="auto" w:fill="FFFFFF"/>
            <w:vAlign w:val="center"/>
          </w:tcPr>
          <w:p w14:paraId="4EA21A6A" w14:textId="77777777" w:rsidR="00997065" w:rsidRDefault="00497D67">
            <w:pPr>
              <w:spacing w:before="20" w:after="20"/>
            </w:pPr>
            <w:r>
              <w:rPr>
                <w:sz w:val="24"/>
              </w:rPr>
              <w:t>Perturbs projected receipts while invoice amounts are fixed; proxy for amount variability</w:t>
            </w:r>
          </w:p>
        </w:tc>
      </w:tr>
      <w:tr w:rsidR="00997065" w14:paraId="0E4F6DC3" w14:textId="77777777">
        <w:trPr>
          <w:jc w:val="center"/>
        </w:trPr>
        <w:tc>
          <w:tcPr>
            <w:tcW w:w="3331" w:type="dxa"/>
            <w:tcBorders>
              <w:top w:val="single" w:sz="5" w:space="0" w:color="D7E4DD"/>
              <w:left w:val="single" w:sz="5" w:space="0" w:color="D7E4DD"/>
              <w:bottom w:val="single" w:sz="5" w:space="0" w:color="D7E4DD"/>
              <w:right w:val="single" w:sz="5" w:space="0" w:color="D7E4DD"/>
            </w:tcBorders>
            <w:shd w:val="clear" w:color="auto" w:fill="F4F8F5"/>
            <w:vAlign w:val="center"/>
          </w:tcPr>
          <w:p w14:paraId="07780EB1" w14:textId="77777777" w:rsidR="00997065" w:rsidRDefault="00497D67">
            <w:pPr>
              <w:spacing w:before="20" w:after="20"/>
            </w:pPr>
            <w:r>
              <w:rPr>
                <w:sz w:val="24"/>
              </w:rPr>
              <w:t>Outputs</w:t>
            </w:r>
          </w:p>
        </w:tc>
        <w:tc>
          <w:tcPr>
            <w:tcW w:w="3331" w:type="dxa"/>
            <w:tcBorders>
              <w:top w:val="single" w:sz="5" w:space="0" w:color="D7E4DD"/>
              <w:left w:val="single" w:sz="5" w:space="0" w:color="D7E4DD"/>
              <w:bottom w:val="single" w:sz="5" w:space="0" w:color="D7E4DD"/>
              <w:right w:val="single" w:sz="5" w:space="0" w:color="D7E4DD"/>
            </w:tcBorders>
            <w:shd w:val="clear" w:color="auto" w:fill="F4F8F5"/>
            <w:vAlign w:val="center"/>
          </w:tcPr>
          <w:p w14:paraId="23D849DC" w14:textId="77777777" w:rsidR="00997065" w:rsidRDefault="00497D67">
            <w:pPr>
              <w:spacing w:before="20" w:after="20"/>
            </w:pPr>
            <w:r>
              <w:rPr>
                <w:sz w:val="24"/>
              </w:rPr>
              <w:t>Weekly P10/P50/P90, reserve/zero breach rates, any-week reserve breach</w:t>
            </w:r>
          </w:p>
        </w:tc>
        <w:tc>
          <w:tcPr>
            <w:tcW w:w="3331" w:type="dxa"/>
            <w:tcBorders>
              <w:top w:val="single" w:sz="5" w:space="0" w:color="D7E4DD"/>
              <w:left w:val="single" w:sz="5" w:space="0" w:color="D7E4DD"/>
              <w:bottom w:val="single" w:sz="5" w:space="0" w:color="D7E4DD"/>
              <w:right w:val="single" w:sz="5" w:space="0" w:color="D7E4DD"/>
            </w:tcBorders>
            <w:shd w:val="clear" w:color="auto" w:fill="F4F8F5"/>
            <w:vAlign w:val="center"/>
          </w:tcPr>
          <w:p w14:paraId="3B96412F" w14:textId="77777777" w:rsidR="00997065" w:rsidRDefault="00497D67">
            <w:pPr>
              <w:spacing w:before="20" w:after="20"/>
            </w:pPr>
            <w:r>
              <w:rPr>
                <w:sz w:val="24"/>
              </w:rPr>
              <w:t>Computed for each run; not calibrated probabilities</w:t>
            </w:r>
          </w:p>
        </w:tc>
      </w:tr>
    </w:tbl>
    <w:p w14:paraId="18328279" w14:textId="77777777" w:rsidR="00997065" w:rsidRDefault="00497D67">
      <w:pPr>
        <w:spacing w:after="160"/>
        <w:jc w:val="center"/>
      </w:pPr>
      <w:r>
        <w:rPr>
          <w:i/>
          <w:color w:val="596963"/>
          <w:sz w:val="24"/>
        </w:rPr>
        <w:t>Table 6. Monte Carlo settings and interpretation.</w:t>
      </w:r>
    </w:p>
    <w:p w14:paraId="64C40B03" w14:textId="77777777" w:rsidR="00997065" w:rsidRDefault="00497D67">
      <w:pPr>
        <w:spacing w:after="120" w:line="269" w:lineRule="auto"/>
      </w:pPr>
      <w:r>
        <w:rPr>
          <w:sz w:val="24"/>
        </w:rPr>
        <w:t>For each path, weekly cash is accumulated from opening cash. The percentile band answers “what balances did this specified simulation produce?” The reserve probability is the fraction of runs crossing the configured threshold. This is useful for sensitivity communication, but the short synthetic histories do not provide enough empirical evidence to claim actuarial calibration or forecast confidence intervals.</w:t>
      </w:r>
    </w:p>
    <w:p w14:paraId="4FE74EA0" w14:textId="77777777" w:rsidR="00997065" w:rsidRDefault="00497D67">
      <w:pPr>
        <w:pStyle w:val="Heading2"/>
      </w:pPr>
      <w:r>
        <w:rPr>
          <w:rFonts w:ascii="Times New Roman" w:eastAsia="Times New Roman" w:hAnsi="Times New Roman"/>
          <w:sz w:val="24"/>
        </w:rPr>
        <w:t>5.3. Liquidity Decision Lab</w:t>
      </w:r>
    </w:p>
    <w:p w14:paraId="77C03679" w14:textId="77777777" w:rsidR="00997065" w:rsidRDefault="00497D67">
      <w:pPr>
        <w:spacing w:after="100" w:line="269" w:lineRule="auto"/>
      </w:pPr>
      <w:r>
        <w:rPr>
          <w:sz w:val="24"/>
        </w:rPr>
        <w:t>The Lab recomputes a baseline forecast and evaluates three levers independently, their combination, and financing alternatives. Every lever is labelled HYPOTHETICAL until the owner confirms the corresponding assumption.</w:t>
      </w:r>
    </w:p>
    <w:tbl>
      <w:tblPr>
        <w:tblStyle w:val="TableGrid"/>
        <w:tblW w:w="0" w:type="auto"/>
        <w:jc w:val="center"/>
        <w:tblLook w:val="04A0" w:firstRow="1" w:lastRow="0" w:firstColumn="1" w:lastColumn="0" w:noHBand="0" w:noVBand="1"/>
      </w:tblPr>
      <w:tblGrid>
        <w:gridCol w:w="2498"/>
        <w:gridCol w:w="2498"/>
        <w:gridCol w:w="2498"/>
        <w:gridCol w:w="2498"/>
      </w:tblGrid>
      <w:tr w:rsidR="00997065" w14:paraId="53F82840" w14:textId="77777777">
        <w:trPr>
          <w:tblHeader/>
          <w:jc w:val="center"/>
        </w:trPr>
        <w:tc>
          <w:tcPr>
            <w:tcW w:w="2498" w:type="dxa"/>
            <w:tcBorders>
              <w:top w:val="single" w:sz="6" w:space="0" w:color="166B52"/>
              <w:left w:val="single" w:sz="6" w:space="0" w:color="166B52"/>
              <w:bottom w:val="single" w:sz="6" w:space="0" w:color="166B52"/>
              <w:right w:val="single" w:sz="6" w:space="0" w:color="166B52"/>
            </w:tcBorders>
            <w:shd w:val="clear" w:color="auto" w:fill="166B52"/>
            <w:vAlign w:val="center"/>
          </w:tcPr>
          <w:p w14:paraId="23F6C4CF" w14:textId="77777777" w:rsidR="00997065" w:rsidRDefault="00497D67">
            <w:pPr>
              <w:spacing w:before="20" w:after="20"/>
            </w:pPr>
            <w:r>
              <w:rPr>
                <w:b/>
                <w:color w:val="FFFFFF"/>
                <w:sz w:val="24"/>
              </w:rPr>
              <w:t>Lever</w:t>
            </w:r>
          </w:p>
        </w:tc>
        <w:tc>
          <w:tcPr>
            <w:tcW w:w="2498" w:type="dxa"/>
            <w:tcBorders>
              <w:top w:val="single" w:sz="6" w:space="0" w:color="166B52"/>
              <w:left w:val="single" w:sz="6" w:space="0" w:color="166B52"/>
              <w:bottom w:val="single" w:sz="6" w:space="0" w:color="166B52"/>
              <w:right w:val="single" w:sz="6" w:space="0" w:color="166B52"/>
            </w:tcBorders>
            <w:shd w:val="clear" w:color="auto" w:fill="166B52"/>
            <w:vAlign w:val="center"/>
          </w:tcPr>
          <w:p w14:paraId="4CE8EE9F" w14:textId="77777777" w:rsidR="00997065" w:rsidRDefault="00497D67">
            <w:pPr>
              <w:spacing w:before="20" w:after="20"/>
            </w:pPr>
            <w:r>
              <w:rPr>
                <w:b/>
                <w:color w:val="FFFFFF"/>
                <w:sz w:val="24"/>
              </w:rPr>
              <w:t>Default</w:t>
            </w:r>
          </w:p>
        </w:tc>
        <w:tc>
          <w:tcPr>
            <w:tcW w:w="2498" w:type="dxa"/>
            <w:tcBorders>
              <w:top w:val="single" w:sz="6" w:space="0" w:color="166B52"/>
              <w:left w:val="single" w:sz="6" w:space="0" w:color="166B52"/>
              <w:bottom w:val="single" w:sz="6" w:space="0" w:color="166B52"/>
              <w:right w:val="single" w:sz="6" w:space="0" w:color="166B52"/>
            </w:tcBorders>
            <w:shd w:val="clear" w:color="auto" w:fill="166B52"/>
            <w:vAlign w:val="center"/>
          </w:tcPr>
          <w:p w14:paraId="1F173729" w14:textId="77777777" w:rsidR="00997065" w:rsidRDefault="00497D67">
            <w:pPr>
              <w:spacing w:before="20" w:after="20"/>
            </w:pPr>
            <w:r>
              <w:rPr>
                <w:b/>
                <w:color w:val="FFFFFF"/>
                <w:sz w:val="24"/>
              </w:rPr>
              <w:t>Transformation</w:t>
            </w:r>
          </w:p>
        </w:tc>
        <w:tc>
          <w:tcPr>
            <w:tcW w:w="2498" w:type="dxa"/>
            <w:tcBorders>
              <w:top w:val="single" w:sz="6" w:space="0" w:color="166B52"/>
              <w:left w:val="single" w:sz="6" w:space="0" w:color="166B52"/>
              <w:bottom w:val="single" w:sz="6" w:space="0" w:color="166B52"/>
              <w:right w:val="single" w:sz="6" w:space="0" w:color="166B52"/>
            </w:tcBorders>
            <w:shd w:val="clear" w:color="auto" w:fill="166B52"/>
            <w:vAlign w:val="center"/>
          </w:tcPr>
          <w:p w14:paraId="58ABDADD" w14:textId="77777777" w:rsidR="00997065" w:rsidRDefault="00497D67">
            <w:pPr>
              <w:spacing w:before="20" w:after="20"/>
            </w:pPr>
            <w:r>
              <w:rPr>
                <w:b/>
                <w:color w:val="FFFFFF"/>
                <w:sz w:val="24"/>
              </w:rPr>
              <w:t>Risk retained in result</w:t>
            </w:r>
          </w:p>
        </w:tc>
      </w:tr>
      <w:tr w:rsidR="00997065" w14:paraId="08CDEBF9" w14:textId="77777777">
        <w:trPr>
          <w:jc w:val="center"/>
        </w:trPr>
        <w:tc>
          <w:tcPr>
            <w:tcW w:w="2498" w:type="dxa"/>
            <w:tcBorders>
              <w:top w:val="single" w:sz="6" w:space="0" w:color="D7E4DD"/>
              <w:left w:val="single" w:sz="6" w:space="0" w:color="D7E4DD"/>
              <w:bottom w:val="single" w:sz="6" w:space="0" w:color="D7E4DD"/>
              <w:right w:val="single" w:sz="6" w:space="0" w:color="D7E4DD"/>
            </w:tcBorders>
            <w:shd w:val="clear" w:color="auto" w:fill="F4F8F5"/>
            <w:vAlign w:val="center"/>
          </w:tcPr>
          <w:p w14:paraId="722D0287" w14:textId="77777777" w:rsidR="00997065" w:rsidRDefault="00497D67">
            <w:pPr>
              <w:spacing w:before="20" w:after="20"/>
            </w:pPr>
            <w:r>
              <w:rPr>
                <w:sz w:val="24"/>
              </w:rPr>
              <w:t>L1 — Collections</w:t>
            </w:r>
          </w:p>
        </w:tc>
        <w:tc>
          <w:tcPr>
            <w:tcW w:w="2498" w:type="dxa"/>
            <w:tcBorders>
              <w:top w:val="single" w:sz="6" w:space="0" w:color="D7E4DD"/>
              <w:left w:val="single" w:sz="6" w:space="0" w:color="D7E4DD"/>
              <w:bottom w:val="single" w:sz="6" w:space="0" w:color="D7E4DD"/>
              <w:right w:val="single" w:sz="6" w:space="0" w:color="D7E4DD"/>
            </w:tcBorders>
            <w:shd w:val="clear" w:color="auto" w:fill="F4F8F5"/>
            <w:vAlign w:val="center"/>
          </w:tcPr>
          <w:p w14:paraId="43C6E8BB" w14:textId="77777777" w:rsidR="00997065" w:rsidRDefault="00497D67">
            <w:pPr>
              <w:spacing w:before="20" w:after="20"/>
            </w:pPr>
            <w:r>
              <w:rPr>
                <w:sz w:val="24"/>
              </w:rPr>
              <w:t>50% of eligible overdue receivables, within 2 weeks; 0% haircut</w:t>
            </w:r>
          </w:p>
        </w:tc>
        <w:tc>
          <w:tcPr>
            <w:tcW w:w="2498" w:type="dxa"/>
            <w:tcBorders>
              <w:top w:val="single" w:sz="6" w:space="0" w:color="D7E4DD"/>
              <w:left w:val="single" w:sz="6" w:space="0" w:color="D7E4DD"/>
              <w:bottom w:val="single" w:sz="6" w:space="0" w:color="D7E4DD"/>
              <w:right w:val="single" w:sz="6" w:space="0" w:color="D7E4DD"/>
            </w:tcBorders>
            <w:shd w:val="clear" w:color="auto" w:fill="F4F8F5"/>
            <w:vAlign w:val="center"/>
          </w:tcPr>
          <w:p w14:paraId="40DB3928" w14:textId="77777777" w:rsidR="00997065" w:rsidRDefault="00497D67">
            <w:pPr>
              <w:spacing w:before="20" w:after="20"/>
            </w:pPr>
            <w:r>
              <w:rPr>
                <w:sz w:val="24"/>
              </w:rPr>
              <w:t>Distributes assumed early collection across selected weeks and removes the same amount from its later expected receipt bucket</w:t>
            </w:r>
          </w:p>
        </w:tc>
        <w:tc>
          <w:tcPr>
            <w:tcW w:w="2498" w:type="dxa"/>
            <w:tcBorders>
              <w:top w:val="single" w:sz="6" w:space="0" w:color="D7E4DD"/>
              <w:left w:val="single" w:sz="6" w:space="0" w:color="D7E4DD"/>
              <w:bottom w:val="single" w:sz="6" w:space="0" w:color="D7E4DD"/>
              <w:right w:val="single" w:sz="6" w:space="0" w:color="D7E4DD"/>
            </w:tcBorders>
            <w:shd w:val="clear" w:color="auto" w:fill="F4F8F5"/>
            <w:vAlign w:val="center"/>
          </w:tcPr>
          <w:p w14:paraId="352C8A99" w14:textId="77777777" w:rsidR="00997065" w:rsidRDefault="00497D67">
            <w:pPr>
              <w:spacing w:before="20" w:after="20"/>
            </w:pPr>
            <w:r>
              <w:rPr>
                <w:sz w:val="24"/>
              </w:rPr>
              <w:t>Customer timing/amount remains unconfirmed; haircut is configurable</w:t>
            </w:r>
          </w:p>
        </w:tc>
      </w:tr>
      <w:tr w:rsidR="00997065" w14:paraId="6C6540CE" w14:textId="77777777">
        <w:trPr>
          <w:jc w:val="center"/>
        </w:trPr>
        <w:tc>
          <w:tcPr>
            <w:tcW w:w="2498" w:type="dxa"/>
            <w:tcBorders>
              <w:top w:val="single" w:sz="6" w:space="0" w:color="D7E4DD"/>
              <w:left w:val="single" w:sz="6" w:space="0" w:color="D7E4DD"/>
              <w:bottom w:val="single" w:sz="6" w:space="0" w:color="D7E4DD"/>
              <w:right w:val="single" w:sz="6" w:space="0" w:color="D7E4DD"/>
            </w:tcBorders>
            <w:shd w:val="clear" w:color="auto" w:fill="FFFFFF"/>
            <w:vAlign w:val="center"/>
          </w:tcPr>
          <w:p w14:paraId="5EE26182" w14:textId="77777777" w:rsidR="00997065" w:rsidRDefault="00497D67">
            <w:pPr>
              <w:spacing w:before="20" w:after="20"/>
            </w:pPr>
            <w:r>
              <w:rPr>
                <w:sz w:val="24"/>
              </w:rPr>
              <w:lastRenderedPageBreak/>
              <w:t>L2 — Reschedule</w:t>
            </w:r>
          </w:p>
        </w:tc>
        <w:tc>
          <w:tcPr>
            <w:tcW w:w="2498" w:type="dxa"/>
            <w:tcBorders>
              <w:top w:val="single" w:sz="6" w:space="0" w:color="D7E4DD"/>
              <w:left w:val="single" w:sz="6" w:space="0" w:color="D7E4DD"/>
              <w:bottom w:val="single" w:sz="6" w:space="0" w:color="D7E4DD"/>
              <w:right w:val="single" w:sz="6" w:space="0" w:color="D7E4DD"/>
            </w:tcBorders>
            <w:shd w:val="clear" w:color="auto" w:fill="FFFFFF"/>
            <w:vAlign w:val="center"/>
          </w:tcPr>
          <w:p w14:paraId="2DC39EF4" w14:textId="77777777" w:rsidR="00997065" w:rsidRDefault="00497D67">
            <w:pPr>
              <w:spacing w:before="20" w:after="20"/>
            </w:pPr>
            <w:r>
              <w:rPr>
                <w:sz w:val="24"/>
              </w:rPr>
              <w:t>Move deferrable payables by 2 weeks; 0% late fee</w:t>
            </w:r>
          </w:p>
        </w:tc>
        <w:tc>
          <w:tcPr>
            <w:tcW w:w="2498" w:type="dxa"/>
            <w:tcBorders>
              <w:top w:val="single" w:sz="6" w:space="0" w:color="D7E4DD"/>
              <w:left w:val="single" w:sz="6" w:space="0" w:color="D7E4DD"/>
              <w:bottom w:val="single" w:sz="6" w:space="0" w:color="D7E4DD"/>
              <w:right w:val="single" w:sz="6" w:space="0" w:color="D7E4DD"/>
            </w:tcBorders>
            <w:shd w:val="clear" w:color="auto" w:fill="FFFFFF"/>
            <w:vAlign w:val="center"/>
          </w:tcPr>
          <w:p w14:paraId="44B5D19B" w14:textId="77777777" w:rsidR="00997065" w:rsidRDefault="00497D67">
            <w:pPr>
              <w:spacing w:before="20" w:after="20"/>
            </w:pPr>
            <w:r>
              <w:rPr>
                <w:sz w:val="24"/>
              </w:rPr>
              <w:t>Shifts an obligation into a later bucket; it is not erased, including when beyond horizon</w:t>
            </w:r>
          </w:p>
        </w:tc>
        <w:tc>
          <w:tcPr>
            <w:tcW w:w="2498" w:type="dxa"/>
            <w:tcBorders>
              <w:top w:val="single" w:sz="6" w:space="0" w:color="D7E4DD"/>
              <w:left w:val="single" w:sz="6" w:space="0" w:color="D7E4DD"/>
              <w:bottom w:val="single" w:sz="6" w:space="0" w:color="D7E4DD"/>
              <w:right w:val="single" w:sz="6" w:space="0" w:color="D7E4DD"/>
            </w:tcBorders>
            <w:shd w:val="clear" w:color="auto" w:fill="FFFFFF"/>
            <w:vAlign w:val="center"/>
          </w:tcPr>
          <w:p w14:paraId="0E36EE6B" w14:textId="77777777" w:rsidR="00997065" w:rsidRDefault="00497D67">
            <w:pPr>
              <w:spacing w:before="20" w:after="20"/>
            </w:pPr>
            <w:r>
              <w:rPr>
                <w:sz w:val="24"/>
              </w:rPr>
              <w:t>Supplier agreement and relationship effect are uncertain</w:t>
            </w:r>
          </w:p>
        </w:tc>
      </w:tr>
      <w:tr w:rsidR="00997065" w14:paraId="71E7AE8B" w14:textId="77777777">
        <w:trPr>
          <w:jc w:val="center"/>
        </w:trPr>
        <w:tc>
          <w:tcPr>
            <w:tcW w:w="2498" w:type="dxa"/>
            <w:tcBorders>
              <w:top w:val="single" w:sz="6" w:space="0" w:color="D7E4DD"/>
              <w:left w:val="single" w:sz="6" w:space="0" w:color="D7E4DD"/>
              <w:bottom w:val="single" w:sz="6" w:space="0" w:color="D7E4DD"/>
              <w:right w:val="single" w:sz="6" w:space="0" w:color="D7E4DD"/>
            </w:tcBorders>
            <w:shd w:val="clear" w:color="auto" w:fill="F4F8F5"/>
            <w:vAlign w:val="center"/>
          </w:tcPr>
          <w:p w14:paraId="0374190C" w14:textId="77777777" w:rsidR="00997065" w:rsidRDefault="00497D67">
            <w:pPr>
              <w:spacing w:before="20" w:after="20"/>
            </w:pPr>
            <w:r>
              <w:rPr>
                <w:sz w:val="24"/>
              </w:rPr>
              <w:t>L3 — Expense reduction</w:t>
            </w:r>
          </w:p>
        </w:tc>
        <w:tc>
          <w:tcPr>
            <w:tcW w:w="2498" w:type="dxa"/>
            <w:tcBorders>
              <w:top w:val="single" w:sz="6" w:space="0" w:color="D7E4DD"/>
              <w:left w:val="single" w:sz="6" w:space="0" w:color="D7E4DD"/>
              <w:bottom w:val="single" w:sz="6" w:space="0" w:color="D7E4DD"/>
              <w:right w:val="single" w:sz="6" w:space="0" w:color="D7E4DD"/>
            </w:tcBorders>
            <w:shd w:val="clear" w:color="auto" w:fill="F4F8F5"/>
            <w:vAlign w:val="center"/>
          </w:tcPr>
          <w:p w14:paraId="17F19EBA" w14:textId="77777777" w:rsidR="00997065" w:rsidRDefault="00497D67">
            <w:pPr>
              <w:spacing w:before="20" w:after="20"/>
            </w:pPr>
            <w:r>
              <w:rPr>
                <w:sz w:val="24"/>
              </w:rPr>
              <w:t>10% of selected discretionary expense, starting week 1</w:t>
            </w:r>
          </w:p>
        </w:tc>
        <w:tc>
          <w:tcPr>
            <w:tcW w:w="2498" w:type="dxa"/>
            <w:tcBorders>
              <w:top w:val="single" w:sz="6" w:space="0" w:color="D7E4DD"/>
              <w:left w:val="single" w:sz="6" w:space="0" w:color="D7E4DD"/>
              <w:bottom w:val="single" w:sz="6" w:space="0" w:color="D7E4DD"/>
              <w:right w:val="single" w:sz="6" w:space="0" w:color="D7E4DD"/>
            </w:tcBorders>
            <w:shd w:val="clear" w:color="auto" w:fill="F4F8F5"/>
            <w:vAlign w:val="center"/>
          </w:tcPr>
          <w:p w14:paraId="2B631658" w14:textId="77777777" w:rsidR="00997065" w:rsidRDefault="00497D67">
            <w:pPr>
              <w:spacing w:before="20" w:after="20"/>
            </w:pPr>
            <w:r>
              <w:rPr>
                <w:sz w:val="24"/>
              </w:rPr>
              <w:t>Reduces eligible discretionary payable in the selected scenario</w:t>
            </w:r>
          </w:p>
        </w:tc>
        <w:tc>
          <w:tcPr>
            <w:tcW w:w="2498" w:type="dxa"/>
            <w:tcBorders>
              <w:top w:val="single" w:sz="6" w:space="0" w:color="D7E4DD"/>
              <w:left w:val="single" w:sz="6" w:space="0" w:color="D7E4DD"/>
              <w:bottom w:val="single" w:sz="6" w:space="0" w:color="D7E4DD"/>
              <w:right w:val="single" w:sz="6" w:space="0" w:color="D7E4DD"/>
            </w:tcBorders>
            <w:shd w:val="clear" w:color="auto" w:fill="F4F8F5"/>
            <w:vAlign w:val="center"/>
          </w:tcPr>
          <w:p w14:paraId="135D0078" w14:textId="77777777" w:rsidR="00997065" w:rsidRDefault="00497D67">
            <w:pPr>
              <w:spacing w:before="20" w:after="20"/>
            </w:pPr>
            <w:r>
              <w:rPr>
                <w:sz w:val="24"/>
              </w:rPr>
              <w:t>Avoidability and operational effect are unverified</w:t>
            </w:r>
          </w:p>
        </w:tc>
      </w:tr>
    </w:tbl>
    <w:p w14:paraId="601FF81D" w14:textId="77777777" w:rsidR="00997065" w:rsidRDefault="00997065">
      <w:pPr>
        <w:spacing w:after="0"/>
      </w:pPr>
    </w:p>
    <w:p w14:paraId="457E66D9" w14:textId="77777777" w:rsidR="00997065" w:rsidRDefault="00497D67">
      <w:r>
        <w:rPr>
          <w:noProof/>
          <w:sz w:val="24"/>
        </w:rPr>
        <w:drawing>
          <wp:inline distT="0" distB="0" distL="0" distR="0" wp14:anchorId="173617CA" wp14:editId="113B5BA7">
            <wp:extent cx="5806440" cy="29419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td_lab.png"/>
                    <pic:cNvPicPr/>
                  </pic:nvPicPr>
                  <pic:blipFill>
                    <a:blip r:embed="rId12"/>
                    <a:stretch>
                      <a:fillRect/>
                    </a:stretch>
                  </pic:blipFill>
                  <pic:spPr>
                    <a:xfrm>
                      <a:off x="0" y="0"/>
                      <a:ext cx="5806440" cy="2941930"/>
                    </a:xfrm>
                    <a:prstGeom prst="rect">
                      <a:avLst/>
                    </a:prstGeom>
                  </pic:spPr>
                </pic:pic>
              </a:graphicData>
            </a:graphic>
          </wp:inline>
        </w:drawing>
      </w:r>
    </w:p>
    <w:p w14:paraId="1D3C6568" w14:textId="77777777" w:rsidR="00997065" w:rsidRDefault="00497D67">
      <w:pPr>
        <w:spacing w:after="160"/>
        <w:jc w:val="center"/>
      </w:pPr>
      <w:r>
        <w:rPr>
          <w:i/>
          <w:color w:val="596963"/>
          <w:sz w:val="24"/>
        </w:rPr>
        <w:t>Figure 5. Lab evaluation sequence from baseline forecast through scenario comparison and explanation.</w:t>
      </w:r>
    </w:p>
    <w:p w14:paraId="310B00B4" w14:textId="77777777" w:rsidR="00997065" w:rsidRDefault="00497D67">
      <w:pPr>
        <w:spacing w:after="100" w:line="269" w:lineRule="auto"/>
      </w:pPr>
      <w:r>
        <w:rPr>
          <w:sz w:val="24"/>
        </w:rPr>
        <w:t>Option 0 is the unmodified baseline. Option A combines L1/L2/L3. Option B finances the remaining gap after those combined levers. Option C finances the original baseline gap. Candidate feasibility is determined on the deterministic path: the minimum closing balance must remain at or above reserve. Among feasible candidates, the rule minimizes modelled financing cost, then repayment-pressure rank, then count of unconfirmed assumptions. If no candidate is feasible, the Lab reports that fact and selects the smallest remaining gap; it does not force a “successful” recommendation. Monte Carlo breach probability is displayed as separate risk context, not substituted into the deterministic selection rule.</w:t>
      </w:r>
    </w:p>
    <w:tbl>
      <w:tblPr>
        <w:tblStyle w:val="TableGrid"/>
        <w:tblW w:w="0" w:type="auto"/>
        <w:jc w:val="center"/>
        <w:tblLook w:val="04A0" w:firstRow="1" w:lastRow="0" w:firstColumn="1" w:lastColumn="0" w:noHBand="0" w:noVBand="1"/>
      </w:tblPr>
      <w:tblGrid>
        <w:gridCol w:w="2498"/>
        <w:gridCol w:w="2498"/>
        <w:gridCol w:w="2498"/>
        <w:gridCol w:w="2498"/>
      </w:tblGrid>
      <w:tr w:rsidR="00997065" w14:paraId="018A55CE" w14:textId="77777777">
        <w:trPr>
          <w:tblHeader/>
          <w:jc w:val="center"/>
        </w:trPr>
        <w:tc>
          <w:tcPr>
            <w:tcW w:w="2498" w:type="dxa"/>
            <w:tcBorders>
              <w:top w:val="single" w:sz="5" w:space="0" w:color="D7E4DD"/>
              <w:left w:val="single" w:sz="5" w:space="0" w:color="D7E4DD"/>
              <w:bottom w:val="single" w:sz="5" w:space="0" w:color="D7E4DD"/>
              <w:right w:val="single" w:sz="5" w:space="0" w:color="D7E4DD"/>
            </w:tcBorders>
            <w:shd w:val="clear" w:color="auto" w:fill="166B52"/>
            <w:vAlign w:val="center"/>
          </w:tcPr>
          <w:p w14:paraId="0E26BC88" w14:textId="77777777" w:rsidR="00997065" w:rsidRDefault="00497D67">
            <w:pPr>
              <w:spacing w:before="20" w:after="20"/>
            </w:pPr>
            <w:r>
              <w:rPr>
                <w:b/>
                <w:color w:val="FFFFFF"/>
                <w:sz w:val="24"/>
              </w:rPr>
              <w:t>Lever</w:t>
            </w:r>
          </w:p>
        </w:tc>
        <w:tc>
          <w:tcPr>
            <w:tcW w:w="2498" w:type="dxa"/>
            <w:tcBorders>
              <w:top w:val="single" w:sz="5" w:space="0" w:color="D7E4DD"/>
              <w:left w:val="single" w:sz="5" w:space="0" w:color="D7E4DD"/>
              <w:bottom w:val="single" w:sz="5" w:space="0" w:color="D7E4DD"/>
              <w:right w:val="single" w:sz="5" w:space="0" w:color="D7E4DD"/>
            </w:tcBorders>
            <w:shd w:val="clear" w:color="auto" w:fill="166B52"/>
            <w:vAlign w:val="center"/>
          </w:tcPr>
          <w:p w14:paraId="7F1B574A" w14:textId="77777777" w:rsidR="00997065" w:rsidRDefault="00497D67">
            <w:pPr>
              <w:spacing w:before="20" w:after="20"/>
            </w:pPr>
            <w:r>
              <w:rPr>
                <w:b/>
                <w:color w:val="FFFFFF"/>
                <w:sz w:val="24"/>
              </w:rPr>
              <w:t>Default parameters</w:t>
            </w:r>
          </w:p>
        </w:tc>
        <w:tc>
          <w:tcPr>
            <w:tcW w:w="2498" w:type="dxa"/>
            <w:tcBorders>
              <w:top w:val="single" w:sz="5" w:space="0" w:color="D7E4DD"/>
              <w:left w:val="single" w:sz="5" w:space="0" w:color="D7E4DD"/>
              <w:bottom w:val="single" w:sz="5" w:space="0" w:color="D7E4DD"/>
              <w:right w:val="single" w:sz="5" w:space="0" w:color="D7E4DD"/>
            </w:tcBorders>
            <w:shd w:val="clear" w:color="auto" w:fill="166B52"/>
            <w:vAlign w:val="center"/>
          </w:tcPr>
          <w:p w14:paraId="56F0A053" w14:textId="77777777" w:rsidR="00997065" w:rsidRDefault="00497D67">
            <w:pPr>
              <w:spacing w:before="20" w:after="20"/>
            </w:pPr>
            <w:r>
              <w:rPr>
                <w:b/>
                <w:color w:val="FFFFFF"/>
                <w:sz w:val="24"/>
              </w:rPr>
              <w:t>Detailed transformation</w:t>
            </w:r>
          </w:p>
        </w:tc>
        <w:tc>
          <w:tcPr>
            <w:tcW w:w="2498" w:type="dxa"/>
            <w:tcBorders>
              <w:top w:val="single" w:sz="5" w:space="0" w:color="D7E4DD"/>
              <w:left w:val="single" w:sz="5" w:space="0" w:color="D7E4DD"/>
              <w:bottom w:val="single" w:sz="5" w:space="0" w:color="D7E4DD"/>
              <w:right w:val="single" w:sz="5" w:space="0" w:color="D7E4DD"/>
            </w:tcBorders>
            <w:shd w:val="clear" w:color="auto" w:fill="166B52"/>
            <w:vAlign w:val="center"/>
          </w:tcPr>
          <w:p w14:paraId="68438676" w14:textId="77777777" w:rsidR="00997065" w:rsidRDefault="00497D67">
            <w:pPr>
              <w:spacing w:before="20" w:after="20"/>
            </w:pPr>
            <w:r>
              <w:rPr>
                <w:b/>
                <w:color w:val="FFFFFF"/>
                <w:sz w:val="24"/>
              </w:rPr>
              <w:t>What remains unverified</w:t>
            </w:r>
          </w:p>
        </w:tc>
      </w:tr>
      <w:tr w:rsidR="00997065" w14:paraId="6B827AEC" w14:textId="77777777">
        <w:trPr>
          <w:jc w:val="center"/>
        </w:trPr>
        <w:tc>
          <w:tcPr>
            <w:tcW w:w="2498" w:type="dxa"/>
            <w:tcBorders>
              <w:top w:val="single" w:sz="5" w:space="0" w:color="D7E4DD"/>
              <w:left w:val="single" w:sz="5" w:space="0" w:color="D7E4DD"/>
              <w:bottom w:val="single" w:sz="5" w:space="0" w:color="D7E4DD"/>
              <w:right w:val="single" w:sz="5" w:space="0" w:color="D7E4DD"/>
            </w:tcBorders>
            <w:shd w:val="clear" w:color="auto" w:fill="F4F8F5"/>
            <w:vAlign w:val="center"/>
          </w:tcPr>
          <w:p w14:paraId="330A79C2" w14:textId="77777777" w:rsidR="00997065" w:rsidRDefault="00497D67">
            <w:pPr>
              <w:spacing w:before="20" w:after="20"/>
            </w:pPr>
            <w:r>
              <w:rPr>
                <w:sz w:val="24"/>
              </w:rPr>
              <w:t>L1 — Collect</w:t>
            </w:r>
          </w:p>
        </w:tc>
        <w:tc>
          <w:tcPr>
            <w:tcW w:w="2498" w:type="dxa"/>
            <w:tcBorders>
              <w:top w:val="single" w:sz="5" w:space="0" w:color="D7E4DD"/>
              <w:left w:val="single" w:sz="5" w:space="0" w:color="D7E4DD"/>
              <w:bottom w:val="single" w:sz="5" w:space="0" w:color="D7E4DD"/>
              <w:right w:val="single" w:sz="5" w:space="0" w:color="D7E4DD"/>
            </w:tcBorders>
            <w:shd w:val="clear" w:color="auto" w:fill="F4F8F5"/>
            <w:vAlign w:val="center"/>
          </w:tcPr>
          <w:p w14:paraId="33EDCA9D" w14:textId="77777777" w:rsidR="00997065" w:rsidRDefault="00497D67">
            <w:pPr>
              <w:spacing w:before="20" w:after="20"/>
            </w:pPr>
            <w:r>
              <w:rPr>
                <w:sz w:val="24"/>
              </w:rPr>
              <w:t>50% of overdue eligible receivables; two weeks; zero haircut</w:t>
            </w:r>
          </w:p>
        </w:tc>
        <w:tc>
          <w:tcPr>
            <w:tcW w:w="2498" w:type="dxa"/>
            <w:tcBorders>
              <w:top w:val="single" w:sz="5" w:space="0" w:color="D7E4DD"/>
              <w:left w:val="single" w:sz="5" w:space="0" w:color="D7E4DD"/>
              <w:bottom w:val="single" w:sz="5" w:space="0" w:color="D7E4DD"/>
              <w:right w:val="single" w:sz="5" w:space="0" w:color="D7E4DD"/>
            </w:tcBorders>
            <w:shd w:val="clear" w:color="auto" w:fill="F4F8F5"/>
            <w:vAlign w:val="center"/>
          </w:tcPr>
          <w:p w14:paraId="4482C4C9" w14:textId="77777777" w:rsidR="00997065" w:rsidRDefault="00497D67">
            <w:pPr>
              <w:spacing w:before="20" w:after="20"/>
            </w:pPr>
            <w:r>
              <w:rPr>
                <w:sz w:val="24"/>
              </w:rPr>
              <w:t>Spread assumed collection across early buckets and subtract the same amount from the later expected receipt bucket</w:t>
            </w:r>
          </w:p>
        </w:tc>
        <w:tc>
          <w:tcPr>
            <w:tcW w:w="2498" w:type="dxa"/>
            <w:tcBorders>
              <w:top w:val="single" w:sz="5" w:space="0" w:color="D7E4DD"/>
              <w:left w:val="single" w:sz="5" w:space="0" w:color="D7E4DD"/>
              <w:bottom w:val="single" w:sz="5" w:space="0" w:color="D7E4DD"/>
              <w:right w:val="single" w:sz="5" w:space="0" w:color="D7E4DD"/>
            </w:tcBorders>
            <w:shd w:val="clear" w:color="auto" w:fill="F4F8F5"/>
            <w:vAlign w:val="center"/>
          </w:tcPr>
          <w:p w14:paraId="67C429BF" w14:textId="77777777" w:rsidR="00997065" w:rsidRDefault="00497D67">
            <w:pPr>
              <w:spacing w:before="20" w:after="20"/>
            </w:pPr>
            <w:r>
              <w:rPr>
                <w:sz w:val="24"/>
              </w:rPr>
              <w:t>Customer payment date and collectability</w:t>
            </w:r>
          </w:p>
        </w:tc>
      </w:tr>
      <w:tr w:rsidR="00997065" w14:paraId="3BF63212" w14:textId="77777777">
        <w:trPr>
          <w:jc w:val="center"/>
        </w:trPr>
        <w:tc>
          <w:tcPr>
            <w:tcW w:w="2498" w:type="dxa"/>
            <w:tcBorders>
              <w:top w:val="single" w:sz="5" w:space="0" w:color="D7E4DD"/>
              <w:left w:val="single" w:sz="5" w:space="0" w:color="D7E4DD"/>
              <w:bottom w:val="single" w:sz="5" w:space="0" w:color="D7E4DD"/>
              <w:right w:val="single" w:sz="5" w:space="0" w:color="D7E4DD"/>
            </w:tcBorders>
            <w:shd w:val="clear" w:color="auto" w:fill="FFFFFF"/>
            <w:vAlign w:val="center"/>
          </w:tcPr>
          <w:p w14:paraId="07B29737" w14:textId="77777777" w:rsidR="00997065" w:rsidRDefault="00497D67">
            <w:pPr>
              <w:spacing w:before="20" w:after="20"/>
            </w:pPr>
            <w:r>
              <w:rPr>
                <w:sz w:val="24"/>
              </w:rPr>
              <w:t>L2 — Reschedule</w:t>
            </w:r>
          </w:p>
        </w:tc>
        <w:tc>
          <w:tcPr>
            <w:tcW w:w="2498" w:type="dxa"/>
            <w:tcBorders>
              <w:top w:val="single" w:sz="5" w:space="0" w:color="D7E4DD"/>
              <w:left w:val="single" w:sz="5" w:space="0" w:color="D7E4DD"/>
              <w:bottom w:val="single" w:sz="5" w:space="0" w:color="D7E4DD"/>
              <w:right w:val="single" w:sz="5" w:space="0" w:color="D7E4DD"/>
            </w:tcBorders>
            <w:shd w:val="clear" w:color="auto" w:fill="FFFFFF"/>
            <w:vAlign w:val="center"/>
          </w:tcPr>
          <w:p w14:paraId="695FC69C" w14:textId="77777777" w:rsidR="00997065" w:rsidRDefault="00497D67">
            <w:pPr>
              <w:spacing w:before="20" w:after="20"/>
            </w:pPr>
            <w:r>
              <w:rPr>
                <w:sz w:val="24"/>
              </w:rPr>
              <w:t>Two weeks; zero fee</w:t>
            </w:r>
          </w:p>
        </w:tc>
        <w:tc>
          <w:tcPr>
            <w:tcW w:w="2498" w:type="dxa"/>
            <w:tcBorders>
              <w:top w:val="single" w:sz="5" w:space="0" w:color="D7E4DD"/>
              <w:left w:val="single" w:sz="5" w:space="0" w:color="D7E4DD"/>
              <w:bottom w:val="single" w:sz="5" w:space="0" w:color="D7E4DD"/>
              <w:right w:val="single" w:sz="5" w:space="0" w:color="D7E4DD"/>
            </w:tcBorders>
            <w:shd w:val="clear" w:color="auto" w:fill="FFFFFF"/>
            <w:vAlign w:val="center"/>
          </w:tcPr>
          <w:p w14:paraId="1A534044" w14:textId="77777777" w:rsidR="00997065" w:rsidRDefault="00497D67">
            <w:pPr>
              <w:spacing w:before="20" w:after="20"/>
            </w:pPr>
            <w:r>
              <w:rPr>
                <w:sz w:val="24"/>
              </w:rPr>
              <w:t xml:space="preserve">Move eligible deferrable bill to later bucket; retain obligation and add </w:t>
            </w:r>
            <w:r>
              <w:rPr>
                <w:sz w:val="24"/>
              </w:rPr>
              <w:lastRenderedPageBreak/>
              <w:t>configured fee</w:t>
            </w:r>
          </w:p>
        </w:tc>
        <w:tc>
          <w:tcPr>
            <w:tcW w:w="2498" w:type="dxa"/>
            <w:tcBorders>
              <w:top w:val="single" w:sz="5" w:space="0" w:color="D7E4DD"/>
              <w:left w:val="single" w:sz="5" w:space="0" w:color="D7E4DD"/>
              <w:bottom w:val="single" w:sz="5" w:space="0" w:color="D7E4DD"/>
              <w:right w:val="single" w:sz="5" w:space="0" w:color="D7E4DD"/>
            </w:tcBorders>
            <w:shd w:val="clear" w:color="auto" w:fill="FFFFFF"/>
            <w:vAlign w:val="center"/>
          </w:tcPr>
          <w:p w14:paraId="06D53245" w14:textId="77777777" w:rsidR="00997065" w:rsidRDefault="00497D67">
            <w:pPr>
              <w:spacing w:before="20" w:after="20"/>
            </w:pPr>
            <w:r>
              <w:rPr>
                <w:sz w:val="24"/>
              </w:rPr>
              <w:lastRenderedPageBreak/>
              <w:t>Supplier agreement and relationship cost</w:t>
            </w:r>
          </w:p>
        </w:tc>
      </w:tr>
      <w:tr w:rsidR="00997065" w14:paraId="5B2C0DC6" w14:textId="77777777">
        <w:trPr>
          <w:jc w:val="center"/>
        </w:trPr>
        <w:tc>
          <w:tcPr>
            <w:tcW w:w="2498" w:type="dxa"/>
            <w:tcBorders>
              <w:top w:val="single" w:sz="5" w:space="0" w:color="D7E4DD"/>
              <w:left w:val="single" w:sz="5" w:space="0" w:color="D7E4DD"/>
              <w:bottom w:val="single" w:sz="5" w:space="0" w:color="D7E4DD"/>
              <w:right w:val="single" w:sz="5" w:space="0" w:color="D7E4DD"/>
            </w:tcBorders>
            <w:shd w:val="clear" w:color="auto" w:fill="F4F8F5"/>
            <w:vAlign w:val="center"/>
          </w:tcPr>
          <w:p w14:paraId="6EEBAE6F" w14:textId="77777777" w:rsidR="00997065" w:rsidRDefault="00497D67">
            <w:pPr>
              <w:spacing w:before="20" w:after="20"/>
            </w:pPr>
            <w:r>
              <w:rPr>
                <w:sz w:val="24"/>
              </w:rPr>
              <w:t>L3 — Reduce</w:t>
            </w:r>
          </w:p>
        </w:tc>
        <w:tc>
          <w:tcPr>
            <w:tcW w:w="2498" w:type="dxa"/>
            <w:tcBorders>
              <w:top w:val="single" w:sz="5" w:space="0" w:color="D7E4DD"/>
              <w:left w:val="single" w:sz="5" w:space="0" w:color="D7E4DD"/>
              <w:bottom w:val="single" w:sz="5" w:space="0" w:color="D7E4DD"/>
              <w:right w:val="single" w:sz="5" w:space="0" w:color="D7E4DD"/>
            </w:tcBorders>
            <w:shd w:val="clear" w:color="auto" w:fill="F4F8F5"/>
            <w:vAlign w:val="center"/>
          </w:tcPr>
          <w:p w14:paraId="628FC69E" w14:textId="77777777" w:rsidR="00997065" w:rsidRDefault="00497D67">
            <w:pPr>
              <w:spacing w:before="20" w:after="20"/>
            </w:pPr>
            <w:r>
              <w:rPr>
                <w:sz w:val="24"/>
              </w:rPr>
              <w:t>10% discretionary spend reduction from week 1</w:t>
            </w:r>
          </w:p>
        </w:tc>
        <w:tc>
          <w:tcPr>
            <w:tcW w:w="2498" w:type="dxa"/>
            <w:tcBorders>
              <w:top w:val="single" w:sz="5" w:space="0" w:color="D7E4DD"/>
              <w:left w:val="single" w:sz="5" w:space="0" w:color="D7E4DD"/>
              <w:bottom w:val="single" w:sz="5" w:space="0" w:color="D7E4DD"/>
              <w:right w:val="single" w:sz="5" w:space="0" w:color="D7E4DD"/>
            </w:tcBorders>
            <w:shd w:val="clear" w:color="auto" w:fill="F4F8F5"/>
            <w:vAlign w:val="center"/>
          </w:tcPr>
          <w:p w14:paraId="40C383A0" w14:textId="77777777" w:rsidR="00997065" w:rsidRDefault="00497D67">
            <w:pPr>
              <w:spacing w:before="20" w:after="20"/>
            </w:pPr>
            <w:r>
              <w:rPr>
                <w:sz w:val="24"/>
              </w:rPr>
              <w:t>Reduce eligible discretionary payable in the hypothetical copy</w:t>
            </w:r>
          </w:p>
        </w:tc>
        <w:tc>
          <w:tcPr>
            <w:tcW w:w="2498" w:type="dxa"/>
            <w:tcBorders>
              <w:top w:val="single" w:sz="5" w:space="0" w:color="D7E4DD"/>
              <w:left w:val="single" w:sz="5" w:space="0" w:color="D7E4DD"/>
              <w:bottom w:val="single" w:sz="5" w:space="0" w:color="D7E4DD"/>
              <w:right w:val="single" w:sz="5" w:space="0" w:color="D7E4DD"/>
            </w:tcBorders>
            <w:shd w:val="clear" w:color="auto" w:fill="F4F8F5"/>
            <w:vAlign w:val="center"/>
          </w:tcPr>
          <w:p w14:paraId="279D5E01" w14:textId="77777777" w:rsidR="00997065" w:rsidRDefault="00497D67">
            <w:pPr>
              <w:spacing w:before="20" w:after="20"/>
            </w:pPr>
            <w:r>
              <w:rPr>
                <w:sz w:val="24"/>
              </w:rPr>
              <w:t>Whether spending is avoidable without harm</w:t>
            </w:r>
          </w:p>
        </w:tc>
      </w:tr>
      <w:tr w:rsidR="00997065" w14:paraId="2A684FA6" w14:textId="77777777">
        <w:trPr>
          <w:jc w:val="center"/>
        </w:trPr>
        <w:tc>
          <w:tcPr>
            <w:tcW w:w="2498" w:type="dxa"/>
            <w:tcBorders>
              <w:top w:val="single" w:sz="5" w:space="0" w:color="D7E4DD"/>
              <w:left w:val="single" w:sz="5" w:space="0" w:color="D7E4DD"/>
              <w:bottom w:val="single" w:sz="5" w:space="0" w:color="D7E4DD"/>
              <w:right w:val="single" w:sz="5" w:space="0" w:color="D7E4DD"/>
            </w:tcBorders>
            <w:shd w:val="clear" w:color="auto" w:fill="FFFFFF"/>
            <w:vAlign w:val="center"/>
          </w:tcPr>
          <w:p w14:paraId="441954B9" w14:textId="77777777" w:rsidR="00997065" w:rsidRDefault="00497D67">
            <w:pPr>
              <w:spacing w:before="20" w:after="20"/>
            </w:pPr>
            <w:r>
              <w:rPr>
                <w:sz w:val="24"/>
              </w:rPr>
              <w:t>Option A</w:t>
            </w:r>
          </w:p>
        </w:tc>
        <w:tc>
          <w:tcPr>
            <w:tcW w:w="2498" w:type="dxa"/>
            <w:tcBorders>
              <w:top w:val="single" w:sz="5" w:space="0" w:color="D7E4DD"/>
              <w:left w:val="single" w:sz="5" w:space="0" w:color="D7E4DD"/>
              <w:bottom w:val="single" w:sz="5" w:space="0" w:color="D7E4DD"/>
              <w:right w:val="single" w:sz="5" w:space="0" w:color="D7E4DD"/>
            </w:tcBorders>
            <w:shd w:val="clear" w:color="auto" w:fill="FFFFFF"/>
            <w:vAlign w:val="center"/>
          </w:tcPr>
          <w:p w14:paraId="1AD41759" w14:textId="77777777" w:rsidR="00997065" w:rsidRDefault="00497D67">
            <w:pPr>
              <w:spacing w:before="20" w:after="20"/>
            </w:pPr>
            <w:r>
              <w:rPr>
                <w:sz w:val="24"/>
              </w:rPr>
              <w:t>All three selected levers combined</w:t>
            </w:r>
          </w:p>
        </w:tc>
        <w:tc>
          <w:tcPr>
            <w:tcW w:w="2498" w:type="dxa"/>
            <w:tcBorders>
              <w:top w:val="single" w:sz="5" w:space="0" w:color="D7E4DD"/>
              <w:left w:val="single" w:sz="5" w:space="0" w:color="D7E4DD"/>
              <w:bottom w:val="single" w:sz="5" w:space="0" w:color="D7E4DD"/>
              <w:right w:val="single" w:sz="5" w:space="0" w:color="D7E4DD"/>
            </w:tcBorders>
            <w:shd w:val="clear" w:color="auto" w:fill="FFFFFF"/>
            <w:vAlign w:val="center"/>
          </w:tcPr>
          <w:p w14:paraId="55907883" w14:textId="77777777" w:rsidR="00997065" w:rsidRDefault="00497D67">
            <w:pPr>
              <w:spacing w:before="20" w:after="20"/>
            </w:pPr>
            <w:r>
              <w:rPr>
                <w:sz w:val="24"/>
              </w:rPr>
              <w:t>Run the same balance engine over combined adjusted flows</w:t>
            </w:r>
          </w:p>
        </w:tc>
        <w:tc>
          <w:tcPr>
            <w:tcW w:w="2498" w:type="dxa"/>
            <w:tcBorders>
              <w:top w:val="single" w:sz="5" w:space="0" w:color="D7E4DD"/>
              <w:left w:val="single" w:sz="5" w:space="0" w:color="D7E4DD"/>
              <w:bottom w:val="single" w:sz="5" w:space="0" w:color="D7E4DD"/>
              <w:right w:val="single" w:sz="5" w:space="0" w:color="D7E4DD"/>
            </w:tcBorders>
            <w:shd w:val="clear" w:color="auto" w:fill="FFFFFF"/>
            <w:vAlign w:val="center"/>
          </w:tcPr>
          <w:p w14:paraId="226C28DC" w14:textId="77777777" w:rsidR="00997065" w:rsidRDefault="00497D67">
            <w:pPr>
              <w:spacing w:before="20" w:after="20"/>
            </w:pPr>
            <w:r>
              <w:rPr>
                <w:sz w:val="24"/>
              </w:rPr>
              <w:t>All lever assumptions are still hypothetical</w:t>
            </w:r>
          </w:p>
        </w:tc>
      </w:tr>
      <w:tr w:rsidR="00997065" w14:paraId="760BCDF1" w14:textId="77777777">
        <w:trPr>
          <w:jc w:val="center"/>
        </w:trPr>
        <w:tc>
          <w:tcPr>
            <w:tcW w:w="2498" w:type="dxa"/>
            <w:tcBorders>
              <w:top w:val="single" w:sz="5" w:space="0" w:color="D7E4DD"/>
              <w:left w:val="single" w:sz="5" w:space="0" w:color="D7E4DD"/>
              <w:bottom w:val="single" w:sz="5" w:space="0" w:color="D7E4DD"/>
              <w:right w:val="single" w:sz="5" w:space="0" w:color="D7E4DD"/>
            </w:tcBorders>
            <w:shd w:val="clear" w:color="auto" w:fill="F4F8F5"/>
            <w:vAlign w:val="center"/>
          </w:tcPr>
          <w:p w14:paraId="7EC450F8" w14:textId="77777777" w:rsidR="00997065" w:rsidRDefault="00497D67">
            <w:pPr>
              <w:spacing w:before="20" w:after="20"/>
            </w:pPr>
            <w:r>
              <w:rPr>
                <w:sz w:val="24"/>
              </w:rPr>
              <w:t>Option B / C</w:t>
            </w:r>
          </w:p>
        </w:tc>
        <w:tc>
          <w:tcPr>
            <w:tcW w:w="2498" w:type="dxa"/>
            <w:tcBorders>
              <w:top w:val="single" w:sz="5" w:space="0" w:color="D7E4DD"/>
              <w:left w:val="single" w:sz="5" w:space="0" w:color="D7E4DD"/>
              <w:bottom w:val="single" w:sz="5" w:space="0" w:color="D7E4DD"/>
              <w:right w:val="single" w:sz="5" w:space="0" w:color="D7E4DD"/>
            </w:tcBorders>
            <w:shd w:val="clear" w:color="auto" w:fill="F4F8F5"/>
            <w:vAlign w:val="center"/>
          </w:tcPr>
          <w:p w14:paraId="4C6326BD" w14:textId="77777777" w:rsidR="00997065" w:rsidRDefault="00497D67">
            <w:pPr>
              <w:spacing w:before="20" w:after="20"/>
            </w:pPr>
            <w:r>
              <w:rPr>
                <w:sz w:val="24"/>
              </w:rPr>
              <w:t>Editable financing template</w:t>
            </w:r>
          </w:p>
        </w:tc>
        <w:tc>
          <w:tcPr>
            <w:tcW w:w="2498" w:type="dxa"/>
            <w:tcBorders>
              <w:top w:val="single" w:sz="5" w:space="0" w:color="D7E4DD"/>
              <w:left w:val="single" w:sz="5" w:space="0" w:color="D7E4DD"/>
              <w:bottom w:val="single" w:sz="5" w:space="0" w:color="D7E4DD"/>
              <w:right w:val="single" w:sz="5" w:space="0" w:color="D7E4DD"/>
            </w:tcBorders>
            <w:shd w:val="clear" w:color="auto" w:fill="F4F8F5"/>
            <w:vAlign w:val="center"/>
          </w:tcPr>
          <w:p w14:paraId="12D20930" w14:textId="77777777" w:rsidR="00997065" w:rsidRDefault="00497D67">
            <w:pPr>
              <w:spacing w:before="20" w:after="20"/>
            </w:pPr>
            <w:r>
              <w:rPr>
                <w:sz w:val="24"/>
              </w:rPr>
              <w:t>B applies facility to Option A residual; C finances baseline gap</w:t>
            </w:r>
          </w:p>
        </w:tc>
        <w:tc>
          <w:tcPr>
            <w:tcW w:w="2498" w:type="dxa"/>
            <w:tcBorders>
              <w:top w:val="single" w:sz="5" w:space="0" w:color="D7E4DD"/>
              <w:left w:val="single" w:sz="5" w:space="0" w:color="D7E4DD"/>
              <w:bottom w:val="single" w:sz="5" w:space="0" w:color="D7E4DD"/>
              <w:right w:val="single" w:sz="5" w:space="0" w:color="D7E4DD"/>
            </w:tcBorders>
            <w:shd w:val="clear" w:color="auto" w:fill="F4F8F5"/>
            <w:vAlign w:val="center"/>
          </w:tcPr>
          <w:p w14:paraId="1EB738D4" w14:textId="77777777" w:rsidR="00997065" w:rsidRDefault="00497D67">
            <w:pPr>
              <w:spacing w:before="20" w:after="20"/>
            </w:pPr>
            <w:r>
              <w:rPr>
                <w:sz w:val="24"/>
              </w:rPr>
              <w:t>No offer, eligibility or approval inference</w:t>
            </w:r>
          </w:p>
        </w:tc>
      </w:tr>
    </w:tbl>
    <w:p w14:paraId="3DE887D8" w14:textId="77777777" w:rsidR="00997065" w:rsidRDefault="00497D67">
      <w:pPr>
        <w:spacing w:after="160"/>
        <w:jc w:val="center"/>
      </w:pPr>
      <w:r>
        <w:rPr>
          <w:i/>
          <w:color w:val="596963"/>
          <w:sz w:val="24"/>
        </w:rPr>
        <w:t>Table 7. Decision Lab levers and financing-plan construction.</w:t>
      </w:r>
    </w:p>
    <w:p w14:paraId="1CB03586" w14:textId="77777777" w:rsidR="00997065" w:rsidRDefault="00497D67">
      <w:pPr>
        <w:spacing w:after="120" w:line="269" w:lineRule="auto"/>
      </w:pPr>
      <w:r>
        <w:rPr>
          <w:sz w:val="24"/>
        </w:rPr>
        <w:t>The implementation prevents a common scenario-accounting error: a collection accelerated to an early week is removed from its original later bucket, and a deferred supplier payment is moved rather than deleted. A payable moved beyond the 13-week display remains an obligation, even though it no longer appears within the visible horizon. The plan card therefore carries explicit risk text and provenance for each changed assumption.</w:t>
      </w:r>
    </w:p>
    <w:p w14:paraId="2F02172B" w14:textId="77777777" w:rsidR="00997065" w:rsidRDefault="00497D67">
      <w:pPr>
        <w:pStyle w:val="Heading2"/>
      </w:pPr>
      <w:r>
        <w:rPr>
          <w:rFonts w:ascii="Times New Roman" w:eastAsia="Times New Roman" w:hAnsi="Times New Roman"/>
          <w:sz w:val="24"/>
        </w:rPr>
        <w:t>5.4. Financing calculations</w:t>
      </w:r>
    </w:p>
    <w:tbl>
      <w:tblPr>
        <w:tblStyle w:val="TableGrid"/>
        <w:tblW w:w="0" w:type="auto"/>
        <w:jc w:val="center"/>
        <w:tblLook w:val="04A0" w:firstRow="1" w:lastRow="0" w:firstColumn="1" w:lastColumn="0" w:noHBand="0" w:noVBand="1"/>
      </w:tblPr>
      <w:tblGrid>
        <w:gridCol w:w="3331"/>
        <w:gridCol w:w="3331"/>
        <w:gridCol w:w="3331"/>
      </w:tblGrid>
      <w:tr w:rsidR="00997065" w14:paraId="232A325C" w14:textId="77777777">
        <w:trPr>
          <w:tblHeader/>
          <w:jc w:val="center"/>
        </w:trPr>
        <w:tc>
          <w:tcPr>
            <w:tcW w:w="3331" w:type="dxa"/>
            <w:tcBorders>
              <w:top w:val="single" w:sz="6" w:space="0" w:color="166B52"/>
              <w:left w:val="single" w:sz="6" w:space="0" w:color="166B52"/>
              <w:bottom w:val="single" w:sz="6" w:space="0" w:color="166B52"/>
              <w:right w:val="single" w:sz="6" w:space="0" w:color="166B52"/>
            </w:tcBorders>
            <w:shd w:val="clear" w:color="auto" w:fill="166B52"/>
            <w:vAlign w:val="center"/>
          </w:tcPr>
          <w:p w14:paraId="7E3F9D04" w14:textId="77777777" w:rsidR="00997065" w:rsidRDefault="00497D67">
            <w:pPr>
              <w:spacing w:before="20" w:after="20"/>
            </w:pPr>
            <w:r>
              <w:rPr>
                <w:b/>
                <w:color w:val="FFFFFF"/>
                <w:sz w:val="24"/>
              </w:rPr>
              <w:t>Illustrative template</w:t>
            </w:r>
          </w:p>
        </w:tc>
        <w:tc>
          <w:tcPr>
            <w:tcW w:w="3331" w:type="dxa"/>
            <w:tcBorders>
              <w:top w:val="single" w:sz="6" w:space="0" w:color="166B52"/>
              <w:left w:val="single" w:sz="6" w:space="0" w:color="166B52"/>
              <w:bottom w:val="single" w:sz="6" w:space="0" w:color="166B52"/>
              <w:right w:val="single" w:sz="6" w:space="0" w:color="166B52"/>
            </w:tcBorders>
            <w:shd w:val="clear" w:color="auto" w:fill="166B52"/>
            <w:vAlign w:val="center"/>
          </w:tcPr>
          <w:p w14:paraId="69779ED5" w14:textId="77777777" w:rsidR="00997065" w:rsidRDefault="00497D67">
            <w:pPr>
              <w:spacing w:before="20" w:after="20"/>
            </w:pPr>
            <w:r>
              <w:rPr>
                <w:b/>
                <w:color w:val="FFFFFF"/>
                <w:sz w:val="24"/>
              </w:rPr>
              <w:t>Default terms in the prototype</w:t>
            </w:r>
          </w:p>
        </w:tc>
        <w:tc>
          <w:tcPr>
            <w:tcW w:w="3331" w:type="dxa"/>
            <w:tcBorders>
              <w:top w:val="single" w:sz="6" w:space="0" w:color="166B52"/>
              <w:left w:val="single" w:sz="6" w:space="0" w:color="166B52"/>
              <w:bottom w:val="single" w:sz="6" w:space="0" w:color="166B52"/>
              <w:right w:val="single" w:sz="6" w:space="0" w:color="166B52"/>
            </w:tcBorders>
            <w:shd w:val="clear" w:color="auto" w:fill="166B52"/>
            <w:vAlign w:val="center"/>
          </w:tcPr>
          <w:p w14:paraId="2D153F4D" w14:textId="77777777" w:rsidR="00997065" w:rsidRDefault="00497D67">
            <w:pPr>
              <w:spacing w:before="20" w:after="20"/>
            </w:pPr>
            <w:r>
              <w:rPr>
                <w:b/>
                <w:color w:val="FFFFFF"/>
                <w:sz w:val="24"/>
              </w:rPr>
              <w:t>Repayment treatment</w:t>
            </w:r>
          </w:p>
        </w:tc>
      </w:tr>
      <w:tr w:rsidR="00997065" w14:paraId="08D022DA" w14:textId="77777777">
        <w:trPr>
          <w:jc w:val="center"/>
        </w:trPr>
        <w:tc>
          <w:tcPr>
            <w:tcW w:w="3331" w:type="dxa"/>
            <w:tcBorders>
              <w:top w:val="single" w:sz="6" w:space="0" w:color="D7E4DD"/>
              <w:left w:val="single" w:sz="6" w:space="0" w:color="D7E4DD"/>
              <w:bottom w:val="single" w:sz="6" w:space="0" w:color="D7E4DD"/>
              <w:right w:val="single" w:sz="6" w:space="0" w:color="D7E4DD"/>
            </w:tcBorders>
            <w:shd w:val="clear" w:color="auto" w:fill="F4F8F5"/>
            <w:vAlign w:val="center"/>
          </w:tcPr>
          <w:p w14:paraId="24DAAE8B" w14:textId="77777777" w:rsidR="00997065" w:rsidRDefault="00497D67">
            <w:pPr>
              <w:spacing w:before="20" w:after="20"/>
            </w:pPr>
            <w:r>
              <w:rPr>
                <w:sz w:val="24"/>
              </w:rPr>
              <w:t>Term loan</w:t>
            </w:r>
          </w:p>
        </w:tc>
        <w:tc>
          <w:tcPr>
            <w:tcW w:w="3331" w:type="dxa"/>
            <w:tcBorders>
              <w:top w:val="single" w:sz="6" w:space="0" w:color="D7E4DD"/>
              <w:left w:val="single" w:sz="6" w:space="0" w:color="D7E4DD"/>
              <w:bottom w:val="single" w:sz="6" w:space="0" w:color="D7E4DD"/>
              <w:right w:val="single" w:sz="6" w:space="0" w:color="D7E4DD"/>
            </w:tcBorders>
            <w:shd w:val="clear" w:color="auto" w:fill="F4F8F5"/>
            <w:vAlign w:val="center"/>
          </w:tcPr>
          <w:p w14:paraId="7466CA08" w14:textId="77777777" w:rsidR="00997065" w:rsidRDefault="00497D67">
            <w:pPr>
              <w:spacing w:before="20" w:after="20"/>
            </w:pPr>
            <w:r>
              <w:rPr>
                <w:sz w:val="24"/>
              </w:rPr>
              <w:t>14% annual nominal rate; 1% fee; 6 months</w:t>
            </w:r>
          </w:p>
        </w:tc>
        <w:tc>
          <w:tcPr>
            <w:tcW w:w="3331" w:type="dxa"/>
            <w:tcBorders>
              <w:top w:val="single" w:sz="6" w:space="0" w:color="D7E4DD"/>
              <w:left w:val="single" w:sz="6" w:space="0" w:color="D7E4DD"/>
              <w:bottom w:val="single" w:sz="6" w:space="0" w:color="D7E4DD"/>
              <w:right w:val="single" w:sz="6" w:space="0" w:color="D7E4DD"/>
            </w:tcBorders>
            <w:shd w:val="clear" w:color="auto" w:fill="F4F8F5"/>
            <w:vAlign w:val="center"/>
          </w:tcPr>
          <w:p w14:paraId="2661964F" w14:textId="77777777" w:rsidR="00997065" w:rsidRDefault="00497D67">
            <w:pPr>
              <w:spacing w:before="20" w:after="20"/>
            </w:pPr>
            <w:r>
              <w:rPr>
                <w:sz w:val="24"/>
              </w:rPr>
              <w:t>Equal monthly instalments using annuity; interest on declining principal</w:t>
            </w:r>
          </w:p>
        </w:tc>
      </w:tr>
      <w:tr w:rsidR="00997065" w14:paraId="114095CD" w14:textId="77777777">
        <w:trPr>
          <w:jc w:val="center"/>
        </w:trPr>
        <w:tc>
          <w:tcPr>
            <w:tcW w:w="3331" w:type="dxa"/>
            <w:tcBorders>
              <w:top w:val="single" w:sz="6" w:space="0" w:color="D7E4DD"/>
              <w:left w:val="single" w:sz="6" w:space="0" w:color="D7E4DD"/>
              <w:bottom w:val="single" w:sz="6" w:space="0" w:color="D7E4DD"/>
              <w:right w:val="single" w:sz="6" w:space="0" w:color="D7E4DD"/>
            </w:tcBorders>
            <w:shd w:val="clear" w:color="auto" w:fill="FFFFFF"/>
            <w:vAlign w:val="center"/>
          </w:tcPr>
          <w:p w14:paraId="33D5C9FB" w14:textId="77777777" w:rsidR="00997065" w:rsidRDefault="00497D67">
            <w:pPr>
              <w:spacing w:before="20" w:after="20"/>
            </w:pPr>
            <w:r>
              <w:rPr>
                <w:sz w:val="24"/>
              </w:rPr>
              <w:t>Invoice financing</w:t>
            </w:r>
          </w:p>
        </w:tc>
        <w:tc>
          <w:tcPr>
            <w:tcW w:w="3331" w:type="dxa"/>
            <w:tcBorders>
              <w:top w:val="single" w:sz="6" w:space="0" w:color="D7E4DD"/>
              <w:left w:val="single" w:sz="6" w:space="0" w:color="D7E4DD"/>
              <w:bottom w:val="single" w:sz="6" w:space="0" w:color="D7E4DD"/>
              <w:right w:val="single" w:sz="6" w:space="0" w:color="D7E4DD"/>
            </w:tcBorders>
            <w:shd w:val="clear" w:color="auto" w:fill="FFFFFF"/>
            <w:vAlign w:val="center"/>
          </w:tcPr>
          <w:p w14:paraId="2BB27249" w14:textId="77777777" w:rsidR="00997065" w:rsidRDefault="00497D67">
            <w:pPr>
              <w:spacing w:before="20" w:after="20"/>
            </w:pPr>
            <w:r>
              <w:rPr>
                <w:sz w:val="24"/>
              </w:rPr>
              <w:t>80% advance; 2.0% per 30 days outstanding</w:t>
            </w:r>
          </w:p>
        </w:tc>
        <w:tc>
          <w:tcPr>
            <w:tcW w:w="3331" w:type="dxa"/>
            <w:tcBorders>
              <w:top w:val="single" w:sz="6" w:space="0" w:color="D7E4DD"/>
              <w:left w:val="single" w:sz="6" w:space="0" w:color="D7E4DD"/>
              <w:bottom w:val="single" w:sz="6" w:space="0" w:color="D7E4DD"/>
              <w:right w:val="single" w:sz="6" w:space="0" w:color="D7E4DD"/>
            </w:tcBorders>
            <w:shd w:val="clear" w:color="auto" w:fill="FFFFFF"/>
            <w:vAlign w:val="center"/>
          </w:tcPr>
          <w:p w14:paraId="77D714A9" w14:textId="77777777" w:rsidR="00997065" w:rsidRDefault="00497D67">
            <w:pPr>
              <w:spacing w:before="20" w:after="20"/>
            </w:pPr>
            <w:r>
              <w:rPr>
                <w:sz w:val="24"/>
              </w:rPr>
              <w:t>Principal/charge due at maturity; gross facility to deliver the rounded net need</w:t>
            </w:r>
          </w:p>
        </w:tc>
      </w:tr>
      <w:tr w:rsidR="00997065" w14:paraId="2EEC80B3" w14:textId="77777777">
        <w:trPr>
          <w:jc w:val="center"/>
        </w:trPr>
        <w:tc>
          <w:tcPr>
            <w:tcW w:w="3331" w:type="dxa"/>
            <w:tcBorders>
              <w:top w:val="single" w:sz="6" w:space="0" w:color="D7E4DD"/>
              <w:left w:val="single" w:sz="6" w:space="0" w:color="D7E4DD"/>
              <w:bottom w:val="single" w:sz="6" w:space="0" w:color="D7E4DD"/>
              <w:right w:val="single" w:sz="6" w:space="0" w:color="D7E4DD"/>
            </w:tcBorders>
            <w:shd w:val="clear" w:color="auto" w:fill="F4F8F5"/>
            <w:vAlign w:val="center"/>
          </w:tcPr>
          <w:p w14:paraId="75BF9D6E" w14:textId="77777777" w:rsidR="00997065" w:rsidRDefault="00497D67">
            <w:pPr>
              <w:spacing w:before="20" w:after="20"/>
            </w:pPr>
            <w:r>
              <w:rPr>
                <w:sz w:val="24"/>
              </w:rPr>
              <w:t>Supplier credit</w:t>
            </w:r>
          </w:p>
        </w:tc>
        <w:tc>
          <w:tcPr>
            <w:tcW w:w="3331" w:type="dxa"/>
            <w:tcBorders>
              <w:top w:val="single" w:sz="6" w:space="0" w:color="D7E4DD"/>
              <w:left w:val="single" w:sz="6" w:space="0" w:color="D7E4DD"/>
              <w:bottom w:val="single" w:sz="6" w:space="0" w:color="D7E4DD"/>
              <w:right w:val="single" w:sz="6" w:space="0" w:color="D7E4DD"/>
            </w:tcBorders>
            <w:shd w:val="clear" w:color="auto" w:fill="F4F8F5"/>
            <w:vAlign w:val="center"/>
          </w:tcPr>
          <w:p w14:paraId="53077B7F" w14:textId="77777777" w:rsidR="00997065" w:rsidRDefault="00497D67">
            <w:pPr>
              <w:spacing w:before="20" w:after="20"/>
            </w:pPr>
            <w:r>
              <w:rPr>
                <w:sz w:val="24"/>
              </w:rPr>
              <w:t>30-day extension; 1.5% of invoice value</w:t>
            </w:r>
          </w:p>
        </w:tc>
        <w:tc>
          <w:tcPr>
            <w:tcW w:w="3331" w:type="dxa"/>
            <w:tcBorders>
              <w:top w:val="single" w:sz="6" w:space="0" w:color="D7E4DD"/>
              <w:left w:val="single" w:sz="6" w:space="0" w:color="D7E4DD"/>
              <w:bottom w:val="single" w:sz="6" w:space="0" w:color="D7E4DD"/>
              <w:right w:val="single" w:sz="6" w:space="0" w:color="D7E4DD"/>
            </w:tcBorders>
            <w:shd w:val="clear" w:color="auto" w:fill="F4F8F5"/>
            <w:vAlign w:val="center"/>
          </w:tcPr>
          <w:p w14:paraId="61199EC3" w14:textId="77777777" w:rsidR="00997065" w:rsidRDefault="00497D67">
            <w:pPr>
              <w:spacing w:before="20" w:after="20"/>
            </w:pPr>
            <w:r>
              <w:rPr>
                <w:sz w:val="24"/>
              </w:rPr>
              <w:t>Principal and explicit cost due at maturity</w:t>
            </w:r>
          </w:p>
        </w:tc>
      </w:tr>
      <w:tr w:rsidR="00997065" w14:paraId="15EADB3D" w14:textId="77777777">
        <w:trPr>
          <w:jc w:val="center"/>
        </w:trPr>
        <w:tc>
          <w:tcPr>
            <w:tcW w:w="3331" w:type="dxa"/>
            <w:tcBorders>
              <w:top w:val="single" w:sz="6" w:space="0" w:color="D7E4DD"/>
              <w:left w:val="single" w:sz="6" w:space="0" w:color="D7E4DD"/>
              <w:bottom w:val="single" w:sz="6" w:space="0" w:color="D7E4DD"/>
              <w:right w:val="single" w:sz="6" w:space="0" w:color="D7E4DD"/>
            </w:tcBorders>
            <w:shd w:val="clear" w:color="auto" w:fill="FFFFFF"/>
            <w:vAlign w:val="center"/>
          </w:tcPr>
          <w:p w14:paraId="42120F0C" w14:textId="77777777" w:rsidR="00997065" w:rsidRDefault="00497D67">
            <w:pPr>
              <w:spacing w:before="20" w:after="20"/>
            </w:pPr>
            <w:r>
              <w:rPr>
                <w:sz w:val="24"/>
              </w:rPr>
              <w:t>Credit line</w:t>
            </w:r>
          </w:p>
        </w:tc>
        <w:tc>
          <w:tcPr>
            <w:tcW w:w="3331" w:type="dxa"/>
            <w:tcBorders>
              <w:top w:val="single" w:sz="6" w:space="0" w:color="D7E4DD"/>
              <w:left w:val="single" w:sz="6" w:space="0" w:color="D7E4DD"/>
              <w:bottom w:val="single" w:sz="6" w:space="0" w:color="D7E4DD"/>
              <w:right w:val="single" w:sz="6" w:space="0" w:color="D7E4DD"/>
            </w:tcBorders>
            <w:shd w:val="clear" w:color="auto" w:fill="FFFFFF"/>
            <w:vAlign w:val="center"/>
          </w:tcPr>
          <w:p w14:paraId="49D805CB" w14:textId="77777777" w:rsidR="00997065" w:rsidRDefault="00497D67">
            <w:pPr>
              <w:spacing w:before="20" w:after="20"/>
            </w:pPr>
            <w:r>
              <w:rPr>
                <w:sz w:val="24"/>
              </w:rPr>
              <w:t>16% annual rate on drawn amount; 0.5% fee</w:t>
            </w:r>
          </w:p>
        </w:tc>
        <w:tc>
          <w:tcPr>
            <w:tcW w:w="3331" w:type="dxa"/>
            <w:tcBorders>
              <w:top w:val="single" w:sz="6" w:space="0" w:color="D7E4DD"/>
              <w:left w:val="single" w:sz="6" w:space="0" w:color="D7E4DD"/>
              <w:bottom w:val="single" w:sz="6" w:space="0" w:color="D7E4DD"/>
              <w:right w:val="single" w:sz="6" w:space="0" w:color="D7E4DD"/>
            </w:tcBorders>
            <w:shd w:val="clear" w:color="auto" w:fill="FFFFFF"/>
            <w:vAlign w:val="center"/>
          </w:tcPr>
          <w:p w14:paraId="7F630CB1" w14:textId="77777777" w:rsidR="00997065" w:rsidRDefault="00497D67">
            <w:pPr>
              <w:spacing w:before="20" w:after="20"/>
            </w:pPr>
            <w:r>
              <w:rPr>
                <w:sz w:val="24"/>
              </w:rPr>
              <w:t>Drawn balance interest; principal at maturity</w:t>
            </w:r>
          </w:p>
        </w:tc>
      </w:tr>
    </w:tbl>
    <w:p w14:paraId="6DE96D3A" w14:textId="77777777" w:rsidR="00997065" w:rsidRDefault="00997065">
      <w:pPr>
        <w:spacing w:after="0"/>
      </w:pPr>
    </w:p>
    <w:tbl>
      <w:tblPr>
        <w:tblW w:w="0" w:type="auto"/>
        <w:tblLook w:val="04A0" w:firstRow="1" w:lastRow="0" w:firstColumn="1" w:lastColumn="0" w:noHBand="0" w:noVBand="1"/>
      </w:tblPr>
      <w:tblGrid>
        <w:gridCol w:w="9994"/>
      </w:tblGrid>
      <w:tr w:rsidR="00997065" w14:paraId="1DADE063" w14:textId="77777777">
        <w:tc>
          <w:tcPr>
            <w:tcW w:w="9994" w:type="dxa"/>
            <w:tcBorders>
              <w:top w:val="single" w:sz="10" w:space="0" w:color="166B52"/>
              <w:left w:val="single" w:sz="10" w:space="0" w:color="166B52"/>
              <w:bottom w:val="single" w:sz="10" w:space="0" w:color="166B52"/>
              <w:right w:val="single" w:sz="10" w:space="0" w:color="166B52"/>
            </w:tcBorders>
            <w:shd w:val="clear" w:color="auto" w:fill="EAF4EF"/>
          </w:tcPr>
          <w:p w14:paraId="2F104182" w14:textId="77777777" w:rsidR="00997065" w:rsidRDefault="00497D67">
            <w:pPr>
              <w:spacing w:before="100" w:after="100"/>
              <w:jc w:val="center"/>
            </w:pPr>
            <w:r>
              <w:rPr>
                <w:b/>
                <w:sz w:val="24"/>
              </w:rPr>
              <w:t>A = P × r / [1 − (1 + r)^(−n)]   ;   A = P / n when r = 0</w:t>
            </w:r>
          </w:p>
        </w:tc>
      </w:tr>
    </w:tbl>
    <w:p w14:paraId="3285E65F" w14:textId="77777777" w:rsidR="00997065" w:rsidRDefault="00997065">
      <w:pPr>
        <w:spacing w:after="0"/>
      </w:pPr>
    </w:p>
    <w:p w14:paraId="55E38B06" w14:textId="77777777" w:rsidR="00997065" w:rsidRDefault="00497D67">
      <w:pPr>
        <w:spacing w:after="100" w:line="269" w:lineRule="auto"/>
      </w:pPr>
      <w:r>
        <w:rPr>
          <w:sz w:val="24"/>
        </w:rPr>
        <w:t>Here P is principal, r is monthly rate (nominal annual percentage divided by 12), and n is number of monthly instalments. Amounts are rounded upward to the next BDT 1,000. Invoice-financing facility size is grossed up by its selected advance rate. Total cost sums modeled interest, fees, and explicit hypothetical charges. Repayment capacity is average weekly net operating cash flow scaled to debt-service period divided by debt service for that period. Labels at 1.25x and 1.0x are editable rules of thumb only; the project makes no lender underwriting claim.</w:t>
      </w:r>
    </w:p>
    <w:tbl>
      <w:tblPr>
        <w:tblStyle w:val="TableGrid"/>
        <w:tblW w:w="0" w:type="auto"/>
        <w:jc w:val="center"/>
        <w:tblLook w:val="04A0" w:firstRow="1" w:lastRow="0" w:firstColumn="1" w:lastColumn="0" w:noHBand="0" w:noVBand="1"/>
      </w:tblPr>
      <w:tblGrid>
        <w:gridCol w:w="2498"/>
        <w:gridCol w:w="2498"/>
        <w:gridCol w:w="2498"/>
        <w:gridCol w:w="2498"/>
      </w:tblGrid>
      <w:tr w:rsidR="00997065" w14:paraId="05F4DDF4" w14:textId="77777777">
        <w:trPr>
          <w:tblHeader/>
          <w:jc w:val="center"/>
        </w:trPr>
        <w:tc>
          <w:tcPr>
            <w:tcW w:w="2498" w:type="dxa"/>
            <w:tcBorders>
              <w:top w:val="single" w:sz="5" w:space="0" w:color="D7E4DD"/>
              <w:left w:val="single" w:sz="5" w:space="0" w:color="D7E4DD"/>
              <w:bottom w:val="single" w:sz="5" w:space="0" w:color="D7E4DD"/>
              <w:right w:val="single" w:sz="5" w:space="0" w:color="D7E4DD"/>
            </w:tcBorders>
            <w:shd w:val="clear" w:color="auto" w:fill="166B52"/>
            <w:vAlign w:val="center"/>
          </w:tcPr>
          <w:p w14:paraId="15594E15" w14:textId="77777777" w:rsidR="00997065" w:rsidRDefault="00497D67">
            <w:pPr>
              <w:spacing w:before="20" w:after="20"/>
            </w:pPr>
            <w:r>
              <w:rPr>
                <w:b/>
                <w:color w:val="FFFFFF"/>
                <w:sz w:val="24"/>
              </w:rPr>
              <w:t>Template</w:t>
            </w:r>
          </w:p>
        </w:tc>
        <w:tc>
          <w:tcPr>
            <w:tcW w:w="2498" w:type="dxa"/>
            <w:tcBorders>
              <w:top w:val="single" w:sz="5" w:space="0" w:color="D7E4DD"/>
              <w:left w:val="single" w:sz="5" w:space="0" w:color="D7E4DD"/>
              <w:bottom w:val="single" w:sz="5" w:space="0" w:color="D7E4DD"/>
              <w:right w:val="single" w:sz="5" w:space="0" w:color="D7E4DD"/>
            </w:tcBorders>
            <w:shd w:val="clear" w:color="auto" w:fill="166B52"/>
            <w:vAlign w:val="center"/>
          </w:tcPr>
          <w:p w14:paraId="1E153A7F" w14:textId="77777777" w:rsidR="00997065" w:rsidRDefault="00497D67">
            <w:pPr>
              <w:spacing w:before="20" w:after="20"/>
            </w:pPr>
            <w:r>
              <w:rPr>
                <w:b/>
                <w:color w:val="FFFFFF"/>
                <w:sz w:val="24"/>
              </w:rPr>
              <w:t>Illustrative defaults</w:t>
            </w:r>
          </w:p>
        </w:tc>
        <w:tc>
          <w:tcPr>
            <w:tcW w:w="2498" w:type="dxa"/>
            <w:tcBorders>
              <w:top w:val="single" w:sz="5" w:space="0" w:color="D7E4DD"/>
              <w:left w:val="single" w:sz="5" w:space="0" w:color="D7E4DD"/>
              <w:bottom w:val="single" w:sz="5" w:space="0" w:color="D7E4DD"/>
              <w:right w:val="single" w:sz="5" w:space="0" w:color="D7E4DD"/>
            </w:tcBorders>
            <w:shd w:val="clear" w:color="auto" w:fill="166B52"/>
            <w:vAlign w:val="center"/>
          </w:tcPr>
          <w:p w14:paraId="2F71DCD3" w14:textId="77777777" w:rsidR="00997065" w:rsidRDefault="00497D67">
            <w:pPr>
              <w:spacing w:before="20" w:after="20"/>
            </w:pPr>
            <w:r>
              <w:rPr>
                <w:b/>
                <w:color w:val="FFFFFF"/>
                <w:sz w:val="24"/>
              </w:rPr>
              <w:t>Cost / payment model</w:t>
            </w:r>
          </w:p>
        </w:tc>
        <w:tc>
          <w:tcPr>
            <w:tcW w:w="2498" w:type="dxa"/>
            <w:tcBorders>
              <w:top w:val="single" w:sz="5" w:space="0" w:color="D7E4DD"/>
              <w:left w:val="single" w:sz="5" w:space="0" w:color="D7E4DD"/>
              <w:bottom w:val="single" w:sz="5" w:space="0" w:color="D7E4DD"/>
              <w:right w:val="single" w:sz="5" w:space="0" w:color="D7E4DD"/>
            </w:tcBorders>
            <w:shd w:val="clear" w:color="auto" w:fill="166B52"/>
            <w:vAlign w:val="center"/>
          </w:tcPr>
          <w:p w14:paraId="3E315774" w14:textId="77777777" w:rsidR="00997065" w:rsidRDefault="00497D67">
            <w:pPr>
              <w:spacing w:before="20" w:after="20"/>
            </w:pPr>
            <w:r>
              <w:rPr>
                <w:b/>
                <w:color w:val="FFFFFF"/>
                <w:sz w:val="24"/>
              </w:rPr>
              <w:t>Not represented</w:t>
            </w:r>
          </w:p>
        </w:tc>
      </w:tr>
      <w:tr w:rsidR="00997065" w14:paraId="55A79DAC" w14:textId="77777777">
        <w:trPr>
          <w:jc w:val="center"/>
        </w:trPr>
        <w:tc>
          <w:tcPr>
            <w:tcW w:w="2498" w:type="dxa"/>
            <w:tcBorders>
              <w:top w:val="single" w:sz="5" w:space="0" w:color="D7E4DD"/>
              <w:left w:val="single" w:sz="5" w:space="0" w:color="D7E4DD"/>
              <w:bottom w:val="single" w:sz="5" w:space="0" w:color="D7E4DD"/>
              <w:right w:val="single" w:sz="5" w:space="0" w:color="D7E4DD"/>
            </w:tcBorders>
            <w:shd w:val="clear" w:color="auto" w:fill="F4F8F5"/>
            <w:vAlign w:val="center"/>
          </w:tcPr>
          <w:p w14:paraId="1DF380D5" w14:textId="77777777" w:rsidR="00997065" w:rsidRDefault="00497D67">
            <w:pPr>
              <w:spacing w:before="20" w:after="20"/>
            </w:pPr>
            <w:r>
              <w:rPr>
                <w:sz w:val="24"/>
              </w:rPr>
              <w:t>Term loan</w:t>
            </w:r>
          </w:p>
        </w:tc>
        <w:tc>
          <w:tcPr>
            <w:tcW w:w="2498" w:type="dxa"/>
            <w:tcBorders>
              <w:top w:val="single" w:sz="5" w:space="0" w:color="D7E4DD"/>
              <w:left w:val="single" w:sz="5" w:space="0" w:color="D7E4DD"/>
              <w:bottom w:val="single" w:sz="5" w:space="0" w:color="D7E4DD"/>
              <w:right w:val="single" w:sz="5" w:space="0" w:color="D7E4DD"/>
            </w:tcBorders>
            <w:shd w:val="clear" w:color="auto" w:fill="F4F8F5"/>
            <w:vAlign w:val="center"/>
          </w:tcPr>
          <w:p w14:paraId="21A21EC8" w14:textId="77777777" w:rsidR="00997065" w:rsidRDefault="00497D67">
            <w:pPr>
              <w:spacing w:before="20" w:after="20"/>
            </w:pPr>
            <w:r>
              <w:rPr>
                <w:sz w:val="24"/>
              </w:rPr>
              <w:t>14% p.a.; 1% fee; 6 months</w:t>
            </w:r>
          </w:p>
        </w:tc>
        <w:tc>
          <w:tcPr>
            <w:tcW w:w="2498" w:type="dxa"/>
            <w:tcBorders>
              <w:top w:val="single" w:sz="5" w:space="0" w:color="D7E4DD"/>
              <w:left w:val="single" w:sz="5" w:space="0" w:color="D7E4DD"/>
              <w:bottom w:val="single" w:sz="5" w:space="0" w:color="D7E4DD"/>
              <w:right w:val="single" w:sz="5" w:space="0" w:color="D7E4DD"/>
            </w:tcBorders>
            <w:shd w:val="clear" w:color="auto" w:fill="F4F8F5"/>
            <w:vAlign w:val="center"/>
          </w:tcPr>
          <w:p w14:paraId="6383A95C" w14:textId="77777777" w:rsidR="00997065" w:rsidRDefault="00497D67">
            <w:pPr>
              <w:spacing w:before="20" w:after="20"/>
            </w:pPr>
            <w:r>
              <w:rPr>
                <w:sz w:val="24"/>
              </w:rPr>
              <w:t>Monthly annuity; declining-principal interest</w:t>
            </w:r>
          </w:p>
        </w:tc>
        <w:tc>
          <w:tcPr>
            <w:tcW w:w="2498" w:type="dxa"/>
            <w:tcBorders>
              <w:top w:val="single" w:sz="5" w:space="0" w:color="D7E4DD"/>
              <w:left w:val="single" w:sz="5" w:space="0" w:color="D7E4DD"/>
              <w:bottom w:val="single" w:sz="5" w:space="0" w:color="D7E4DD"/>
              <w:right w:val="single" w:sz="5" w:space="0" w:color="D7E4DD"/>
            </w:tcBorders>
            <w:shd w:val="clear" w:color="auto" w:fill="F4F8F5"/>
            <w:vAlign w:val="center"/>
          </w:tcPr>
          <w:p w14:paraId="4D050BEF" w14:textId="77777777" w:rsidR="00997065" w:rsidRDefault="00497D67">
            <w:pPr>
              <w:spacing w:before="20" w:after="20"/>
            </w:pPr>
            <w:r>
              <w:rPr>
                <w:sz w:val="24"/>
              </w:rPr>
              <w:t>Lender underwriting, covenants, eligibility</w:t>
            </w:r>
          </w:p>
        </w:tc>
      </w:tr>
      <w:tr w:rsidR="00997065" w14:paraId="05CF0E5C" w14:textId="77777777">
        <w:trPr>
          <w:jc w:val="center"/>
        </w:trPr>
        <w:tc>
          <w:tcPr>
            <w:tcW w:w="2498" w:type="dxa"/>
            <w:tcBorders>
              <w:top w:val="single" w:sz="5" w:space="0" w:color="D7E4DD"/>
              <w:left w:val="single" w:sz="5" w:space="0" w:color="D7E4DD"/>
              <w:bottom w:val="single" w:sz="5" w:space="0" w:color="D7E4DD"/>
              <w:right w:val="single" w:sz="5" w:space="0" w:color="D7E4DD"/>
            </w:tcBorders>
            <w:shd w:val="clear" w:color="auto" w:fill="FFFFFF"/>
            <w:vAlign w:val="center"/>
          </w:tcPr>
          <w:p w14:paraId="1A58C520" w14:textId="77777777" w:rsidR="00997065" w:rsidRDefault="00497D67">
            <w:pPr>
              <w:spacing w:before="20" w:after="20"/>
            </w:pPr>
            <w:r>
              <w:rPr>
                <w:sz w:val="24"/>
              </w:rPr>
              <w:t>Invoice financing</w:t>
            </w:r>
          </w:p>
        </w:tc>
        <w:tc>
          <w:tcPr>
            <w:tcW w:w="2498" w:type="dxa"/>
            <w:tcBorders>
              <w:top w:val="single" w:sz="5" w:space="0" w:color="D7E4DD"/>
              <w:left w:val="single" w:sz="5" w:space="0" w:color="D7E4DD"/>
              <w:bottom w:val="single" w:sz="5" w:space="0" w:color="D7E4DD"/>
              <w:right w:val="single" w:sz="5" w:space="0" w:color="D7E4DD"/>
            </w:tcBorders>
            <w:shd w:val="clear" w:color="auto" w:fill="FFFFFF"/>
            <w:vAlign w:val="center"/>
          </w:tcPr>
          <w:p w14:paraId="5A8F16D8" w14:textId="77777777" w:rsidR="00997065" w:rsidRDefault="00497D67">
            <w:pPr>
              <w:spacing w:before="20" w:after="20"/>
            </w:pPr>
            <w:r>
              <w:rPr>
                <w:sz w:val="24"/>
              </w:rPr>
              <w:t>80% advance; 2.0% per 30 days</w:t>
            </w:r>
          </w:p>
        </w:tc>
        <w:tc>
          <w:tcPr>
            <w:tcW w:w="2498" w:type="dxa"/>
            <w:tcBorders>
              <w:top w:val="single" w:sz="5" w:space="0" w:color="D7E4DD"/>
              <w:left w:val="single" w:sz="5" w:space="0" w:color="D7E4DD"/>
              <w:bottom w:val="single" w:sz="5" w:space="0" w:color="D7E4DD"/>
              <w:right w:val="single" w:sz="5" w:space="0" w:color="D7E4DD"/>
            </w:tcBorders>
            <w:shd w:val="clear" w:color="auto" w:fill="FFFFFF"/>
            <w:vAlign w:val="center"/>
          </w:tcPr>
          <w:p w14:paraId="3E6C3B7A" w14:textId="77777777" w:rsidR="00997065" w:rsidRDefault="00497D67">
            <w:pPr>
              <w:spacing w:before="20" w:after="20"/>
            </w:pPr>
            <w:r>
              <w:rPr>
                <w:sz w:val="24"/>
              </w:rPr>
              <w:t xml:space="preserve">Facility grossed up to deliver net gap; </w:t>
            </w:r>
            <w:r>
              <w:rPr>
                <w:sz w:val="24"/>
              </w:rPr>
              <w:lastRenderedPageBreak/>
              <w:t>principal/charge at maturity</w:t>
            </w:r>
          </w:p>
        </w:tc>
        <w:tc>
          <w:tcPr>
            <w:tcW w:w="2498" w:type="dxa"/>
            <w:tcBorders>
              <w:top w:val="single" w:sz="5" w:space="0" w:color="D7E4DD"/>
              <w:left w:val="single" w:sz="5" w:space="0" w:color="D7E4DD"/>
              <w:bottom w:val="single" w:sz="5" w:space="0" w:color="D7E4DD"/>
              <w:right w:val="single" w:sz="5" w:space="0" w:color="D7E4DD"/>
            </w:tcBorders>
            <w:shd w:val="clear" w:color="auto" w:fill="FFFFFF"/>
            <w:vAlign w:val="center"/>
          </w:tcPr>
          <w:p w14:paraId="59329D72" w14:textId="77777777" w:rsidR="00997065" w:rsidRDefault="00497D67">
            <w:pPr>
              <w:spacing w:before="20" w:after="20"/>
            </w:pPr>
            <w:r>
              <w:rPr>
                <w:sz w:val="24"/>
              </w:rPr>
              <w:lastRenderedPageBreak/>
              <w:t>Invoice assignment, recourse, real fees</w:t>
            </w:r>
          </w:p>
        </w:tc>
      </w:tr>
      <w:tr w:rsidR="00997065" w14:paraId="674C9E94" w14:textId="77777777">
        <w:trPr>
          <w:jc w:val="center"/>
        </w:trPr>
        <w:tc>
          <w:tcPr>
            <w:tcW w:w="2498" w:type="dxa"/>
            <w:tcBorders>
              <w:top w:val="single" w:sz="5" w:space="0" w:color="D7E4DD"/>
              <w:left w:val="single" w:sz="5" w:space="0" w:color="D7E4DD"/>
              <w:bottom w:val="single" w:sz="5" w:space="0" w:color="D7E4DD"/>
              <w:right w:val="single" w:sz="5" w:space="0" w:color="D7E4DD"/>
            </w:tcBorders>
            <w:shd w:val="clear" w:color="auto" w:fill="F4F8F5"/>
            <w:vAlign w:val="center"/>
          </w:tcPr>
          <w:p w14:paraId="7366A122" w14:textId="77777777" w:rsidR="00997065" w:rsidRDefault="00497D67">
            <w:pPr>
              <w:spacing w:before="20" w:after="20"/>
            </w:pPr>
            <w:r>
              <w:rPr>
                <w:sz w:val="24"/>
              </w:rPr>
              <w:t>Supplier credit</w:t>
            </w:r>
          </w:p>
        </w:tc>
        <w:tc>
          <w:tcPr>
            <w:tcW w:w="2498" w:type="dxa"/>
            <w:tcBorders>
              <w:top w:val="single" w:sz="5" w:space="0" w:color="D7E4DD"/>
              <w:left w:val="single" w:sz="5" w:space="0" w:color="D7E4DD"/>
              <w:bottom w:val="single" w:sz="5" w:space="0" w:color="D7E4DD"/>
              <w:right w:val="single" w:sz="5" w:space="0" w:color="D7E4DD"/>
            </w:tcBorders>
            <w:shd w:val="clear" w:color="auto" w:fill="F4F8F5"/>
            <w:vAlign w:val="center"/>
          </w:tcPr>
          <w:p w14:paraId="43407AA8" w14:textId="77777777" w:rsidR="00997065" w:rsidRDefault="00497D67">
            <w:pPr>
              <w:spacing w:before="20" w:after="20"/>
            </w:pPr>
            <w:r>
              <w:rPr>
                <w:sz w:val="24"/>
              </w:rPr>
              <w:t>30-day extension; 1.5% invoice cost</w:t>
            </w:r>
          </w:p>
        </w:tc>
        <w:tc>
          <w:tcPr>
            <w:tcW w:w="2498" w:type="dxa"/>
            <w:tcBorders>
              <w:top w:val="single" w:sz="5" w:space="0" w:color="D7E4DD"/>
              <w:left w:val="single" w:sz="5" w:space="0" w:color="D7E4DD"/>
              <w:bottom w:val="single" w:sz="5" w:space="0" w:color="D7E4DD"/>
              <w:right w:val="single" w:sz="5" w:space="0" w:color="D7E4DD"/>
            </w:tcBorders>
            <w:shd w:val="clear" w:color="auto" w:fill="F4F8F5"/>
            <w:vAlign w:val="center"/>
          </w:tcPr>
          <w:p w14:paraId="1BAE48B0" w14:textId="77777777" w:rsidR="00997065" w:rsidRDefault="00497D67">
            <w:pPr>
              <w:spacing w:before="20" w:after="20"/>
            </w:pPr>
            <w:r>
              <w:rPr>
                <w:sz w:val="24"/>
              </w:rPr>
              <w:t>Principal plus explicit cost at maturity</w:t>
            </w:r>
          </w:p>
        </w:tc>
        <w:tc>
          <w:tcPr>
            <w:tcW w:w="2498" w:type="dxa"/>
            <w:tcBorders>
              <w:top w:val="single" w:sz="5" w:space="0" w:color="D7E4DD"/>
              <w:left w:val="single" w:sz="5" w:space="0" w:color="D7E4DD"/>
              <w:bottom w:val="single" w:sz="5" w:space="0" w:color="D7E4DD"/>
              <w:right w:val="single" w:sz="5" w:space="0" w:color="D7E4DD"/>
            </w:tcBorders>
            <w:shd w:val="clear" w:color="auto" w:fill="F4F8F5"/>
            <w:vAlign w:val="center"/>
          </w:tcPr>
          <w:p w14:paraId="0827509F" w14:textId="77777777" w:rsidR="00997065" w:rsidRDefault="00497D67">
            <w:pPr>
              <w:spacing w:before="20" w:after="20"/>
            </w:pPr>
            <w:r>
              <w:rPr>
                <w:sz w:val="24"/>
              </w:rPr>
              <w:t>Supplier consent, contract terms</w:t>
            </w:r>
          </w:p>
        </w:tc>
      </w:tr>
      <w:tr w:rsidR="00997065" w14:paraId="3FA82DAC" w14:textId="77777777">
        <w:trPr>
          <w:jc w:val="center"/>
        </w:trPr>
        <w:tc>
          <w:tcPr>
            <w:tcW w:w="2498" w:type="dxa"/>
            <w:tcBorders>
              <w:top w:val="single" w:sz="5" w:space="0" w:color="D7E4DD"/>
              <w:left w:val="single" w:sz="5" w:space="0" w:color="D7E4DD"/>
              <w:bottom w:val="single" w:sz="5" w:space="0" w:color="D7E4DD"/>
              <w:right w:val="single" w:sz="5" w:space="0" w:color="D7E4DD"/>
            </w:tcBorders>
            <w:shd w:val="clear" w:color="auto" w:fill="FFFFFF"/>
            <w:vAlign w:val="center"/>
          </w:tcPr>
          <w:p w14:paraId="016C842A" w14:textId="77777777" w:rsidR="00997065" w:rsidRDefault="00497D67">
            <w:pPr>
              <w:spacing w:before="20" w:after="20"/>
            </w:pPr>
            <w:r>
              <w:rPr>
                <w:sz w:val="24"/>
              </w:rPr>
              <w:t>Credit line</w:t>
            </w:r>
          </w:p>
        </w:tc>
        <w:tc>
          <w:tcPr>
            <w:tcW w:w="2498" w:type="dxa"/>
            <w:tcBorders>
              <w:top w:val="single" w:sz="5" w:space="0" w:color="D7E4DD"/>
              <w:left w:val="single" w:sz="5" w:space="0" w:color="D7E4DD"/>
              <w:bottom w:val="single" w:sz="5" w:space="0" w:color="D7E4DD"/>
              <w:right w:val="single" w:sz="5" w:space="0" w:color="D7E4DD"/>
            </w:tcBorders>
            <w:shd w:val="clear" w:color="auto" w:fill="FFFFFF"/>
            <w:vAlign w:val="center"/>
          </w:tcPr>
          <w:p w14:paraId="3B16DE0E" w14:textId="77777777" w:rsidR="00997065" w:rsidRDefault="00497D67">
            <w:pPr>
              <w:spacing w:before="20" w:after="20"/>
            </w:pPr>
            <w:r>
              <w:rPr>
                <w:sz w:val="24"/>
              </w:rPr>
              <w:t>16% p.a.; 0.5% fee</w:t>
            </w:r>
          </w:p>
        </w:tc>
        <w:tc>
          <w:tcPr>
            <w:tcW w:w="2498" w:type="dxa"/>
            <w:tcBorders>
              <w:top w:val="single" w:sz="5" w:space="0" w:color="D7E4DD"/>
              <w:left w:val="single" w:sz="5" w:space="0" w:color="D7E4DD"/>
              <w:bottom w:val="single" w:sz="5" w:space="0" w:color="D7E4DD"/>
              <w:right w:val="single" w:sz="5" w:space="0" w:color="D7E4DD"/>
            </w:tcBorders>
            <w:shd w:val="clear" w:color="auto" w:fill="FFFFFF"/>
            <w:vAlign w:val="center"/>
          </w:tcPr>
          <w:p w14:paraId="77518BA9" w14:textId="77777777" w:rsidR="00997065" w:rsidRDefault="00497D67">
            <w:pPr>
              <w:spacing w:before="20" w:after="20"/>
            </w:pPr>
            <w:r>
              <w:rPr>
                <w:sz w:val="24"/>
              </w:rPr>
              <w:t>Interest on drawn amount; principal at maturity</w:t>
            </w:r>
          </w:p>
        </w:tc>
        <w:tc>
          <w:tcPr>
            <w:tcW w:w="2498" w:type="dxa"/>
            <w:tcBorders>
              <w:top w:val="single" w:sz="5" w:space="0" w:color="D7E4DD"/>
              <w:left w:val="single" w:sz="5" w:space="0" w:color="D7E4DD"/>
              <w:bottom w:val="single" w:sz="5" w:space="0" w:color="D7E4DD"/>
              <w:right w:val="single" w:sz="5" w:space="0" w:color="D7E4DD"/>
            </w:tcBorders>
            <w:shd w:val="clear" w:color="auto" w:fill="FFFFFF"/>
            <w:vAlign w:val="center"/>
          </w:tcPr>
          <w:p w14:paraId="0E67D021" w14:textId="77777777" w:rsidR="00997065" w:rsidRDefault="00497D67">
            <w:pPr>
              <w:spacing w:before="20" w:after="20"/>
            </w:pPr>
            <w:r>
              <w:rPr>
                <w:sz w:val="24"/>
              </w:rPr>
              <w:t>Undrawn limit and lender policy</w:t>
            </w:r>
          </w:p>
        </w:tc>
      </w:tr>
    </w:tbl>
    <w:p w14:paraId="31ECF55A" w14:textId="77777777" w:rsidR="00997065" w:rsidRDefault="00497D67">
      <w:pPr>
        <w:spacing w:after="160"/>
        <w:jc w:val="center"/>
      </w:pPr>
      <w:r>
        <w:rPr>
          <w:i/>
          <w:color w:val="596963"/>
          <w:sz w:val="24"/>
        </w:rPr>
        <w:t>Table 8. Editable financing templates; all terms are illustrative.</w:t>
      </w:r>
    </w:p>
    <w:p w14:paraId="6A8D5DAD" w14:textId="77777777" w:rsidR="00997065" w:rsidRDefault="00497D67">
      <w:pPr>
        <w:spacing w:after="120" w:line="269" w:lineRule="auto"/>
      </w:pPr>
      <w:r>
        <w:rPr>
          <w:sz w:val="24"/>
        </w:rPr>
        <w:t>For an amortizing loan, the monthly payment follows the standard annuity relation. When monthly rate is zero, the implementation uses straight principal division to avoid a zero denominator. Required amount rounds upward to the next BDT 1,000; invoice financing grosses this net target up by the advance percentage. Repayment-capacity bands (comfortable at or above 1.25x, tight from 1.0x to below 1.25x, stressed below 1.0x) are configurable heuristics, not lender thresholds.</w:t>
      </w:r>
    </w:p>
    <w:p w14:paraId="4C4FA9D6" w14:textId="77777777" w:rsidR="00997065" w:rsidRDefault="00497D67">
      <w:pPr>
        <w:pStyle w:val="Heading2"/>
      </w:pPr>
      <w:r>
        <w:rPr>
          <w:rFonts w:ascii="Times New Roman" w:eastAsia="Times New Roman" w:hAnsi="Times New Roman"/>
          <w:sz w:val="24"/>
        </w:rPr>
        <w:t>5.5. Readiness and receivables watchlist</w:t>
      </w:r>
    </w:p>
    <w:tbl>
      <w:tblPr>
        <w:tblStyle w:val="TableGrid"/>
        <w:tblW w:w="0" w:type="auto"/>
        <w:jc w:val="center"/>
        <w:tblLook w:val="04A0" w:firstRow="1" w:lastRow="0" w:firstColumn="1" w:lastColumn="0" w:noHBand="0" w:noVBand="1"/>
      </w:tblPr>
      <w:tblGrid>
        <w:gridCol w:w="3331"/>
        <w:gridCol w:w="3331"/>
        <w:gridCol w:w="3331"/>
      </w:tblGrid>
      <w:tr w:rsidR="00997065" w14:paraId="475E093D" w14:textId="77777777">
        <w:trPr>
          <w:tblHeader/>
          <w:jc w:val="center"/>
        </w:trPr>
        <w:tc>
          <w:tcPr>
            <w:tcW w:w="3331" w:type="dxa"/>
            <w:tcBorders>
              <w:top w:val="single" w:sz="6" w:space="0" w:color="166B52"/>
              <w:left w:val="single" w:sz="6" w:space="0" w:color="166B52"/>
              <w:bottom w:val="single" w:sz="6" w:space="0" w:color="166B52"/>
              <w:right w:val="single" w:sz="6" w:space="0" w:color="166B52"/>
            </w:tcBorders>
            <w:shd w:val="clear" w:color="auto" w:fill="166B52"/>
            <w:vAlign w:val="center"/>
          </w:tcPr>
          <w:p w14:paraId="2733577A" w14:textId="77777777" w:rsidR="00997065" w:rsidRDefault="00497D67">
            <w:pPr>
              <w:spacing w:before="20" w:after="20"/>
            </w:pPr>
            <w:r>
              <w:rPr>
                <w:b/>
                <w:color w:val="FFFFFF"/>
                <w:sz w:val="24"/>
              </w:rPr>
              <w:t>Indicator component</w:t>
            </w:r>
          </w:p>
        </w:tc>
        <w:tc>
          <w:tcPr>
            <w:tcW w:w="3331" w:type="dxa"/>
            <w:tcBorders>
              <w:top w:val="single" w:sz="6" w:space="0" w:color="166B52"/>
              <w:left w:val="single" w:sz="6" w:space="0" w:color="166B52"/>
              <w:bottom w:val="single" w:sz="6" w:space="0" w:color="166B52"/>
              <w:right w:val="single" w:sz="6" w:space="0" w:color="166B52"/>
            </w:tcBorders>
            <w:shd w:val="clear" w:color="auto" w:fill="166B52"/>
            <w:vAlign w:val="center"/>
          </w:tcPr>
          <w:p w14:paraId="77AFA9E6" w14:textId="77777777" w:rsidR="00997065" w:rsidRDefault="00497D67">
            <w:pPr>
              <w:spacing w:before="20" w:after="20"/>
            </w:pPr>
            <w:r>
              <w:rPr>
                <w:b/>
                <w:color w:val="FFFFFF"/>
                <w:sz w:val="24"/>
              </w:rPr>
              <w:t>Default weight</w:t>
            </w:r>
          </w:p>
        </w:tc>
        <w:tc>
          <w:tcPr>
            <w:tcW w:w="3331" w:type="dxa"/>
            <w:tcBorders>
              <w:top w:val="single" w:sz="6" w:space="0" w:color="166B52"/>
              <w:left w:val="single" w:sz="6" w:space="0" w:color="166B52"/>
              <w:bottom w:val="single" w:sz="6" w:space="0" w:color="166B52"/>
              <w:right w:val="single" w:sz="6" w:space="0" w:color="166B52"/>
            </w:tcBorders>
            <w:shd w:val="clear" w:color="auto" w:fill="166B52"/>
            <w:vAlign w:val="center"/>
          </w:tcPr>
          <w:p w14:paraId="2915E0CE" w14:textId="77777777" w:rsidR="00997065" w:rsidRDefault="00497D67">
            <w:pPr>
              <w:spacing w:before="20" w:after="20"/>
            </w:pPr>
            <w:r>
              <w:rPr>
                <w:b/>
                <w:color w:val="FFFFFF"/>
                <w:sz w:val="24"/>
              </w:rPr>
              <w:t>Implemented scale / interpretation</w:t>
            </w:r>
          </w:p>
        </w:tc>
      </w:tr>
      <w:tr w:rsidR="00997065" w14:paraId="0EC9A0CC" w14:textId="77777777">
        <w:trPr>
          <w:jc w:val="center"/>
        </w:trPr>
        <w:tc>
          <w:tcPr>
            <w:tcW w:w="3331" w:type="dxa"/>
            <w:tcBorders>
              <w:top w:val="single" w:sz="6" w:space="0" w:color="D7E4DD"/>
              <w:left w:val="single" w:sz="6" w:space="0" w:color="D7E4DD"/>
              <w:bottom w:val="single" w:sz="6" w:space="0" w:color="D7E4DD"/>
              <w:right w:val="single" w:sz="6" w:space="0" w:color="D7E4DD"/>
            </w:tcBorders>
            <w:shd w:val="clear" w:color="auto" w:fill="F4F8F5"/>
            <w:vAlign w:val="center"/>
          </w:tcPr>
          <w:p w14:paraId="7D955128" w14:textId="77777777" w:rsidR="00997065" w:rsidRDefault="00497D67">
            <w:pPr>
              <w:spacing w:before="20" w:after="20"/>
            </w:pPr>
            <w:r>
              <w:rPr>
                <w:sz w:val="24"/>
              </w:rPr>
              <w:t>Repayment capacity</w:t>
            </w:r>
          </w:p>
        </w:tc>
        <w:tc>
          <w:tcPr>
            <w:tcW w:w="3331" w:type="dxa"/>
            <w:tcBorders>
              <w:top w:val="single" w:sz="6" w:space="0" w:color="D7E4DD"/>
              <w:left w:val="single" w:sz="6" w:space="0" w:color="D7E4DD"/>
              <w:bottom w:val="single" w:sz="6" w:space="0" w:color="D7E4DD"/>
              <w:right w:val="single" w:sz="6" w:space="0" w:color="D7E4DD"/>
            </w:tcBorders>
            <w:shd w:val="clear" w:color="auto" w:fill="F4F8F5"/>
            <w:vAlign w:val="center"/>
          </w:tcPr>
          <w:p w14:paraId="6457703A" w14:textId="77777777" w:rsidR="00997065" w:rsidRDefault="00497D67">
            <w:pPr>
              <w:spacing w:before="20" w:after="20"/>
            </w:pPr>
            <w:r>
              <w:rPr>
                <w:sz w:val="24"/>
              </w:rPr>
              <w:t>35%</w:t>
            </w:r>
          </w:p>
        </w:tc>
        <w:tc>
          <w:tcPr>
            <w:tcW w:w="3331" w:type="dxa"/>
            <w:tcBorders>
              <w:top w:val="single" w:sz="6" w:space="0" w:color="D7E4DD"/>
              <w:left w:val="single" w:sz="6" w:space="0" w:color="D7E4DD"/>
              <w:bottom w:val="single" w:sz="6" w:space="0" w:color="D7E4DD"/>
              <w:right w:val="single" w:sz="6" w:space="0" w:color="D7E4DD"/>
            </w:tcBorders>
            <w:shd w:val="clear" w:color="auto" w:fill="F4F8F5"/>
            <w:vAlign w:val="center"/>
          </w:tcPr>
          <w:p w14:paraId="0979554A" w14:textId="77777777" w:rsidR="00997065" w:rsidRDefault="00497D67">
            <w:pPr>
              <w:spacing w:before="20" w:after="20"/>
            </w:pPr>
            <w:r>
              <w:rPr>
                <w:sz w:val="24"/>
              </w:rPr>
              <w:t>capacity ratio ÷ 1.25 × 100, bounded 0–100</w:t>
            </w:r>
          </w:p>
        </w:tc>
      </w:tr>
      <w:tr w:rsidR="00997065" w14:paraId="69D499C7" w14:textId="77777777">
        <w:trPr>
          <w:jc w:val="center"/>
        </w:trPr>
        <w:tc>
          <w:tcPr>
            <w:tcW w:w="3331" w:type="dxa"/>
            <w:tcBorders>
              <w:top w:val="single" w:sz="6" w:space="0" w:color="D7E4DD"/>
              <w:left w:val="single" w:sz="6" w:space="0" w:color="D7E4DD"/>
              <w:bottom w:val="single" w:sz="6" w:space="0" w:color="D7E4DD"/>
              <w:right w:val="single" w:sz="6" w:space="0" w:color="D7E4DD"/>
            </w:tcBorders>
            <w:shd w:val="clear" w:color="auto" w:fill="FFFFFF"/>
            <w:vAlign w:val="center"/>
          </w:tcPr>
          <w:p w14:paraId="682A6C54" w14:textId="77777777" w:rsidR="00997065" w:rsidRDefault="00497D67">
            <w:pPr>
              <w:spacing w:before="20" w:after="20"/>
            </w:pPr>
            <w:r>
              <w:rPr>
                <w:sz w:val="24"/>
              </w:rPr>
              <w:t>Cash buffer</w:t>
            </w:r>
          </w:p>
        </w:tc>
        <w:tc>
          <w:tcPr>
            <w:tcW w:w="3331" w:type="dxa"/>
            <w:tcBorders>
              <w:top w:val="single" w:sz="6" w:space="0" w:color="D7E4DD"/>
              <w:left w:val="single" w:sz="6" w:space="0" w:color="D7E4DD"/>
              <w:bottom w:val="single" w:sz="6" w:space="0" w:color="D7E4DD"/>
              <w:right w:val="single" w:sz="6" w:space="0" w:color="D7E4DD"/>
            </w:tcBorders>
            <w:shd w:val="clear" w:color="auto" w:fill="FFFFFF"/>
            <w:vAlign w:val="center"/>
          </w:tcPr>
          <w:p w14:paraId="3E8AB186" w14:textId="77777777" w:rsidR="00997065" w:rsidRDefault="00497D67">
            <w:pPr>
              <w:spacing w:before="20" w:after="20"/>
            </w:pPr>
            <w:r>
              <w:rPr>
                <w:sz w:val="24"/>
              </w:rPr>
              <w:t>25%</w:t>
            </w:r>
          </w:p>
        </w:tc>
        <w:tc>
          <w:tcPr>
            <w:tcW w:w="3331" w:type="dxa"/>
            <w:tcBorders>
              <w:top w:val="single" w:sz="6" w:space="0" w:color="D7E4DD"/>
              <w:left w:val="single" w:sz="6" w:space="0" w:color="D7E4DD"/>
              <w:bottom w:val="single" w:sz="6" w:space="0" w:color="D7E4DD"/>
              <w:right w:val="single" w:sz="6" w:space="0" w:color="D7E4DD"/>
            </w:tcBorders>
            <w:shd w:val="clear" w:color="auto" w:fill="FFFFFF"/>
            <w:vAlign w:val="center"/>
          </w:tcPr>
          <w:p w14:paraId="69C947CE" w14:textId="77777777" w:rsidR="00997065" w:rsidRDefault="00497D67">
            <w:pPr>
              <w:spacing w:before="20" w:after="20"/>
            </w:pPr>
            <w:r>
              <w:rPr>
                <w:sz w:val="24"/>
              </w:rPr>
              <w:t>latest recorded cash ÷ reserve × 100, bounded 0–100</w:t>
            </w:r>
          </w:p>
        </w:tc>
      </w:tr>
      <w:tr w:rsidR="00997065" w14:paraId="2F4697CB" w14:textId="77777777">
        <w:trPr>
          <w:jc w:val="center"/>
        </w:trPr>
        <w:tc>
          <w:tcPr>
            <w:tcW w:w="3331" w:type="dxa"/>
            <w:tcBorders>
              <w:top w:val="single" w:sz="6" w:space="0" w:color="D7E4DD"/>
              <w:left w:val="single" w:sz="6" w:space="0" w:color="D7E4DD"/>
              <w:bottom w:val="single" w:sz="6" w:space="0" w:color="D7E4DD"/>
              <w:right w:val="single" w:sz="6" w:space="0" w:color="D7E4DD"/>
            </w:tcBorders>
            <w:shd w:val="clear" w:color="auto" w:fill="F4F8F5"/>
            <w:vAlign w:val="center"/>
          </w:tcPr>
          <w:p w14:paraId="1C1C4F5F" w14:textId="77777777" w:rsidR="00997065" w:rsidRDefault="00497D67">
            <w:pPr>
              <w:spacing w:before="20" w:after="20"/>
            </w:pPr>
            <w:r>
              <w:rPr>
                <w:sz w:val="24"/>
              </w:rPr>
              <w:t>Receivable quality</w:t>
            </w:r>
          </w:p>
        </w:tc>
        <w:tc>
          <w:tcPr>
            <w:tcW w:w="3331" w:type="dxa"/>
            <w:tcBorders>
              <w:top w:val="single" w:sz="6" w:space="0" w:color="D7E4DD"/>
              <w:left w:val="single" w:sz="6" w:space="0" w:color="D7E4DD"/>
              <w:bottom w:val="single" w:sz="6" w:space="0" w:color="D7E4DD"/>
              <w:right w:val="single" w:sz="6" w:space="0" w:color="D7E4DD"/>
            </w:tcBorders>
            <w:shd w:val="clear" w:color="auto" w:fill="F4F8F5"/>
            <w:vAlign w:val="center"/>
          </w:tcPr>
          <w:p w14:paraId="051DAE75" w14:textId="77777777" w:rsidR="00997065" w:rsidRDefault="00497D67">
            <w:pPr>
              <w:spacing w:before="20" w:after="20"/>
            </w:pPr>
            <w:r>
              <w:rPr>
                <w:sz w:val="24"/>
              </w:rPr>
              <w:t>20%</w:t>
            </w:r>
          </w:p>
        </w:tc>
        <w:tc>
          <w:tcPr>
            <w:tcW w:w="3331" w:type="dxa"/>
            <w:tcBorders>
              <w:top w:val="single" w:sz="6" w:space="0" w:color="D7E4DD"/>
              <w:left w:val="single" w:sz="6" w:space="0" w:color="D7E4DD"/>
              <w:bottom w:val="single" w:sz="6" w:space="0" w:color="D7E4DD"/>
              <w:right w:val="single" w:sz="6" w:space="0" w:color="D7E4DD"/>
            </w:tcBorders>
            <w:shd w:val="clear" w:color="auto" w:fill="F4F8F5"/>
            <w:vAlign w:val="center"/>
          </w:tcPr>
          <w:p w14:paraId="5EBA61CB" w14:textId="77777777" w:rsidR="00997065" w:rsidRDefault="00497D67">
            <w:pPr>
              <w:spacing w:before="20" w:after="20"/>
            </w:pPr>
            <w:r>
              <w:rPr>
                <w:sz w:val="24"/>
              </w:rPr>
              <w:t>100 minus overdue share of open receivables</w:t>
            </w:r>
          </w:p>
        </w:tc>
      </w:tr>
      <w:tr w:rsidR="00997065" w14:paraId="18FD5A96" w14:textId="77777777">
        <w:trPr>
          <w:jc w:val="center"/>
        </w:trPr>
        <w:tc>
          <w:tcPr>
            <w:tcW w:w="3331" w:type="dxa"/>
            <w:tcBorders>
              <w:top w:val="single" w:sz="6" w:space="0" w:color="D7E4DD"/>
              <w:left w:val="single" w:sz="6" w:space="0" w:color="D7E4DD"/>
              <w:bottom w:val="single" w:sz="6" w:space="0" w:color="D7E4DD"/>
              <w:right w:val="single" w:sz="6" w:space="0" w:color="D7E4DD"/>
            </w:tcBorders>
            <w:shd w:val="clear" w:color="auto" w:fill="FFFFFF"/>
            <w:vAlign w:val="center"/>
          </w:tcPr>
          <w:p w14:paraId="423A0191" w14:textId="77777777" w:rsidR="00997065" w:rsidRDefault="00497D67">
            <w:pPr>
              <w:spacing w:before="20" w:after="20"/>
            </w:pPr>
            <w:r>
              <w:rPr>
                <w:sz w:val="24"/>
              </w:rPr>
              <w:t>Data completeness</w:t>
            </w:r>
          </w:p>
        </w:tc>
        <w:tc>
          <w:tcPr>
            <w:tcW w:w="3331" w:type="dxa"/>
            <w:tcBorders>
              <w:top w:val="single" w:sz="6" w:space="0" w:color="D7E4DD"/>
              <w:left w:val="single" w:sz="6" w:space="0" w:color="D7E4DD"/>
              <w:bottom w:val="single" w:sz="6" w:space="0" w:color="D7E4DD"/>
              <w:right w:val="single" w:sz="6" w:space="0" w:color="D7E4DD"/>
            </w:tcBorders>
            <w:shd w:val="clear" w:color="auto" w:fill="FFFFFF"/>
            <w:vAlign w:val="center"/>
          </w:tcPr>
          <w:p w14:paraId="465AE1B4" w14:textId="77777777" w:rsidR="00997065" w:rsidRDefault="00497D67">
            <w:pPr>
              <w:spacing w:before="20" w:after="20"/>
            </w:pPr>
            <w:r>
              <w:rPr>
                <w:sz w:val="24"/>
              </w:rPr>
              <w:t>10%</w:t>
            </w:r>
          </w:p>
        </w:tc>
        <w:tc>
          <w:tcPr>
            <w:tcW w:w="3331" w:type="dxa"/>
            <w:tcBorders>
              <w:top w:val="single" w:sz="6" w:space="0" w:color="D7E4DD"/>
              <w:left w:val="single" w:sz="6" w:space="0" w:color="D7E4DD"/>
              <w:bottom w:val="single" w:sz="6" w:space="0" w:color="D7E4DD"/>
              <w:right w:val="single" w:sz="6" w:space="0" w:color="D7E4DD"/>
            </w:tcBorders>
            <w:shd w:val="clear" w:color="auto" w:fill="FFFFFF"/>
            <w:vAlign w:val="center"/>
          </w:tcPr>
          <w:p w14:paraId="2791A1EA" w14:textId="77777777" w:rsidR="00997065" w:rsidRDefault="00497D67">
            <w:pPr>
              <w:spacing w:before="20" w:after="20"/>
            </w:pPr>
            <w:r>
              <w:rPr>
                <w:sz w:val="24"/>
              </w:rPr>
              <w:t>proportion of five core source groups containing records</w:t>
            </w:r>
          </w:p>
        </w:tc>
      </w:tr>
      <w:tr w:rsidR="00997065" w14:paraId="26697D8C" w14:textId="77777777">
        <w:trPr>
          <w:jc w:val="center"/>
        </w:trPr>
        <w:tc>
          <w:tcPr>
            <w:tcW w:w="3331" w:type="dxa"/>
            <w:tcBorders>
              <w:top w:val="single" w:sz="6" w:space="0" w:color="D7E4DD"/>
              <w:left w:val="single" w:sz="6" w:space="0" w:color="D7E4DD"/>
              <w:bottom w:val="single" w:sz="6" w:space="0" w:color="D7E4DD"/>
              <w:right w:val="single" w:sz="6" w:space="0" w:color="D7E4DD"/>
            </w:tcBorders>
            <w:shd w:val="clear" w:color="auto" w:fill="F4F8F5"/>
            <w:vAlign w:val="center"/>
          </w:tcPr>
          <w:p w14:paraId="4A88F865" w14:textId="77777777" w:rsidR="00997065" w:rsidRDefault="00497D67">
            <w:pPr>
              <w:spacing w:before="20" w:after="20"/>
            </w:pPr>
            <w:r>
              <w:rPr>
                <w:sz w:val="24"/>
              </w:rPr>
              <w:t>Trend</w:t>
            </w:r>
          </w:p>
        </w:tc>
        <w:tc>
          <w:tcPr>
            <w:tcW w:w="3331" w:type="dxa"/>
            <w:tcBorders>
              <w:top w:val="single" w:sz="6" w:space="0" w:color="D7E4DD"/>
              <w:left w:val="single" w:sz="6" w:space="0" w:color="D7E4DD"/>
              <w:bottom w:val="single" w:sz="6" w:space="0" w:color="D7E4DD"/>
              <w:right w:val="single" w:sz="6" w:space="0" w:color="D7E4DD"/>
            </w:tcBorders>
            <w:shd w:val="clear" w:color="auto" w:fill="F4F8F5"/>
            <w:vAlign w:val="center"/>
          </w:tcPr>
          <w:p w14:paraId="03AE149C" w14:textId="77777777" w:rsidR="00997065" w:rsidRDefault="00497D67">
            <w:pPr>
              <w:spacing w:before="20" w:after="20"/>
            </w:pPr>
            <w:r>
              <w:rPr>
                <w:sz w:val="24"/>
              </w:rPr>
              <w:t>10%</w:t>
            </w:r>
          </w:p>
        </w:tc>
        <w:tc>
          <w:tcPr>
            <w:tcW w:w="3331" w:type="dxa"/>
            <w:tcBorders>
              <w:top w:val="single" w:sz="6" w:space="0" w:color="D7E4DD"/>
              <w:left w:val="single" w:sz="6" w:space="0" w:color="D7E4DD"/>
              <w:bottom w:val="single" w:sz="6" w:space="0" w:color="D7E4DD"/>
              <w:right w:val="single" w:sz="6" w:space="0" w:color="D7E4DD"/>
            </w:tcBorders>
            <w:shd w:val="clear" w:color="auto" w:fill="F4F8F5"/>
            <w:vAlign w:val="center"/>
          </w:tcPr>
          <w:p w14:paraId="485956F3" w14:textId="77777777" w:rsidR="00997065" w:rsidRDefault="00497D67">
            <w:pPr>
              <w:spacing w:before="20" w:after="20"/>
            </w:pPr>
            <w:r>
              <w:rPr>
                <w:sz w:val="24"/>
              </w:rPr>
              <w:t>latest versus preceding four-week average net cash, scaled around 50</w:t>
            </w:r>
          </w:p>
        </w:tc>
      </w:tr>
    </w:tbl>
    <w:p w14:paraId="38023276" w14:textId="77777777" w:rsidR="00997065" w:rsidRDefault="00997065">
      <w:pPr>
        <w:spacing w:after="0"/>
      </w:pPr>
    </w:p>
    <w:p w14:paraId="4756A119" w14:textId="77777777" w:rsidR="00997065" w:rsidRDefault="00497D67">
      <w:pPr>
        <w:spacing w:after="100" w:line="269" w:lineRule="auto"/>
      </w:pPr>
      <w:r>
        <w:rPr>
          <w:sz w:val="24"/>
        </w:rPr>
        <w:t>Unavailable components are excluded and the remaining component weights renormalized. The resulting score is explicitly “Readiness indicator, not a loan approval prediction.” The receivables watchlist separately combines overdue-amount share (40 points), amount-weighted days overdue capped at 90 days (30), payment-delay trend (20 when history supports it), and customer concentration in total open receivables (10). Its labels are Normal below 30, Watch from 30 through 60, and Urgent above 60. Each row lists source invoice IDs. These are project-defined explainable heuristics, not validated credit scores.</w:t>
      </w:r>
    </w:p>
    <w:p w14:paraId="616F19D1" w14:textId="77777777" w:rsidR="00997065" w:rsidRDefault="00497D67">
      <w:pPr>
        <w:pStyle w:val="Heading1"/>
      </w:pPr>
      <w:r>
        <w:rPr>
          <w:rFonts w:ascii="Times New Roman" w:eastAsia="Times New Roman" w:hAnsi="Times New Roman"/>
          <w:sz w:val="24"/>
        </w:rPr>
        <w:t>6. Copilot, agent actions and human control</w:t>
      </w:r>
    </w:p>
    <w:p w14:paraId="7E3E49AE" w14:textId="77777777" w:rsidR="00997065" w:rsidRDefault="00497D67">
      <w:pPr>
        <w:pStyle w:val="Heading2"/>
      </w:pPr>
      <w:r>
        <w:rPr>
          <w:rFonts w:ascii="Times New Roman" w:eastAsia="Times New Roman" w:hAnsi="Times New Roman"/>
          <w:sz w:val="24"/>
        </w:rPr>
        <w:t>6.1. Evidence-grounded Copilot</w:t>
      </w:r>
    </w:p>
    <w:p w14:paraId="369D817C" w14:textId="77777777" w:rsidR="00997065" w:rsidRDefault="00497D67">
      <w:pPr>
        <w:spacing w:after="100" w:line="269" w:lineRule="auto"/>
      </w:pPr>
      <w:r>
        <w:rPr>
          <w:sz w:val="24"/>
        </w:rPr>
        <w:t>services.copilot rebuilds a compact evidence pack from selected deterministic forecast, Lab, analysis, and readiness outputs after checking copilot.ask permission. Entity names and free-text source fields are omitted; identifiers may remain. The query is bounded to 500 characters. Offline deterministic templates are the default. Optional LLM mode is activated only by local configuration and sends the question plus masked evidence to a generic OpenAI-compatible endpoint. The service has no draft, approval, or execution tools.</w:t>
      </w:r>
    </w:p>
    <w:p w14:paraId="537D53D4" w14:textId="77777777" w:rsidR="00997065" w:rsidRDefault="00497D67">
      <w:r>
        <w:rPr>
          <w:noProof/>
          <w:sz w:val="24"/>
        </w:rPr>
        <w:lastRenderedPageBreak/>
        <w:drawing>
          <wp:inline distT="0" distB="0" distL="0" distR="0" wp14:anchorId="2D37E325" wp14:editId="5411D53C">
            <wp:extent cx="5806440" cy="270967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td_copilot.png"/>
                    <pic:cNvPicPr/>
                  </pic:nvPicPr>
                  <pic:blipFill>
                    <a:blip r:embed="rId13"/>
                    <a:stretch>
                      <a:fillRect/>
                    </a:stretch>
                  </pic:blipFill>
                  <pic:spPr>
                    <a:xfrm>
                      <a:off x="0" y="0"/>
                      <a:ext cx="5806440" cy="2709672"/>
                    </a:xfrm>
                    <a:prstGeom prst="rect">
                      <a:avLst/>
                    </a:prstGeom>
                  </pic:spPr>
                </pic:pic>
              </a:graphicData>
            </a:graphic>
          </wp:inline>
        </w:drawing>
      </w:r>
    </w:p>
    <w:p w14:paraId="0A05C76F" w14:textId="77777777" w:rsidR="00997065" w:rsidRDefault="00497D67">
      <w:pPr>
        <w:spacing w:after="160"/>
        <w:jc w:val="center"/>
      </w:pPr>
      <w:r>
        <w:rPr>
          <w:i/>
          <w:color w:val="596963"/>
          <w:sz w:val="24"/>
        </w:rPr>
        <w:t>Figure 6. Copilot evidence, optional generation, answer checks, and receipt sequence.</w:t>
      </w:r>
    </w:p>
    <w:p w14:paraId="1AC09184" w14:textId="77777777" w:rsidR="00997065" w:rsidRDefault="00497D67">
      <w:pPr>
        <w:spacing w:after="100" w:line="269" w:lineRule="auto"/>
      </w:pPr>
      <w:r>
        <w:rPr>
          <w:sz w:val="24"/>
        </w:rPr>
        <w:t>A candidate response must use known evidence IDs, and every numeric literal must be supported by computed evidence. If the endpoint errors or validation fails, the service returns a safe offline answer. The audit event stores a SHA-256 query hash and receipt rather than raw query text. This constrained pattern is inspired by the broader grounding/provenance motivation in RAG literature [5, 6], but it is not a conventional RAG system: there is no corpus retriever, vector database, or model training.</w:t>
      </w:r>
    </w:p>
    <w:tbl>
      <w:tblPr>
        <w:tblStyle w:val="TableGrid"/>
        <w:tblW w:w="0" w:type="auto"/>
        <w:jc w:val="center"/>
        <w:tblLook w:val="04A0" w:firstRow="1" w:lastRow="0" w:firstColumn="1" w:lastColumn="0" w:noHBand="0" w:noVBand="1"/>
      </w:tblPr>
      <w:tblGrid>
        <w:gridCol w:w="4997"/>
        <w:gridCol w:w="4997"/>
      </w:tblGrid>
      <w:tr w:rsidR="00997065" w14:paraId="5DB79E3D" w14:textId="77777777">
        <w:trPr>
          <w:tblHeader/>
          <w:jc w:val="center"/>
        </w:trPr>
        <w:tc>
          <w:tcPr>
            <w:tcW w:w="4997" w:type="dxa"/>
            <w:tcBorders>
              <w:top w:val="single" w:sz="6" w:space="0" w:color="166B52"/>
              <w:left w:val="single" w:sz="6" w:space="0" w:color="166B52"/>
              <w:bottom w:val="single" w:sz="6" w:space="0" w:color="166B52"/>
              <w:right w:val="single" w:sz="6" w:space="0" w:color="166B52"/>
            </w:tcBorders>
            <w:shd w:val="clear" w:color="auto" w:fill="166B52"/>
            <w:vAlign w:val="center"/>
          </w:tcPr>
          <w:p w14:paraId="689B4486" w14:textId="77777777" w:rsidR="00997065" w:rsidRDefault="00497D67">
            <w:pPr>
              <w:spacing w:before="20" w:after="20"/>
            </w:pPr>
            <w:r>
              <w:rPr>
                <w:b/>
                <w:color w:val="FFFFFF"/>
                <w:sz w:val="24"/>
              </w:rPr>
              <w:t>Receipt field</w:t>
            </w:r>
          </w:p>
        </w:tc>
        <w:tc>
          <w:tcPr>
            <w:tcW w:w="4997" w:type="dxa"/>
            <w:tcBorders>
              <w:top w:val="single" w:sz="6" w:space="0" w:color="166B52"/>
              <w:left w:val="single" w:sz="6" w:space="0" w:color="166B52"/>
              <w:bottom w:val="single" w:sz="6" w:space="0" w:color="166B52"/>
              <w:right w:val="single" w:sz="6" w:space="0" w:color="166B52"/>
            </w:tcBorders>
            <w:shd w:val="clear" w:color="auto" w:fill="166B52"/>
            <w:vAlign w:val="center"/>
          </w:tcPr>
          <w:p w14:paraId="27A0C523" w14:textId="77777777" w:rsidR="00997065" w:rsidRDefault="00497D67">
            <w:pPr>
              <w:spacing w:before="20" w:after="20"/>
            </w:pPr>
            <w:r>
              <w:rPr>
                <w:b/>
                <w:color w:val="FFFFFF"/>
                <w:sz w:val="24"/>
              </w:rPr>
              <w:t>Purpose</w:t>
            </w:r>
          </w:p>
        </w:tc>
      </w:tr>
      <w:tr w:rsidR="00997065" w14:paraId="1D412CC2" w14:textId="77777777">
        <w:trPr>
          <w:jc w:val="center"/>
        </w:trPr>
        <w:tc>
          <w:tcPr>
            <w:tcW w:w="4997" w:type="dxa"/>
            <w:tcBorders>
              <w:top w:val="single" w:sz="6" w:space="0" w:color="D7E4DD"/>
              <w:left w:val="single" w:sz="6" w:space="0" w:color="D7E4DD"/>
              <w:bottom w:val="single" w:sz="6" w:space="0" w:color="D7E4DD"/>
              <w:right w:val="single" w:sz="6" w:space="0" w:color="D7E4DD"/>
            </w:tcBorders>
            <w:shd w:val="clear" w:color="auto" w:fill="F4F8F5"/>
            <w:vAlign w:val="center"/>
          </w:tcPr>
          <w:p w14:paraId="683E71C9" w14:textId="77777777" w:rsidR="00997065" w:rsidRDefault="00497D67">
            <w:pPr>
              <w:spacing w:before="20" w:after="20"/>
            </w:pPr>
            <w:r>
              <w:rPr>
                <w:sz w:val="24"/>
              </w:rPr>
              <w:t>mode</w:t>
            </w:r>
          </w:p>
        </w:tc>
        <w:tc>
          <w:tcPr>
            <w:tcW w:w="4997" w:type="dxa"/>
            <w:tcBorders>
              <w:top w:val="single" w:sz="6" w:space="0" w:color="D7E4DD"/>
              <w:left w:val="single" w:sz="6" w:space="0" w:color="D7E4DD"/>
              <w:bottom w:val="single" w:sz="6" w:space="0" w:color="D7E4DD"/>
              <w:right w:val="single" w:sz="6" w:space="0" w:color="D7E4DD"/>
            </w:tcBorders>
            <w:shd w:val="clear" w:color="auto" w:fill="F4F8F5"/>
            <w:vAlign w:val="center"/>
          </w:tcPr>
          <w:p w14:paraId="3EA00DE0" w14:textId="77777777" w:rsidR="00997065" w:rsidRDefault="00497D67">
            <w:pPr>
              <w:spacing w:before="20" w:after="20"/>
            </w:pPr>
            <w:r>
              <w:rPr>
                <w:sz w:val="24"/>
              </w:rPr>
              <w:t>Records offline or configured LLM mode</w:t>
            </w:r>
          </w:p>
        </w:tc>
      </w:tr>
      <w:tr w:rsidR="00997065" w14:paraId="320E9FCA" w14:textId="77777777">
        <w:trPr>
          <w:jc w:val="center"/>
        </w:trPr>
        <w:tc>
          <w:tcPr>
            <w:tcW w:w="4997" w:type="dxa"/>
            <w:tcBorders>
              <w:top w:val="single" w:sz="6" w:space="0" w:color="D7E4DD"/>
              <w:left w:val="single" w:sz="6" w:space="0" w:color="D7E4DD"/>
              <w:bottom w:val="single" w:sz="6" w:space="0" w:color="D7E4DD"/>
              <w:right w:val="single" w:sz="6" w:space="0" w:color="D7E4DD"/>
            </w:tcBorders>
            <w:shd w:val="clear" w:color="auto" w:fill="FFFFFF"/>
            <w:vAlign w:val="center"/>
          </w:tcPr>
          <w:p w14:paraId="685ED4E8" w14:textId="77777777" w:rsidR="00997065" w:rsidRDefault="00497D67">
            <w:pPr>
              <w:spacing w:before="20" w:after="20"/>
            </w:pPr>
            <w:r>
              <w:rPr>
                <w:sz w:val="24"/>
              </w:rPr>
              <w:t>evidence_ids</w:t>
            </w:r>
          </w:p>
        </w:tc>
        <w:tc>
          <w:tcPr>
            <w:tcW w:w="4997" w:type="dxa"/>
            <w:tcBorders>
              <w:top w:val="single" w:sz="6" w:space="0" w:color="D7E4DD"/>
              <w:left w:val="single" w:sz="6" w:space="0" w:color="D7E4DD"/>
              <w:bottom w:val="single" w:sz="6" w:space="0" w:color="D7E4DD"/>
              <w:right w:val="single" w:sz="6" w:space="0" w:color="D7E4DD"/>
            </w:tcBorders>
            <w:shd w:val="clear" w:color="auto" w:fill="FFFFFF"/>
            <w:vAlign w:val="center"/>
          </w:tcPr>
          <w:p w14:paraId="191ABE99" w14:textId="77777777" w:rsidR="00997065" w:rsidRDefault="00497D67">
            <w:pPr>
              <w:spacing w:before="20" w:after="20"/>
            </w:pPr>
            <w:r>
              <w:rPr>
                <w:sz w:val="24"/>
              </w:rPr>
              <w:t>Identifies evidence referenced by the answer</w:t>
            </w:r>
          </w:p>
        </w:tc>
      </w:tr>
      <w:tr w:rsidR="00997065" w14:paraId="686CD339" w14:textId="77777777">
        <w:trPr>
          <w:jc w:val="center"/>
        </w:trPr>
        <w:tc>
          <w:tcPr>
            <w:tcW w:w="4997" w:type="dxa"/>
            <w:tcBorders>
              <w:top w:val="single" w:sz="6" w:space="0" w:color="D7E4DD"/>
              <w:left w:val="single" w:sz="6" w:space="0" w:color="D7E4DD"/>
              <w:bottom w:val="single" w:sz="6" w:space="0" w:color="D7E4DD"/>
              <w:right w:val="single" w:sz="6" w:space="0" w:color="D7E4DD"/>
            </w:tcBorders>
            <w:shd w:val="clear" w:color="auto" w:fill="F4F8F5"/>
            <w:vAlign w:val="center"/>
          </w:tcPr>
          <w:p w14:paraId="7614E8AA" w14:textId="77777777" w:rsidR="00997065" w:rsidRDefault="00497D67">
            <w:pPr>
              <w:spacing w:before="20" w:after="20"/>
            </w:pPr>
            <w:r>
              <w:rPr>
                <w:sz w:val="24"/>
              </w:rPr>
              <w:t>masked_fields</w:t>
            </w:r>
          </w:p>
        </w:tc>
        <w:tc>
          <w:tcPr>
            <w:tcW w:w="4997" w:type="dxa"/>
            <w:tcBorders>
              <w:top w:val="single" w:sz="6" w:space="0" w:color="D7E4DD"/>
              <w:left w:val="single" w:sz="6" w:space="0" w:color="D7E4DD"/>
              <w:bottom w:val="single" w:sz="6" w:space="0" w:color="D7E4DD"/>
              <w:right w:val="single" w:sz="6" w:space="0" w:color="D7E4DD"/>
            </w:tcBorders>
            <w:shd w:val="clear" w:color="auto" w:fill="F4F8F5"/>
            <w:vAlign w:val="center"/>
          </w:tcPr>
          <w:p w14:paraId="1B2EAB42" w14:textId="77777777" w:rsidR="00997065" w:rsidRDefault="00497D67">
            <w:pPr>
              <w:spacing w:before="20" w:after="20"/>
            </w:pPr>
            <w:r>
              <w:rPr>
                <w:sz w:val="24"/>
              </w:rPr>
              <w:t>Counts fields withheld from the evidence pack</w:t>
            </w:r>
          </w:p>
        </w:tc>
      </w:tr>
      <w:tr w:rsidR="00997065" w14:paraId="12EBB9BB" w14:textId="77777777">
        <w:trPr>
          <w:jc w:val="center"/>
        </w:trPr>
        <w:tc>
          <w:tcPr>
            <w:tcW w:w="4997" w:type="dxa"/>
            <w:tcBorders>
              <w:top w:val="single" w:sz="6" w:space="0" w:color="D7E4DD"/>
              <w:left w:val="single" w:sz="6" w:space="0" w:color="D7E4DD"/>
              <w:bottom w:val="single" w:sz="6" w:space="0" w:color="D7E4DD"/>
              <w:right w:val="single" w:sz="6" w:space="0" w:color="D7E4DD"/>
            </w:tcBorders>
            <w:shd w:val="clear" w:color="auto" w:fill="FFFFFF"/>
            <w:vAlign w:val="center"/>
          </w:tcPr>
          <w:p w14:paraId="31F02027" w14:textId="77777777" w:rsidR="00997065" w:rsidRDefault="00497D67">
            <w:pPr>
              <w:spacing w:before="20" w:after="20"/>
            </w:pPr>
            <w:r>
              <w:rPr>
                <w:sz w:val="24"/>
              </w:rPr>
              <w:t>external_call</w:t>
            </w:r>
          </w:p>
        </w:tc>
        <w:tc>
          <w:tcPr>
            <w:tcW w:w="4997" w:type="dxa"/>
            <w:tcBorders>
              <w:top w:val="single" w:sz="6" w:space="0" w:color="D7E4DD"/>
              <w:left w:val="single" w:sz="6" w:space="0" w:color="D7E4DD"/>
              <w:bottom w:val="single" w:sz="6" w:space="0" w:color="D7E4DD"/>
              <w:right w:val="single" w:sz="6" w:space="0" w:color="D7E4DD"/>
            </w:tcBorders>
            <w:shd w:val="clear" w:color="auto" w:fill="FFFFFF"/>
            <w:vAlign w:val="center"/>
          </w:tcPr>
          <w:p w14:paraId="640E47F7" w14:textId="77777777" w:rsidR="00997065" w:rsidRDefault="00497D67">
            <w:pPr>
              <w:spacing w:before="20" w:after="20"/>
            </w:pPr>
            <w:r>
              <w:rPr>
                <w:sz w:val="24"/>
              </w:rPr>
              <w:t>Indicates whether a configured external endpoint was called</w:t>
            </w:r>
          </w:p>
        </w:tc>
      </w:tr>
      <w:tr w:rsidR="00997065" w14:paraId="0C13550A" w14:textId="77777777">
        <w:trPr>
          <w:jc w:val="center"/>
        </w:trPr>
        <w:tc>
          <w:tcPr>
            <w:tcW w:w="4997" w:type="dxa"/>
            <w:tcBorders>
              <w:top w:val="single" w:sz="6" w:space="0" w:color="D7E4DD"/>
              <w:left w:val="single" w:sz="6" w:space="0" w:color="D7E4DD"/>
              <w:bottom w:val="single" w:sz="6" w:space="0" w:color="D7E4DD"/>
              <w:right w:val="single" w:sz="6" w:space="0" w:color="D7E4DD"/>
            </w:tcBorders>
            <w:shd w:val="clear" w:color="auto" w:fill="F4F8F5"/>
            <w:vAlign w:val="center"/>
          </w:tcPr>
          <w:p w14:paraId="7840FD18" w14:textId="77777777" w:rsidR="00997065" w:rsidRDefault="00497D67">
            <w:pPr>
              <w:spacing w:before="20" w:after="20"/>
            </w:pPr>
            <w:r>
              <w:rPr>
                <w:sz w:val="24"/>
              </w:rPr>
              <w:t>validator_result</w:t>
            </w:r>
          </w:p>
        </w:tc>
        <w:tc>
          <w:tcPr>
            <w:tcW w:w="4997" w:type="dxa"/>
            <w:tcBorders>
              <w:top w:val="single" w:sz="6" w:space="0" w:color="D7E4DD"/>
              <w:left w:val="single" w:sz="6" w:space="0" w:color="D7E4DD"/>
              <w:bottom w:val="single" w:sz="6" w:space="0" w:color="D7E4DD"/>
              <w:right w:val="single" w:sz="6" w:space="0" w:color="D7E4DD"/>
            </w:tcBorders>
            <w:shd w:val="clear" w:color="auto" w:fill="F4F8F5"/>
            <w:vAlign w:val="center"/>
          </w:tcPr>
          <w:p w14:paraId="703A6A77" w14:textId="77777777" w:rsidR="00997065" w:rsidRDefault="00497D67">
            <w:pPr>
              <w:spacing w:before="20" w:after="20"/>
            </w:pPr>
            <w:r>
              <w:rPr>
                <w:sz w:val="24"/>
              </w:rPr>
              <w:t>Records citation/number validation or safe fallback status</w:t>
            </w:r>
          </w:p>
        </w:tc>
      </w:tr>
    </w:tbl>
    <w:p w14:paraId="5CB21335" w14:textId="77777777" w:rsidR="00997065" w:rsidRDefault="00997065">
      <w:pPr>
        <w:spacing w:after="0"/>
      </w:pPr>
    </w:p>
    <w:tbl>
      <w:tblPr>
        <w:tblStyle w:val="TableGrid"/>
        <w:tblW w:w="0" w:type="auto"/>
        <w:jc w:val="center"/>
        <w:tblLook w:val="04A0" w:firstRow="1" w:lastRow="0" w:firstColumn="1" w:lastColumn="0" w:noHBand="0" w:noVBand="1"/>
      </w:tblPr>
      <w:tblGrid>
        <w:gridCol w:w="3331"/>
        <w:gridCol w:w="3331"/>
        <w:gridCol w:w="3331"/>
      </w:tblGrid>
      <w:tr w:rsidR="00997065" w14:paraId="55C3E521" w14:textId="77777777">
        <w:trPr>
          <w:tblHeader/>
          <w:jc w:val="center"/>
        </w:trPr>
        <w:tc>
          <w:tcPr>
            <w:tcW w:w="3331" w:type="dxa"/>
            <w:tcBorders>
              <w:top w:val="single" w:sz="5" w:space="0" w:color="D7E4DD"/>
              <w:left w:val="single" w:sz="5" w:space="0" w:color="D7E4DD"/>
              <w:bottom w:val="single" w:sz="5" w:space="0" w:color="D7E4DD"/>
              <w:right w:val="single" w:sz="5" w:space="0" w:color="D7E4DD"/>
            </w:tcBorders>
            <w:shd w:val="clear" w:color="auto" w:fill="166B52"/>
            <w:vAlign w:val="center"/>
          </w:tcPr>
          <w:p w14:paraId="3697C966" w14:textId="77777777" w:rsidR="00997065" w:rsidRDefault="00497D67">
            <w:pPr>
              <w:spacing w:before="20" w:after="20"/>
            </w:pPr>
            <w:r>
              <w:rPr>
                <w:b/>
                <w:color w:val="FFFFFF"/>
                <w:sz w:val="24"/>
              </w:rPr>
              <w:t>Evidence family</w:t>
            </w:r>
          </w:p>
        </w:tc>
        <w:tc>
          <w:tcPr>
            <w:tcW w:w="3331" w:type="dxa"/>
            <w:tcBorders>
              <w:top w:val="single" w:sz="5" w:space="0" w:color="D7E4DD"/>
              <w:left w:val="single" w:sz="5" w:space="0" w:color="D7E4DD"/>
              <w:bottom w:val="single" w:sz="5" w:space="0" w:color="D7E4DD"/>
              <w:right w:val="single" w:sz="5" w:space="0" w:color="D7E4DD"/>
            </w:tcBorders>
            <w:shd w:val="clear" w:color="auto" w:fill="166B52"/>
            <w:vAlign w:val="center"/>
          </w:tcPr>
          <w:p w14:paraId="78160C2B" w14:textId="77777777" w:rsidR="00997065" w:rsidRDefault="00497D67">
            <w:pPr>
              <w:spacing w:before="20" w:after="20"/>
            </w:pPr>
            <w:r>
              <w:rPr>
                <w:b/>
                <w:color w:val="FFFFFF"/>
                <w:sz w:val="24"/>
              </w:rPr>
              <w:t>What is recomputed</w:t>
            </w:r>
          </w:p>
        </w:tc>
        <w:tc>
          <w:tcPr>
            <w:tcW w:w="3331" w:type="dxa"/>
            <w:tcBorders>
              <w:top w:val="single" w:sz="5" w:space="0" w:color="D7E4DD"/>
              <w:left w:val="single" w:sz="5" w:space="0" w:color="D7E4DD"/>
              <w:bottom w:val="single" w:sz="5" w:space="0" w:color="D7E4DD"/>
              <w:right w:val="single" w:sz="5" w:space="0" w:color="D7E4DD"/>
            </w:tcBorders>
            <w:shd w:val="clear" w:color="auto" w:fill="166B52"/>
            <w:vAlign w:val="center"/>
          </w:tcPr>
          <w:p w14:paraId="00DDBDB8" w14:textId="77777777" w:rsidR="00997065" w:rsidRDefault="00497D67">
            <w:pPr>
              <w:spacing w:before="20" w:after="20"/>
            </w:pPr>
            <w:r>
              <w:rPr>
                <w:b/>
                <w:color w:val="FFFFFF"/>
                <w:sz w:val="24"/>
              </w:rPr>
              <w:t>Masking / use boundary</w:t>
            </w:r>
          </w:p>
        </w:tc>
      </w:tr>
      <w:tr w:rsidR="00997065" w14:paraId="20778DBC" w14:textId="77777777">
        <w:trPr>
          <w:jc w:val="center"/>
        </w:trPr>
        <w:tc>
          <w:tcPr>
            <w:tcW w:w="3331" w:type="dxa"/>
            <w:tcBorders>
              <w:top w:val="single" w:sz="5" w:space="0" w:color="D7E4DD"/>
              <w:left w:val="single" w:sz="5" w:space="0" w:color="D7E4DD"/>
              <w:bottom w:val="single" w:sz="5" w:space="0" w:color="D7E4DD"/>
              <w:right w:val="single" w:sz="5" w:space="0" w:color="D7E4DD"/>
            </w:tcBorders>
            <w:shd w:val="clear" w:color="auto" w:fill="F4F8F5"/>
            <w:vAlign w:val="center"/>
          </w:tcPr>
          <w:p w14:paraId="573A000D" w14:textId="77777777" w:rsidR="00997065" w:rsidRDefault="00497D67">
            <w:pPr>
              <w:spacing w:before="20" w:after="20"/>
            </w:pPr>
            <w:r>
              <w:rPr>
                <w:sz w:val="24"/>
              </w:rPr>
              <w:t>Forecast</w:t>
            </w:r>
          </w:p>
        </w:tc>
        <w:tc>
          <w:tcPr>
            <w:tcW w:w="3331" w:type="dxa"/>
            <w:tcBorders>
              <w:top w:val="single" w:sz="5" w:space="0" w:color="D7E4DD"/>
              <w:left w:val="single" w:sz="5" w:space="0" w:color="D7E4DD"/>
              <w:bottom w:val="single" w:sz="5" w:space="0" w:color="D7E4DD"/>
              <w:right w:val="single" w:sz="5" w:space="0" w:color="D7E4DD"/>
            </w:tcBorders>
            <w:shd w:val="clear" w:color="auto" w:fill="F4F8F5"/>
            <w:vAlign w:val="center"/>
          </w:tcPr>
          <w:p w14:paraId="6720C897" w14:textId="77777777" w:rsidR="00997065" w:rsidRDefault="00497D67">
            <w:pPr>
              <w:spacing w:before="20" w:after="20"/>
            </w:pPr>
            <w:r>
              <w:rPr>
                <w:sz w:val="24"/>
              </w:rPr>
              <w:t>Shortage week, funding gap, balances, reserve and uncertainty summaries</w:t>
            </w:r>
          </w:p>
        </w:tc>
        <w:tc>
          <w:tcPr>
            <w:tcW w:w="3331" w:type="dxa"/>
            <w:tcBorders>
              <w:top w:val="single" w:sz="5" w:space="0" w:color="D7E4DD"/>
              <w:left w:val="single" w:sz="5" w:space="0" w:color="D7E4DD"/>
              <w:bottom w:val="single" w:sz="5" w:space="0" w:color="D7E4DD"/>
              <w:right w:val="single" w:sz="5" w:space="0" w:color="D7E4DD"/>
            </w:tcBorders>
            <w:shd w:val="clear" w:color="auto" w:fill="F4F8F5"/>
            <w:vAlign w:val="center"/>
          </w:tcPr>
          <w:p w14:paraId="6FBC28D6" w14:textId="77777777" w:rsidR="00997065" w:rsidRDefault="00497D67">
            <w:pPr>
              <w:spacing w:before="20" w:after="20"/>
            </w:pPr>
            <w:r>
              <w:rPr>
                <w:sz w:val="24"/>
              </w:rPr>
              <w:t>Computed numbers; customer/supplier names and source free text excluded</w:t>
            </w:r>
          </w:p>
        </w:tc>
      </w:tr>
      <w:tr w:rsidR="00997065" w14:paraId="6FC03A32" w14:textId="77777777">
        <w:trPr>
          <w:jc w:val="center"/>
        </w:trPr>
        <w:tc>
          <w:tcPr>
            <w:tcW w:w="3331" w:type="dxa"/>
            <w:tcBorders>
              <w:top w:val="single" w:sz="5" w:space="0" w:color="D7E4DD"/>
              <w:left w:val="single" w:sz="5" w:space="0" w:color="D7E4DD"/>
              <w:bottom w:val="single" w:sz="5" w:space="0" w:color="D7E4DD"/>
              <w:right w:val="single" w:sz="5" w:space="0" w:color="D7E4DD"/>
            </w:tcBorders>
            <w:shd w:val="clear" w:color="auto" w:fill="FFFFFF"/>
            <w:vAlign w:val="center"/>
          </w:tcPr>
          <w:p w14:paraId="25851FAB" w14:textId="77777777" w:rsidR="00997065" w:rsidRDefault="00497D67">
            <w:pPr>
              <w:spacing w:before="20" w:after="20"/>
            </w:pPr>
            <w:r>
              <w:rPr>
                <w:sz w:val="24"/>
              </w:rPr>
              <w:t>Decision Lab</w:t>
            </w:r>
          </w:p>
        </w:tc>
        <w:tc>
          <w:tcPr>
            <w:tcW w:w="3331" w:type="dxa"/>
            <w:tcBorders>
              <w:top w:val="single" w:sz="5" w:space="0" w:color="D7E4DD"/>
              <w:left w:val="single" w:sz="5" w:space="0" w:color="D7E4DD"/>
              <w:bottom w:val="single" w:sz="5" w:space="0" w:color="D7E4DD"/>
              <w:right w:val="single" w:sz="5" w:space="0" w:color="D7E4DD"/>
            </w:tcBorders>
            <w:shd w:val="clear" w:color="auto" w:fill="FFFFFF"/>
            <w:vAlign w:val="center"/>
          </w:tcPr>
          <w:p w14:paraId="7F1CA9B3" w14:textId="77777777" w:rsidR="00997065" w:rsidRDefault="00497D67">
            <w:pPr>
              <w:spacing w:before="20" w:after="20"/>
            </w:pPr>
            <w:r>
              <w:rPr>
                <w:sz w:val="24"/>
              </w:rPr>
              <w:t>Options, cost, balance path, feasible flag, gap and risks</w:t>
            </w:r>
          </w:p>
        </w:tc>
        <w:tc>
          <w:tcPr>
            <w:tcW w:w="3331" w:type="dxa"/>
            <w:tcBorders>
              <w:top w:val="single" w:sz="5" w:space="0" w:color="D7E4DD"/>
              <w:left w:val="single" w:sz="5" w:space="0" w:color="D7E4DD"/>
              <w:bottom w:val="single" w:sz="5" w:space="0" w:color="D7E4DD"/>
              <w:right w:val="single" w:sz="5" w:space="0" w:color="D7E4DD"/>
            </w:tcBorders>
            <w:shd w:val="clear" w:color="auto" w:fill="FFFFFF"/>
            <w:vAlign w:val="center"/>
          </w:tcPr>
          <w:p w14:paraId="09A73C48" w14:textId="77777777" w:rsidR="00997065" w:rsidRDefault="00497D67">
            <w:pPr>
              <w:spacing w:before="20" w:after="20"/>
            </w:pPr>
            <w:r>
              <w:rPr>
                <w:sz w:val="24"/>
              </w:rPr>
              <w:t>Assumptions remain HYPOTHETICAL; no acceptance claim</w:t>
            </w:r>
          </w:p>
        </w:tc>
      </w:tr>
      <w:tr w:rsidR="00997065" w14:paraId="19C34BF2" w14:textId="77777777">
        <w:trPr>
          <w:jc w:val="center"/>
        </w:trPr>
        <w:tc>
          <w:tcPr>
            <w:tcW w:w="3331" w:type="dxa"/>
            <w:tcBorders>
              <w:top w:val="single" w:sz="5" w:space="0" w:color="D7E4DD"/>
              <w:left w:val="single" w:sz="5" w:space="0" w:color="D7E4DD"/>
              <w:bottom w:val="single" w:sz="5" w:space="0" w:color="D7E4DD"/>
              <w:right w:val="single" w:sz="5" w:space="0" w:color="D7E4DD"/>
            </w:tcBorders>
            <w:shd w:val="clear" w:color="auto" w:fill="F4F8F5"/>
            <w:vAlign w:val="center"/>
          </w:tcPr>
          <w:p w14:paraId="3C85782A" w14:textId="77777777" w:rsidR="00997065" w:rsidRDefault="00497D67">
            <w:pPr>
              <w:spacing w:before="20" w:after="20"/>
            </w:pPr>
            <w:r>
              <w:rPr>
                <w:sz w:val="24"/>
              </w:rPr>
              <w:t>Analysis / readiness</w:t>
            </w:r>
          </w:p>
        </w:tc>
        <w:tc>
          <w:tcPr>
            <w:tcW w:w="3331" w:type="dxa"/>
            <w:tcBorders>
              <w:top w:val="single" w:sz="5" w:space="0" w:color="D7E4DD"/>
              <w:left w:val="single" w:sz="5" w:space="0" w:color="D7E4DD"/>
              <w:bottom w:val="single" w:sz="5" w:space="0" w:color="D7E4DD"/>
              <w:right w:val="single" w:sz="5" w:space="0" w:color="D7E4DD"/>
            </w:tcBorders>
            <w:shd w:val="clear" w:color="auto" w:fill="F4F8F5"/>
            <w:vAlign w:val="center"/>
          </w:tcPr>
          <w:p w14:paraId="675FC197" w14:textId="77777777" w:rsidR="00997065" w:rsidRDefault="00497D67">
            <w:pPr>
              <w:spacing w:before="20" w:after="20"/>
            </w:pPr>
            <w:r>
              <w:rPr>
                <w:sz w:val="24"/>
              </w:rPr>
              <w:t>Historical ratios or missing-data reasons and readiness components</w:t>
            </w:r>
          </w:p>
        </w:tc>
        <w:tc>
          <w:tcPr>
            <w:tcW w:w="3331" w:type="dxa"/>
            <w:tcBorders>
              <w:top w:val="single" w:sz="5" w:space="0" w:color="D7E4DD"/>
              <w:left w:val="single" w:sz="5" w:space="0" w:color="D7E4DD"/>
              <w:bottom w:val="single" w:sz="5" w:space="0" w:color="D7E4DD"/>
              <w:right w:val="single" w:sz="5" w:space="0" w:color="D7E4DD"/>
            </w:tcBorders>
            <w:shd w:val="clear" w:color="auto" w:fill="F4F8F5"/>
            <w:vAlign w:val="center"/>
          </w:tcPr>
          <w:p w14:paraId="5F92B1FE" w14:textId="77777777" w:rsidR="00997065" w:rsidRDefault="00497D67">
            <w:pPr>
              <w:spacing w:before="20" w:after="20"/>
            </w:pPr>
            <w:r>
              <w:rPr>
                <w:sz w:val="24"/>
              </w:rPr>
              <w:t>Read-only evidence; not a loan-approval result</w:t>
            </w:r>
          </w:p>
        </w:tc>
      </w:tr>
      <w:tr w:rsidR="00997065" w14:paraId="10ADB8D4" w14:textId="77777777">
        <w:trPr>
          <w:jc w:val="center"/>
        </w:trPr>
        <w:tc>
          <w:tcPr>
            <w:tcW w:w="3331" w:type="dxa"/>
            <w:tcBorders>
              <w:top w:val="single" w:sz="5" w:space="0" w:color="D7E4DD"/>
              <w:left w:val="single" w:sz="5" w:space="0" w:color="D7E4DD"/>
              <w:bottom w:val="single" w:sz="5" w:space="0" w:color="D7E4DD"/>
              <w:right w:val="single" w:sz="5" w:space="0" w:color="D7E4DD"/>
            </w:tcBorders>
            <w:shd w:val="clear" w:color="auto" w:fill="FFFFFF"/>
            <w:vAlign w:val="center"/>
          </w:tcPr>
          <w:p w14:paraId="74454140" w14:textId="77777777" w:rsidR="00997065" w:rsidRDefault="00497D67">
            <w:pPr>
              <w:spacing w:before="20" w:after="20"/>
            </w:pPr>
            <w:r>
              <w:rPr>
                <w:sz w:val="24"/>
              </w:rPr>
              <w:t>Receipt</w:t>
            </w:r>
          </w:p>
        </w:tc>
        <w:tc>
          <w:tcPr>
            <w:tcW w:w="3331" w:type="dxa"/>
            <w:tcBorders>
              <w:top w:val="single" w:sz="5" w:space="0" w:color="D7E4DD"/>
              <w:left w:val="single" w:sz="5" w:space="0" w:color="D7E4DD"/>
              <w:bottom w:val="single" w:sz="5" w:space="0" w:color="D7E4DD"/>
              <w:right w:val="single" w:sz="5" w:space="0" w:color="D7E4DD"/>
            </w:tcBorders>
            <w:shd w:val="clear" w:color="auto" w:fill="FFFFFF"/>
            <w:vAlign w:val="center"/>
          </w:tcPr>
          <w:p w14:paraId="1FE53940" w14:textId="77777777" w:rsidR="00997065" w:rsidRDefault="00497D67">
            <w:pPr>
              <w:spacing w:before="20" w:after="20"/>
            </w:pPr>
            <w:r>
              <w:rPr>
                <w:sz w:val="24"/>
              </w:rPr>
              <w:t>Mode, evidence IDs, masked field count, external-call flag, validator result</w:t>
            </w:r>
          </w:p>
        </w:tc>
        <w:tc>
          <w:tcPr>
            <w:tcW w:w="3331" w:type="dxa"/>
            <w:tcBorders>
              <w:top w:val="single" w:sz="5" w:space="0" w:color="D7E4DD"/>
              <w:left w:val="single" w:sz="5" w:space="0" w:color="D7E4DD"/>
              <w:bottom w:val="single" w:sz="5" w:space="0" w:color="D7E4DD"/>
              <w:right w:val="single" w:sz="5" w:space="0" w:color="D7E4DD"/>
            </w:tcBorders>
            <w:shd w:val="clear" w:color="auto" w:fill="FFFFFF"/>
            <w:vAlign w:val="center"/>
          </w:tcPr>
          <w:p w14:paraId="37D20F9D" w14:textId="77777777" w:rsidR="00997065" w:rsidRDefault="00497D67">
            <w:pPr>
              <w:spacing w:before="20" w:after="20"/>
            </w:pPr>
            <w:r>
              <w:rPr>
                <w:sz w:val="24"/>
              </w:rPr>
              <w:t>Audit receipt identifies provenance; raw question is represented by SHA-256 hash</w:t>
            </w:r>
          </w:p>
        </w:tc>
      </w:tr>
    </w:tbl>
    <w:p w14:paraId="739858BB" w14:textId="77777777" w:rsidR="00997065" w:rsidRDefault="00497D67">
      <w:pPr>
        <w:spacing w:after="160"/>
        <w:jc w:val="center"/>
      </w:pPr>
      <w:r>
        <w:rPr>
          <w:i/>
          <w:color w:val="596963"/>
          <w:sz w:val="24"/>
        </w:rPr>
        <w:t>Table 10. Copilot evidence pack and receipt boundaries.</w:t>
      </w:r>
    </w:p>
    <w:p w14:paraId="3690F538" w14:textId="77777777" w:rsidR="00997065" w:rsidRDefault="00497D67">
      <w:pPr>
        <w:spacing w:after="120" w:line="269" w:lineRule="auto"/>
      </w:pPr>
      <w:r>
        <w:rPr>
          <w:sz w:val="24"/>
        </w:rPr>
        <w:t xml:space="preserve">Supported intents are deliberately bounded: cash shortage, funding gap, plan comparison, read-only customer-delay what-if, data quality, and readiness. Unsupported questions return a missing-data response rather than open-ended financial advice. Citation validation requires every cited ID to exist </w:t>
      </w:r>
      <w:r>
        <w:rPr>
          <w:sz w:val="24"/>
        </w:rPr>
        <w:lastRenderedPageBreak/>
        <w:t>in the current pack, and numeric validation rejects unsupported numeric literals. When a configured provider returns malformed or ungrounded output, the service falls back to deterministic offline language.</w:t>
      </w:r>
    </w:p>
    <w:tbl>
      <w:tblPr>
        <w:tblStyle w:val="TableGrid"/>
        <w:tblW w:w="0" w:type="auto"/>
        <w:jc w:val="center"/>
        <w:tblLook w:val="04A0" w:firstRow="1" w:lastRow="0" w:firstColumn="1" w:lastColumn="0" w:noHBand="0" w:noVBand="1"/>
      </w:tblPr>
      <w:tblGrid>
        <w:gridCol w:w="3331"/>
        <w:gridCol w:w="3331"/>
        <w:gridCol w:w="3331"/>
      </w:tblGrid>
      <w:tr w:rsidR="00997065" w14:paraId="0C15811B" w14:textId="77777777">
        <w:trPr>
          <w:tblHeader/>
          <w:jc w:val="center"/>
        </w:trPr>
        <w:tc>
          <w:tcPr>
            <w:tcW w:w="3331" w:type="dxa"/>
            <w:tcBorders>
              <w:top w:val="single" w:sz="5" w:space="0" w:color="D7E4DD"/>
              <w:left w:val="single" w:sz="5" w:space="0" w:color="D7E4DD"/>
              <w:bottom w:val="single" w:sz="5" w:space="0" w:color="D7E4DD"/>
              <w:right w:val="single" w:sz="5" w:space="0" w:color="D7E4DD"/>
            </w:tcBorders>
            <w:shd w:val="clear" w:color="auto" w:fill="166B52"/>
            <w:vAlign w:val="center"/>
          </w:tcPr>
          <w:p w14:paraId="721C45C6" w14:textId="77777777" w:rsidR="00997065" w:rsidRDefault="00497D67">
            <w:pPr>
              <w:spacing w:before="20" w:after="20"/>
            </w:pPr>
            <w:r>
              <w:rPr>
                <w:b/>
                <w:color w:val="FFFFFF"/>
                <w:sz w:val="24"/>
              </w:rPr>
              <w:t>Draft type</w:t>
            </w:r>
          </w:p>
        </w:tc>
        <w:tc>
          <w:tcPr>
            <w:tcW w:w="3331" w:type="dxa"/>
            <w:tcBorders>
              <w:top w:val="single" w:sz="5" w:space="0" w:color="D7E4DD"/>
              <w:left w:val="single" w:sz="5" w:space="0" w:color="D7E4DD"/>
              <w:bottom w:val="single" w:sz="5" w:space="0" w:color="D7E4DD"/>
              <w:right w:val="single" w:sz="5" w:space="0" w:color="D7E4DD"/>
            </w:tcBorders>
            <w:shd w:val="clear" w:color="auto" w:fill="166B52"/>
            <w:vAlign w:val="center"/>
          </w:tcPr>
          <w:p w14:paraId="41ADB45E" w14:textId="77777777" w:rsidR="00997065" w:rsidRDefault="00497D67">
            <w:pPr>
              <w:spacing w:before="20" w:after="20"/>
            </w:pPr>
            <w:r>
              <w:rPr>
                <w:b/>
                <w:color w:val="FFFFFF"/>
                <w:sz w:val="24"/>
              </w:rPr>
              <w:t>Typical payload</w:t>
            </w:r>
          </w:p>
        </w:tc>
        <w:tc>
          <w:tcPr>
            <w:tcW w:w="3331" w:type="dxa"/>
            <w:tcBorders>
              <w:top w:val="single" w:sz="5" w:space="0" w:color="D7E4DD"/>
              <w:left w:val="single" w:sz="5" w:space="0" w:color="D7E4DD"/>
              <w:bottom w:val="single" w:sz="5" w:space="0" w:color="D7E4DD"/>
              <w:right w:val="single" w:sz="5" w:space="0" w:color="D7E4DD"/>
            </w:tcBorders>
            <w:shd w:val="clear" w:color="auto" w:fill="166B52"/>
            <w:vAlign w:val="center"/>
          </w:tcPr>
          <w:p w14:paraId="3FED424E" w14:textId="77777777" w:rsidR="00997065" w:rsidRDefault="00497D67">
            <w:pPr>
              <w:spacing w:before="20" w:after="20"/>
            </w:pPr>
            <w:r>
              <w:rPr>
                <w:b/>
                <w:color w:val="FFFFFF"/>
                <w:sz w:val="24"/>
              </w:rPr>
              <w:t>Allowed workflow</w:t>
            </w:r>
          </w:p>
        </w:tc>
      </w:tr>
      <w:tr w:rsidR="00997065" w14:paraId="6A70D44E" w14:textId="77777777">
        <w:trPr>
          <w:jc w:val="center"/>
        </w:trPr>
        <w:tc>
          <w:tcPr>
            <w:tcW w:w="3331" w:type="dxa"/>
            <w:tcBorders>
              <w:top w:val="single" w:sz="5" w:space="0" w:color="D7E4DD"/>
              <w:left w:val="single" w:sz="5" w:space="0" w:color="D7E4DD"/>
              <w:bottom w:val="single" w:sz="5" w:space="0" w:color="D7E4DD"/>
              <w:right w:val="single" w:sz="5" w:space="0" w:color="D7E4DD"/>
            </w:tcBorders>
            <w:shd w:val="clear" w:color="auto" w:fill="F4F8F5"/>
            <w:vAlign w:val="center"/>
          </w:tcPr>
          <w:p w14:paraId="3006A953" w14:textId="77777777" w:rsidR="00997065" w:rsidRDefault="00497D67">
            <w:pPr>
              <w:spacing w:before="20" w:after="20"/>
            </w:pPr>
            <w:r>
              <w:rPr>
                <w:sz w:val="24"/>
              </w:rPr>
              <w:t>Collection reminder</w:t>
            </w:r>
          </w:p>
        </w:tc>
        <w:tc>
          <w:tcPr>
            <w:tcW w:w="3331" w:type="dxa"/>
            <w:tcBorders>
              <w:top w:val="single" w:sz="5" w:space="0" w:color="D7E4DD"/>
              <w:left w:val="single" w:sz="5" w:space="0" w:color="D7E4DD"/>
              <w:bottom w:val="single" w:sz="5" w:space="0" w:color="D7E4DD"/>
              <w:right w:val="single" w:sz="5" w:space="0" w:color="D7E4DD"/>
            </w:tcBorders>
            <w:shd w:val="clear" w:color="auto" w:fill="F4F8F5"/>
            <w:vAlign w:val="center"/>
          </w:tcPr>
          <w:p w14:paraId="0A9A97B1" w14:textId="77777777" w:rsidR="00997065" w:rsidRDefault="00497D67">
            <w:pPr>
              <w:spacing w:before="20" w:after="20"/>
            </w:pPr>
            <w:r>
              <w:rPr>
                <w:sz w:val="24"/>
              </w:rPr>
              <w:t>Synthetic customer/invoice reference and amount</w:t>
            </w:r>
          </w:p>
        </w:tc>
        <w:tc>
          <w:tcPr>
            <w:tcW w:w="3331" w:type="dxa"/>
            <w:tcBorders>
              <w:top w:val="single" w:sz="5" w:space="0" w:color="D7E4DD"/>
              <w:left w:val="single" w:sz="5" w:space="0" w:color="D7E4DD"/>
              <w:bottom w:val="single" w:sz="5" w:space="0" w:color="D7E4DD"/>
              <w:right w:val="single" w:sz="5" w:space="0" w:color="D7E4DD"/>
            </w:tcBorders>
            <w:shd w:val="clear" w:color="auto" w:fill="F4F8F5"/>
            <w:vAlign w:val="center"/>
          </w:tcPr>
          <w:p w14:paraId="67BA202A" w14:textId="77777777" w:rsidR="00997065" w:rsidRDefault="00497D67">
            <w:pPr>
              <w:spacing w:before="20" w:after="20"/>
            </w:pPr>
            <w:r>
              <w:rPr>
                <w:sz w:val="24"/>
              </w:rPr>
              <w:t>finance_ops creates/submits; owner reviews</w:t>
            </w:r>
          </w:p>
        </w:tc>
      </w:tr>
      <w:tr w:rsidR="00997065" w14:paraId="2EDD0F04" w14:textId="77777777">
        <w:trPr>
          <w:jc w:val="center"/>
        </w:trPr>
        <w:tc>
          <w:tcPr>
            <w:tcW w:w="3331" w:type="dxa"/>
            <w:tcBorders>
              <w:top w:val="single" w:sz="5" w:space="0" w:color="D7E4DD"/>
              <w:left w:val="single" w:sz="5" w:space="0" w:color="D7E4DD"/>
              <w:bottom w:val="single" w:sz="5" w:space="0" w:color="D7E4DD"/>
              <w:right w:val="single" w:sz="5" w:space="0" w:color="D7E4DD"/>
            </w:tcBorders>
            <w:shd w:val="clear" w:color="auto" w:fill="FFFFFF"/>
            <w:vAlign w:val="center"/>
          </w:tcPr>
          <w:p w14:paraId="058DA781" w14:textId="77777777" w:rsidR="00997065" w:rsidRDefault="00497D67">
            <w:pPr>
              <w:spacing w:before="20" w:after="20"/>
            </w:pPr>
            <w:r>
              <w:rPr>
                <w:sz w:val="24"/>
              </w:rPr>
              <w:t>Supplier deferral request</w:t>
            </w:r>
          </w:p>
        </w:tc>
        <w:tc>
          <w:tcPr>
            <w:tcW w:w="3331" w:type="dxa"/>
            <w:tcBorders>
              <w:top w:val="single" w:sz="5" w:space="0" w:color="D7E4DD"/>
              <w:left w:val="single" w:sz="5" w:space="0" w:color="D7E4DD"/>
              <w:bottom w:val="single" w:sz="5" w:space="0" w:color="D7E4DD"/>
              <w:right w:val="single" w:sz="5" w:space="0" w:color="D7E4DD"/>
            </w:tcBorders>
            <w:shd w:val="clear" w:color="auto" w:fill="FFFFFF"/>
            <w:vAlign w:val="center"/>
          </w:tcPr>
          <w:p w14:paraId="265FBA4F" w14:textId="77777777" w:rsidR="00997065" w:rsidRDefault="00497D67">
            <w:pPr>
              <w:spacing w:before="20" w:after="20"/>
            </w:pPr>
            <w:r>
              <w:rPr>
                <w:sz w:val="24"/>
              </w:rPr>
              <w:t>Supplier/bill reference and proposed date</w:t>
            </w:r>
          </w:p>
        </w:tc>
        <w:tc>
          <w:tcPr>
            <w:tcW w:w="3331" w:type="dxa"/>
            <w:tcBorders>
              <w:top w:val="single" w:sz="5" w:space="0" w:color="D7E4DD"/>
              <w:left w:val="single" w:sz="5" w:space="0" w:color="D7E4DD"/>
              <w:bottom w:val="single" w:sz="5" w:space="0" w:color="D7E4DD"/>
              <w:right w:val="single" w:sz="5" w:space="0" w:color="D7E4DD"/>
            </w:tcBorders>
            <w:shd w:val="clear" w:color="auto" w:fill="FFFFFF"/>
            <w:vAlign w:val="center"/>
          </w:tcPr>
          <w:p w14:paraId="417B3640" w14:textId="77777777" w:rsidR="00997065" w:rsidRDefault="00497D67">
            <w:pPr>
              <w:spacing w:before="20" w:after="20"/>
            </w:pPr>
            <w:r>
              <w:rPr>
                <w:sz w:val="24"/>
              </w:rPr>
              <w:t>finance_ops creates/submits; owner reviews</w:t>
            </w:r>
          </w:p>
        </w:tc>
      </w:tr>
      <w:tr w:rsidR="00997065" w14:paraId="639F0A1B" w14:textId="77777777">
        <w:trPr>
          <w:jc w:val="center"/>
        </w:trPr>
        <w:tc>
          <w:tcPr>
            <w:tcW w:w="3331" w:type="dxa"/>
            <w:tcBorders>
              <w:top w:val="single" w:sz="5" w:space="0" w:color="D7E4DD"/>
              <w:left w:val="single" w:sz="5" w:space="0" w:color="D7E4DD"/>
              <w:bottom w:val="single" w:sz="5" w:space="0" w:color="D7E4DD"/>
              <w:right w:val="single" w:sz="5" w:space="0" w:color="D7E4DD"/>
            </w:tcBorders>
            <w:shd w:val="clear" w:color="auto" w:fill="F4F8F5"/>
            <w:vAlign w:val="center"/>
          </w:tcPr>
          <w:p w14:paraId="7195D727" w14:textId="77777777" w:rsidR="00997065" w:rsidRDefault="00497D67">
            <w:pPr>
              <w:spacing w:before="20" w:after="20"/>
            </w:pPr>
            <w:r>
              <w:rPr>
                <w:sz w:val="24"/>
              </w:rPr>
              <w:t>Financing pack</w:t>
            </w:r>
          </w:p>
        </w:tc>
        <w:tc>
          <w:tcPr>
            <w:tcW w:w="3331" w:type="dxa"/>
            <w:tcBorders>
              <w:top w:val="single" w:sz="5" w:space="0" w:color="D7E4DD"/>
              <w:left w:val="single" w:sz="5" w:space="0" w:color="D7E4DD"/>
              <w:bottom w:val="single" w:sz="5" w:space="0" w:color="D7E4DD"/>
              <w:right w:val="single" w:sz="5" w:space="0" w:color="D7E4DD"/>
            </w:tcBorders>
            <w:shd w:val="clear" w:color="auto" w:fill="F4F8F5"/>
            <w:vAlign w:val="center"/>
          </w:tcPr>
          <w:p w14:paraId="1C6BF70B" w14:textId="77777777" w:rsidR="00997065" w:rsidRDefault="00497D67">
            <w:pPr>
              <w:spacing w:before="20" w:after="20"/>
            </w:pPr>
            <w:r>
              <w:rPr>
                <w:sz w:val="24"/>
              </w:rPr>
              <w:t>Selected illustrative option and supporting values</w:t>
            </w:r>
          </w:p>
        </w:tc>
        <w:tc>
          <w:tcPr>
            <w:tcW w:w="3331" w:type="dxa"/>
            <w:tcBorders>
              <w:top w:val="single" w:sz="5" w:space="0" w:color="D7E4DD"/>
              <w:left w:val="single" w:sz="5" w:space="0" w:color="D7E4DD"/>
              <w:bottom w:val="single" w:sz="5" w:space="0" w:color="D7E4DD"/>
              <w:right w:val="single" w:sz="5" w:space="0" w:color="D7E4DD"/>
            </w:tcBorders>
            <w:shd w:val="clear" w:color="auto" w:fill="F4F8F5"/>
            <w:vAlign w:val="center"/>
          </w:tcPr>
          <w:p w14:paraId="74F12ED8" w14:textId="77777777" w:rsidR="00997065" w:rsidRDefault="00497D67">
            <w:pPr>
              <w:spacing w:before="20" w:after="20"/>
            </w:pPr>
            <w:r>
              <w:rPr>
                <w:sz w:val="24"/>
              </w:rPr>
              <w:t>Draft only; no external application</w:t>
            </w:r>
          </w:p>
        </w:tc>
      </w:tr>
      <w:tr w:rsidR="00997065" w14:paraId="6207647F" w14:textId="77777777">
        <w:trPr>
          <w:jc w:val="center"/>
        </w:trPr>
        <w:tc>
          <w:tcPr>
            <w:tcW w:w="3331" w:type="dxa"/>
            <w:tcBorders>
              <w:top w:val="single" w:sz="5" w:space="0" w:color="D7E4DD"/>
              <w:left w:val="single" w:sz="5" w:space="0" w:color="D7E4DD"/>
              <w:bottom w:val="single" w:sz="5" w:space="0" w:color="D7E4DD"/>
              <w:right w:val="single" w:sz="5" w:space="0" w:color="D7E4DD"/>
            </w:tcBorders>
            <w:shd w:val="clear" w:color="auto" w:fill="FFFFFF"/>
            <w:vAlign w:val="center"/>
          </w:tcPr>
          <w:p w14:paraId="67538E8A" w14:textId="77777777" w:rsidR="00997065" w:rsidRDefault="00497D67">
            <w:pPr>
              <w:spacing w:before="20" w:after="20"/>
            </w:pPr>
            <w:r>
              <w:rPr>
                <w:sz w:val="24"/>
              </w:rPr>
              <w:t>Liquidity Lab proposal</w:t>
            </w:r>
          </w:p>
        </w:tc>
        <w:tc>
          <w:tcPr>
            <w:tcW w:w="3331" w:type="dxa"/>
            <w:tcBorders>
              <w:top w:val="single" w:sz="5" w:space="0" w:color="D7E4DD"/>
              <w:left w:val="single" w:sz="5" w:space="0" w:color="D7E4DD"/>
              <w:bottom w:val="single" w:sz="5" w:space="0" w:color="D7E4DD"/>
              <w:right w:val="single" w:sz="5" w:space="0" w:color="D7E4DD"/>
            </w:tcBorders>
            <w:shd w:val="clear" w:color="auto" w:fill="FFFFFF"/>
            <w:vAlign w:val="center"/>
          </w:tcPr>
          <w:p w14:paraId="0B903115" w14:textId="77777777" w:rsidR="00997065" w:rsidRDefault="00497D67">
            <w:pPr>
              <w:spacing w:before="20" w:after="20"/>
            </w:pPr>
            <w:r>
              <w:rPr>
                <w:sz w:val="24"/>
              </w:rPr>
              <w:t>Scenario, assumptions, plan and evidence references</w:t>
            </w:r>
          </w:p>
        </w:tc>
        <w:tc>
          <w:tcPr>
            <w:tcW w:w="3331" w:type="dxa"/>
            <w:tcBorders>
              <w:top w:val="single" w:sz="5" w:space="0" w:color="D7E4DD"/>
              <w:left w:val="single" w:sz="5" w:space="0" w:color="D7E4DD"/>
              <w:bottom w:val="single" w:sz="5" w:space="0" w:color="D7E4DD"/>
              <w:right w:val="single" w:sz="5" w:space="0" w:color="D7E4DD"/>
            </w:tcBorders>
            <w:shd w:val="clear" w:color="auto" w:fill="FFFFFF"/>
            <w:vAlign w:val="center"/>
          </w:tcPr>
          <w:p w14:paraId="35B7AA27" w14:textId="77777777" w:rsidR="00997065" w:rsidRDefault="00497D67">
            <w:pPr>
              <w:spacing w:before="20" w:after="20"/>
            </w:pPr>
            <w:r>
              <w:rPr>
                <w:sz w:val="24"/>
              </w:rPr>
              <w:t>Owner may confirm assumption and review; simulation only</w:t>
            </w:r>
          </w:p>
        </w:tc>
      </w:tr>
    </w:tbl>
    <w:p w14:paraId="50A73D2B" w14:textId="77777777" w:rsidR="00997065" w:rsidRDefault="00497D67">
      <w:pPr>
        <w:spacing w:after="160"/>
        <w:jc w:val="center"/>
      </w:pPr>
      <w:r>
        <w:rPr>
          <w:i/>
          <w:color w:val="596963"/>
          <w:sz w:val="24"/>
        </w:rPr>
        <w:t>Table 11. Structured draft catalog and human review boundary.</w:t>
      </w:r>
    </w:p>
    <w:p w14:paraId="3AE27D14" w14:textId="77777777" w:rsidR="00997065" w:rsidRDefault="00497D67">
      <w:pPr>
        <w:spacing w:after="120" w:line="269" w:lineRule="auto"/>
      </w:pPr>
      <w:r>
        <w:rPr>
          <w:sz w:val="24"/>
        </w:rPr>
        <w:t>Draft text is generated from bounded structured fields, escaped before rendering, and stored with an idempotent transition record. finance_ops can create and inspect its own drafts but cannot approve. Owner review checks the pending state and authorization before changing status. A repeated request is handled idempotently where implemented, preventing duplicate state transitions from being mistaken for multiple real-world actions.</w:t>
      </w:r>
    </w:p>
    <w:p w14:paraId="1DE535AB" w14:textId="77777777" w:rsidR="00997065" w:rsidRDefault="00497D67">
      <w:pPr>
        <w:pStyle w:val="Heading2"/>
      </w:pPr>
      <w:r>
        <w:rPr>
          <w:rFonts w:ascii="Times New Roman" w:eastAsia="Times New Roman" w:hAnsi="Times New Roman"/>
          <w:sz w:val="24"/>
        </w:rPr>
        <w:t>6.2. Draft, approval and simulated execution</w:t>
      </w:r>
    </w:p>
    <w:p w14:paraId="7D48ACF2" w14:textId="77777777" w:rsidR="00997065" w:rsidRDefault="00497D67">
      <w:pPr>
        <w:spacing w:after="100" w:line="269" w:lineRule="auto"/>
      </w:pPr>
      <w:r>
        <w:rPr>
          <w:sz w:val="24"/>
        </w:rPr>
        <w:t>Agent actions are deterministic templates stored as local drafts. finance_ops may create and submit eligible drafts; owner-only checks govern approval/rejection and simulated execution. Service code checks both permission and current state before each transition. An approved item can be recorded as simulated execution in a local JSONL log with network_sent=false. The audit trail records the actor and transition. The MONEY_MOVEMENT action is denied for every role, including owner. The simulation does not connect to a bank, lender, customer, or supplier.</w:t>
      </w:r>
    </w:p>
    <w:p w14:paraId="681FB939" w14:textId="77777777" w:rsidR="00997065" w:rsidRDefault="00497D67">
      <w:r>
        <w:rPr>
          <w:noProof/>
          <w:sz w:val="24"/>
        </w:rPr>
        <w:drawing>
          <wp:inline distT="0" distB="0" distL="0" distR="0" wp14:anchorId="4B2E53FC" wp14:editId="4B58C7AF">
            <wp:extent cx="5806440" cy="284702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td_state.png"/>
                    <pic:cNvPicPr/>
                  </pic:nvPicPr>
                  <pic:blipFill>
                    <a:blip r:embed="rId14"/>
                    <a:stretch>
                      <a:fillRect/>
                    </a:stretch>
                  </pic:blipFill>
                  <pic:spPr>
                    <a:xfrm>
                      <a:off x="0" y="0"/>
                      <a:ext cx="5806440" cy="2847029"/>
                    </a:xfrm>
                    <a:prstGeom prst="rect">
                      <a:avLst/>
                    </a:prstGeom>
                  </pic:spPr>
                </pic:pic>
              </a:graphicData>
            </a:graphic>
          </wp:inline>
        </w:drawing>
      </w:r>
    </w:p>
    <w:p w14:paraId="24119C8C" w14:textId="77777777" w:rsidR="00997065" w:rsidRDefault="00497D67">
      <w:pPr>
        <w:spacing w:after="160"/>
        <w:jc w:val="center"/>
      </w:pPr>
      <w:r>
        <w:rPr>
          <w:i/>
          <w:color w:val="596963"/>
          <w:sz w:val="24"/>
        </w:rPr>
        <w:t>Figure 8. Action state machine. Rejected and simulated items are terminal; execution represents only a local record.</w:t>
      </w:r>
    </w:p>
    <w:p w14:paraId="52AF5C5B" w14:textId="77777777" w:rsidR="00997065" w:rsidRDefault="00497D67">
      <w:pPr>
        <w:spacing w:after="120" w:line="269" w:lineRule="auto"/>
      </w:pPr>
      <w:r>
        <w:rPr>
          <w:sz w:val="24"/>
        </w:rPr>
        <w:t xml:space="preserve">The sequence in Figure 7 complements Figure 8: it shows who invokes each service and which local stores are written. Authentication and authorization precede the approval transition; after approval, </w:t>
      </w:r>
      <w:r>
        <w:rPr>
          <w:sz w:val="24"/>
        </w:rPr>
        <w:lastRenderedPageBreak/>
        <w:t>the owner may record a simulation, which writes a local event but performs no external network operation.</w:t>
      </w:r>
    </w:p>
    <w:p w14:paraId="2C77036C" w14:textId="77777777" w:rsidR="00997065" w:rsidRDefault="00497D67">
      <w:pPr>
        <w:keepNext/>
        <w:jc w:val="center"/>
      </w:pPr>
      <w:r>
        <w:rPr>
          <w:noProof/>
          <w:sz w:val="24"/>
        </w:rPr>
        <w:drawing>
          <wp:inline distT="0" distB="0" distL="0" distR="0" wp14:anchorId="27F155F3" wp14:editId="707B08CA">
            <wp:extent cx="5806440" cy="312371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rev_approval_sequence.png"/>
                    <pic:cNvPicPr/>
                  </pic:nvPicPr>
                  <pic:blipFill>
                    <a:blip r:embed="rId15"/>
                    <a:stretch>
                      <a:fillRect/>
                    </a:stretch>
                  </pic:blipFill>
                  <pic:spPr>
                    <a:xfrm>
                      <a:off x="0" y="0"/>
                      <a:ext cx="5806440" cy="3123718"/>
                    </a:xfrm>
                    <a:prstGeom prst="rect">
                      <a:avLst/>
                    </a:prstGeom>
                  </pic:spPr>
                </pic:pic>
              </a:graphicData>
            </a:graphic>
          </wp:inline>
        </w:drawing>
      </w:r>
    </w:p>
    <w:p w14:paraId="6CCB2371" w14:textId="77777777" w:rsidR="00997065" w:rsidRDefault="00497D67">
      <w:pPr>
        <w:spacing w:after="160"/>
        <w:jc w:val="center"/>
      </w:pPr>
      <w:r>
        <w:rPr>
          <w:i/>
          <w:color w:val="596963"/>
          <w:sz w:val="24"/>
        </w:rPr>
        <w:t>Figure 7. Approval sequence across finance_ops, UI, service authorization, SQLite, audit, owner, and local sandbox log.</w:t>
      </w:r>
    </w:p>
    <w:p w14:paraId="481BA4C1" w14:textId="77777777" w:rsidR="00997065" w:rsidRDefault="00497D67">
      <w:pPr>
        <w:spacing w:after="120" w:line="269" w:lineRule="auto"/>
      </w:pPr>
      <w:r>
        <w:rPr>
          <w:sz w:val="24"/>
        </w:rPr>
        <w:t>The state machine in Figure 8 expresses legal status transitions independent of page layout. A pending draft can be approved or rejected by the owner; only an approved draft is eligible for simulation. The state label simulated_executed means “local simulation event recorded,” not “payment sent.”</w:t>
      </w:r>
    </w:p>
    <w:p w14:paraId="678C5FF2" w14:textId="77777777" w:rsidR="00997065" w:rsidRDefault="00497D67">
      <w:pPr>
        <w:pStyle w:val="Heading2"/>
      </w:pPr>
      <w:r>
        <w:rPr>
          <w:rFonts w:ascii="Times New Roman" w:eastAsia="Times New Roman" w:hAnsi="Times New Roman"/>
          <w:sz w:val="24"/>
        </w:rPr>
        <w:t>6.3. Human oversight boundary</w:t>
      </w:r>
    </w:p>
    <w:p w14:paraId="0F49ACF8" w14:textId="77777777" w:rsidR="00997065" w:rsidRDefault="00497D67">
      <w:pPr>
        <w:spacing w:after="100" w:line="269" w:lineRule="auto"/>
      </w:pPr>
      <w:r>
        <w:rPr>
          <w:sz w:val="24"/>
        </w:rPr>
        <w:t>The owner must review assumptions and authorize proposed state changes. A scenario may be arithmetically feasible while depending on an unconfirmed payment, supplier concession, or cost reduction. Consequently, the UI surfaces assumptions, source references, risks, and next steps. Human approval in this prototype is an application event, not an external counterparty confirmation or legal authorization.</w:t>
      </w:r>
    </w:p>
    <w:p w14:paraId="187D68B5" w14:textId="77777777" w:rsidR="00997065" w:rsidRDefault="00497D67">
      <w:pPr>
        <w:pStyle w:val="Heading1"/>
      </w:pPr>
      <w:r>
        <w:rPr>
          <w:rFonts w:ascii="Times New Roman" w:eastAsia="Times New Roman" w:hAnsi="Times New Roman"/>
          <w:sz w:val="24"/>
        </w:rPr>
        <w:t>7. Security design</w:t>
      </w:r>
    </w:p>
    <w:p w14:paraId="1E26AD97" w14:textId="77777777" w:rsidR="00997065" w:rsidRDefault="00497D67">
      <w:pPr>
        <w:pStyle w:val="Heading2"/>
      </w:pPr>
      <w:r>
        <w:rPr>
          <w:rFonts w:ascii="Times New Roman" w:eastAsia="Times New Roman" w:hAnsi="Times New Roman"/>
          <w:sz w:val="24"/>
        </w:rPr>
        <w:t>7.1. Role and permission model</w:t>
      </w:r>
    </w:p>
    <w:p w14:paraId="4CDE386C" w14:textId="77777777" w:rsidR="00997065" w:rsidRDefault="00497D67">
      <w:pPr>
        <w:spacing w:after="100" w:line="269" w:lineRule="auto"/>
      </w:pPr>
      <w:r>
        <w:rPr>
          <w:sz w:val="24"/>
        </w:rPr>
        <w:t>The application defines owner, finance_ops, viewer, and auditor roles. The identity resolved for an action comes from a server-issued session token and user record. Permission checks occur in services, not solely through hidden navigation. Action classes are READ, DRAFT, APPROVAL_REQUIRED, and MONEY_MOVEMENT (always denied). Denial events are audited.</w:t>
      </w:r>
    </w:p>
    <w:tbl>
      <w:tblPr>
        <w:tblStyle w:val="TableGrid"/>
        <w:tblW w:w="0" w:type="auto"/>
        <w:jc w:val="center"/>
        <w:tblLook w:val="04A0" w:firstRow="1" w:lastRow="0" w:firstColumn="1" w:lastColumn="0" w:noHBand="0" w:noVBand="1"/>
      </w:tblPr>
      <w:tblGrid>
        <w:gridCol w:w="2210"/>
        <w:gridCol w:w="1142"/>
        <w:gridCol w:w="1500"/>
        <w:gridCol w:w="1161"/>
        <w:gridCol w:w="1218"/>
        <w:gridCol w:w="2817"/>
      </w:tblGrid>
      <w:tr w:rsidR="00997065" w14:paraId="64B71912" w14:textId="77777777">
        <w:trPr>
          <w:tblHeader/>
          <w:jc w:val="center"/>
        </w:trPr>
        <w:tc>
          <w:tcPr>
            <w:tcW w:w="1666" w:type="dxa"/>
            <w:tcBorders>
              <w:top w:val="single" w:sz="6" w:space="0" w:color="166B52"/>
              <w:left w:val="single" w:sz="6" w:space="0" w:color="166B52"/>
              <w:bottom w:val="single" w:sz="6" w:space="0" w:color="166B52"/>
              <w:right w:val="single" w:sz="6" w:space="0" w:color="166B52"/>
            </w:tcBorders>
            <w:shd w:val="clear" w:color="auto" w:fill="166B52"/>
            <w:vAlign w:val="center"/>
          </w:tcPr>
          <w:p w14:paraId="0427546A" w14:textId="77777777" w:rsidR="00997065" w:rsidRDefault="00497D67">
            <w:pPr>
              <w:spacing w:before="20" w:after="20"/>
            </w:pPr>
            <w:r>
              <w:rPr>
                <w:b/>
                <w:color w:val="FFFFFF"/>
                <w:sz w:val="24"/>
              </w:rPr>
              <w:t>Action</w:t>
            </w:r>
          </w:p>
        </w:tc>
        <w:tc>
          <w:tcPr>
            <w:tcW w:w="1666" w:type="dxa"/>
            <w:tcBorders>
              <w:top w:val="single" w:sz="6" w:space="0" w:color="166B52"/>
              <w:left w:val="single" w:sz="6" w:space="0" w:color="166B52"/>
              <w:bottom w:val="single" w:sz="6" w:space="0" w:color="166B52"/>
              <w:right w:val="single" w:sz="6" w:space="0" w:color="166B52"/>
            </w:tcBorders>
            <w:shd w:val="clear" w:color="auto" w:fill="166B52"/>
            <w:vAlign w:val="center"/>
          </w:tcPr>
          <w:p w14:paraId="73DE1D6D" w14:textId="77777777" w:rsidR="00997065" w:rsidRDefault="00497D67">
            <w:pPr>
              <w:spacing w:before="20" w:after="20"/>
            </w:pPr>
            <w:r>
              <w:rPr>
                <w:b/>
                <w:color w:val="FFFFFF"/>
                <w:sz w:val="24"/>
              </w:rPr>
              <w:t>Owner</w:t>
            </w:r>
          </w:p>
        </w:tc>
        <w:tc>
          <w:tcPr>
            <w:tcW w:w="1666" w:type="dxa"/>
            <w:tcBorders>
              <w:top w:val="single" w:sz="6" w:space="0" w:color="166B52"/>
              <w:left w:val="single" w:sz="6" w:space="0" w:color="166B52"/>
              <w:bottom w:val="single" w:sz="6" w:space="0" w:color="166B52"/>
              <w:right w:val="single" w:sz="6" w:space="0" w:color="166B52"/>
            </w:tcBorders>
            <w:shd w:val="clear" w:color="auto" w:fill="166B52"/>
            <w:vAlign w:val="center"/>
          </w:tcPr>
          <w:p w14:paraId="2B1BE445" w14:textId="77777777" w:rsidR="00997065" w:rsidRDefault="00497D67">
            <w:pPr>
              <w:spacing w:before="20" w:after="20"/>
            </w:pPr>
            <w:r>
              <w:rPr>
                <w:b/>
                <w:color w:val="FFFFFF"/>
                <w:sz w:val="24"/>
              </w:rPr>
              <w:t>finance_ops</w:t>
            </w:r>
          </w:p>
        </w:tc>
        <w:tc>
          <w:tcPr>
            <w:tcW w:w="1666" w:type="dxa"/>
            <w:tcBorders>
              <w:top w:val="single" w:sz="6" w:space="0" w:color="166B52"/>
              <w:left w:val="single" w:sz="6" w:space="0" w:color="166B52"/>
              <w:bottom w:val="single" w:sz="6" w:space="0" w:color="166B52"/>
              <w:right w:val="single" w:sz="6" w:space="0" w:color="166B52"/>
            </w:tcBorders>
            <w:shd w:val="clear" w:color="auto" w:fill="166B52"/>
            <w:vAlign w:val="center"/>
          </w:tcPr>
          <w:p w14:paraId="681106B4" w14:textId="77777777" w:rsidR="00997065" w:rsidRDefault="00497D67">
            <w:pPr>
              <w:spacing w:before="20" w:after="20"/>
            </w:pPr>
            <w:r>
              <w:rPr>
                <w:b/>
                <w:color w:val="FFFFFF"/>
                <w:sz w:val="24"/>
              </w:rPr>
              <w:t>Viewer</w:t>
            </w:r>
          </w:p>
        </w:tc>
        <w:tc>
          <w:tcPr>
            <w:tcW w:w="1666" w:type="dxa"/>
            <w:tcBorders>
              <w:top w:val="single" w:sz="6" w:space="0" w:color="166B52"/>
              <w:left w:val="single" w:sz="6" w:space="0" w:color="166B52"/>
              <w:bottom w:val="single" w:sz="6" w:space="0" w:color="166B52"/>
              <w:right w:val="single" w:sz="6" w:space="0" w:color="166B52"/>
            </w:tcBorders>
            <w:shd w:val="clear" w:color="auto" w:fill="166B52"/>
            <w:vAlign w:val="center"/>
          </w:tcPr>
          <w:p w14:paraId="703B06D9" w14:textId="77777777" w:rsidR="00997065" w:rsidRDefault="00497D67">
            <w:pPr>
              <w:spacing w:before="20" w:after="20"/>
            </w:pPr>
            <w:r>
              <w:rPr>
                <w:b/>
                <w:color w:val="FFFFFF"/>
                <w:sz w:val="24"/>
              </w:rPr>
              <w:t>Auditor</w:t>
            </w:r>
          </w:p>
        </w:tc>
        <w:tc>
          <w:tcPr>
            <w:tcW w:w="1666" w:type="dxa"/>
            <w:tcBorders>
              <w:top w:val="single" w:sz="6" w:space="0" w:color="166B52"/>
              <w:left w:val="single" w:sz="6" w:space="0" w:color="166B52"/>
              <w:bottom w:val="single" w:sz="6" w:space="0" w:color="166B52"/>
              <w:right w:val="single" w:sz="6" w:space="0" w:color="166B52"/>
            </w:tcBorders>
            <w:shd w:val="clear" w:color="auto" w:fill="166B52"/>
            <w:vAlign w:val="center"/>
          </w:tcPr>
          <w:p w14:paraId="23829C68" w14:textId="77777777" w:rsidR="00997065" w:rsidRDefault="00497D67">
            <w:pPr>
              <w:spacing w:before="20" w:after="20"/>
            </w:pPr>
            <w:r>
              <w:rPr>
                <w:b/>
                <w:color w:val="FFFFFF"/>
                <w:sz w:val="24"/>
              </w:rPr>
              <w:t>Tier</w:t>
            </w:r>
          </w:p>
        </w:tc>
      </w:tr>
      <w:tr w:rsidR="00997065" w14:paraId="6CE68B10" w14:textId="77777777">
        <w:trPr>
          <w:jc w:val="center"/>
        </w:trPr>
        <w:tc>
          <w:tcPr>
            <w:tcW w:w="1666" w:type="dxa"/>
            <w:tcBorders>
              <w:top w:val="single" w:sz="6" w:space="0" w:color="D7E4DD"/>
              <w:left w:val="single" w:sz="6" w:space="0" w:color="D7E4DD"/>
              <w:bottom w:val="single" w:sz="6" w:space="0" w:color="D7E4DD"/>
              <w:right w:val="single" w:sz="6" w:space="0" w:color="D7E4DD"/>
            </w:tcBorders>
            <w:shd w:val="clear" w:color="auto" w:fill="F4F8F5"/>
            <w:vAlign w:val="center"/>
          </w:tcPr>
          <w:p w14:paraId="5F49B8D4" w14:textId="77777777" w:rsidR="00997065" w:rsidRDefault="00497D67">
            <w:pPr>
              <w:spacing w:before="20" w:after="20"/>
            </w:pPr>
            <w:r>
              <w:rPr>
                <w:sz w:val="24"/>
              </w:rPr>
              <w:t>dashboard.view; security.view</w:t>
            </w:r>
          </w:p>
        </w:tc>
        <w:tc>
          <w:tcPr>
            <w:tcW w:w="1666" w:type="dxa"/>
            <w:tcBorders>
              <w:top w:val="single" w:sz="6" w:space="0" w:color="D7E4DD"/>
              <w:left w:val="single" w:sz="6" w:space="0" w:color="D7E4DD"/>
              <w:bottom w:val="single" w:sz="6" w:space="0" w:color="D7E4DD"/>
              <w:right w:val="single" w:sz="6" w:space="0" w:color="D7E4DD"/>
            </w:tcBorders>
            <w:shd w:val="clear" w:color="auto" w:fill="F4F8F5"/>
            <w:vAlign w:val="center"/>
          </w:tcPr>
          <w:p w14:paraId="2A448F6F" w14:textId="77777777" w:rsidR="00997065" w:rsidRDefault="00497D67">
            <w:pPr>
              <w:spacing w:before="20" w:after="20"/>
            </w:pPr>
            <w:r>
              <w:rPr>
                <w:sz w:val="24"/>
              </w:rPr>
              <w:t>Allow</w:t>
            </w:r>
          </w:p>
        </w:tc>
        <w:tc>
          <w:tcPr>
            <w:tcW w:w="1666" w:type="dxa"/>
            <w:tcBorders>
              <w:top w:val="single" w:sz="6" w:space="0" w:color="D7E4DD"/>
              <w:left w:val="single" w:sz="6" w:space="0" w:color="D7E4DD"/>
              <w:bottom w:val="single" w:sz="6" w:space="0" w:color="D7E4DD"/>
              <w:right w:val="single" w:sz="6" w:space="0" w:color="D7E4DD"/>
            </w:tcBorders>
            <w:shd w:val="clear" w:color="auto" w:fill="F4F8F5"/>
            <w:vAlign w:val="center"/>
          </w:tcPr>
          <w:p w14:paraId="233F56D0" w14:textId="77777777" w:rsidR="00997065" w:rsidRDefault="00497D67">
            <w:pPr>
              <w:spacing w:before="20" w:after="20"/>
            </w:pPr>
            <w:r>
              <w:rPr>
                <w:sz w:val="24"/>
              </w:rPr>
              <w:t>Allow</w:t>
            </w:r>
          </w:p>
        </w:tc>
        <w:tc>
          <w:tcPr>
            <w:tcW w:w="1666" w:type="dxa"/>
            <w:tcBorders>
              <w:top w:val="single" w:sz="6" w:space="0" w:color="D7E4DD"/>
              <w:left w:val="single" w:sz="6" w:space="0" w:color="D7E4DD"/>
              <w:bottom w:val="single" w:sz="6" w:space="0" w:color="D7E4DD"/>
              <w:right w:val="single" w:sz="6" w:space="0" w:color="D7E4DD"/>
            </w:tcBorders>
            <w:shd w:val="clear" w:color="auto" w:fill="F4F8F5"/>
            <w:vAlign w:val="center"/>
          </w:tcPr>
          <w:p w14:paraId="4FF239F6" w14:textId="77777777" w:rsidR="00997065" w:rsidRDefault="00497D67">
            <w:pPr>
              <w:spacing w:before="20" w:after="20"/>
            </w:pPr>
            <w:r>
              <w:rPr>
                <w:sz w:val="24"/>
              </w:rPr>
              <w:t>Allow</w:t>
            </w:r>
          </w:p>
        </w:tc>
        <w:tc>
          <w:tcPr>
            <w:tcW w:w="1666" w:type="dxa"/>
            <w:tcBorders>
              <w:top w:val="single" w:sz="6" w:space="0" w:color="D7E4DD"/>
              <w:left w:val="single" w:sz="6" w:space="0" w:color="D7E4DD"/>
              <w:bottom w:val="single" w:sz="6" w:space="0" w:color="D7E4DD"/>
              <w:right w:val="single" w:sz="6" w:space="0" w:color="D7E4DD"/>
            </w:tcBorders>
            <w:shd w:val="clear" w:color="auto" w:fill="F4F8F5"/>
            <w:vAlign w:val="center"/>
          </w:tcPr>
          <w:p w14:paraId="1AA66863" w14:textId="77777777" w:rsidR="00997065" w:rsidRDefault="00497D67">
            <w:pPr>
              <w:spacing w:before="20" w:after="20"/>
            </w:pPr>
            <w:r>
              <w:rPr>
                <w:sz w:val="24"/>
              </w:rPr>
              <w:t>Allow</w:t>
            </w:r>
          </w:p>
        </w:tc>
        <w:tc>
          <w:tcPr>
            <w:tcW w:w="1666" w:type="dxa"/>
            <w:tcBorders>
              <w:top w:val="single" w:sz="6" w:space="0" w:color="D7E4DD"/>
              <w:left w:val="single" w:sz="6" w:space="0" w:color="D7E4DD"/>
              <w:bottom w:val="single" w:sz="6" w:space="0" w:color="D7E4DD"/>
              <w:right w:val="single" w:sz="6" w:space="0" w:color="D7E4DD"/>
            </w:tcBorders>
            <w:shd w:val="clear" w:color="auto" w:fill="F4F8F5"/>
            <w:vAlign w:val="center"/>
          </w:tcPr>
          <w:p w14:paraId="7CFF6585" w14:textId="77777777" w:rsidR="00997065" w:rsidRDefault="00497D67">
            <w:pPr>
              <w:spacing w:before="20" w:after="20"/>
            </w:pPr>
            <w:r>
              <w:rPr>
                <w:sz w:val="24"/>
              </w:rPr>
              <w:t>READ</w:t>
            </w:r>
          </w:p>
        </w:tc>
      </w:tr>
      <w:tr w:rsidR="00997065" w14:paraId="366DA986" w14:textId="77777777">
        <w:trPr>
          <w:jc w:val="center"/>
        </w:trPr>
        <w:tc>
          <w:tcPr>
            <w:tcW w:w="1666" w:type="dxa"/>
            <w:tcBorders>
              <w:top w:val="single" w:sz="6" w:space="0" w:color="D7E4DD"/>
              <w:left w:val="single" w:sz="6" w:space="0" w:color="D7E4DD"/>
              <w:bottom w:val="single" w:sz="6" w:space="0" w:color="D7E4DD"/>
              <w:right w:val="single" w:sz="6" w:space="0" w:color="D7E4DD"/>
            </w:tcBorders>
            <w:shd w:val="clear" w:color="auto" w:fill="FFFFFF"/>
            <w:vAlign w:val="center"/>
          </w:tcPr>
          <w:p w14:paraId="6371C671" w14:textId="77777777" w:rsidR="00997065" w:rsidRDefault="00497D67">
            <w:pPr>
              <w:spacing w:before="20" w:after="20"/>
            </w:pPr>
            <w:r>
              <w:rPr>
                <w:sz w:val="24"/>
              </w:rPr>
              <w:t>copilot.ask</w:t>
            </w:r>
          </w:p>
        </w:tc>
        <w:tc>
          <w:tcPr>
            <w:tcW w:w="1666" w:type="dxa"/>
            <w:tcBorders>
              <w:top w:val="single" w:sz="6" w:space="0" w:color="D7E4DD"/>
              <w:left w:val="single" w:sz="6" w:space="0" w:color="D7E4DD"/>
              <w:bottom w:val="single" w:sz="6" w:space="0" w:color="D7E4DD"/>
              <w:right w:val="single" w:sz="6" w:space="0" w:color="D7E4DD"/>
            </w:tcBorders>
            <w:shd w:val="clear" w:color="auto" w:fill="FFFFFF"/>
            <w:vAlign w:val="center"/>
          </w:tcPr>
          <w:p w14:paraId="1ED6D0F8" w14:textId="77777777" w:rsidR="00997065" w:rsidRDefault="00497D67">
            <w:pPr>
              <w:spacing w:before="20" w:after="20"/>
            </w:pPr>
            <w:r>
              <w:rPr>
                <w:sz w:val="24"/>
              </w:rPr>
              <w:t>Allow</w:t>
            </w:r>
          </w:p>
        </w:tc>
        <w:tc>
          <w:tcPr>
            <w:tcW w:w="1666" w:type="dxa"/>
            <w:tcBorders>
              <w:top w:val="single" w:sz="6" w:space="0" w:color="D7E4DD"/>
              <w:left w:val="single" w:sz="6" w:space="0" w:color="D7E4DD"/>
              <w:bottom w:val="single" w:sz="6" w:space="0" w:color="D7E4DD"/>
              <w:right w:val="single" w:sz="6" w:space="0" w:color="D7E4DD"/>
            </w:tcBorders>
            <w:shd w:val="clear" w:color="auto" w:fill="FFFFFF"/>
            <w:vAlign w:val="center"/>
          </w:tcPr>
          <w:p w14:paraId="321B6D7F" w14:textId="77777777" w:rsidR="00997065" w:rsidRDefault="00497D67">
            <w:pPr>
              <w:spacing w:before="20" w:after="20"/>
            </w:pPr>
            <w:r>
              <w:rPr>
                <w:sz w:val="24"/>
              </w:rPr>
              <w:t>Allow</w:t>
            </w:r>
          </w:p>
        </w:tc>
        <w:tc>
          <w:tcPr>
            <w:tcW w:w="1666" w:type="dxa"/>
            <w:tcBorders>
              <w:top w:val="single" w:sz="6" w:space="0" w:color="D7E4DD"/>
              <w:left w:val="single" w:sz="6" w:space="0" w:color="D7E4DD"/>
              <w:bottom w:val="single" w:sz="6" w:space="0" w:color="D7E4DD"/>
              <w:right w:val="single" w:sz="6" w:space="0" w:color="D7E4DD"/>
            </w:tcBorders>
            <w:shd w:val="clear" w:color="auto" w:fill="FFFFFF"/>
            <w:vAlign w:val="center"/>
          </w:tcPr>
          <w:p w14:paraId="61446BD7" w14:textId="77777777" w:rsidR="00997065" w:rsidRDefault="00497D67">
            <w:pPr>
              <w:spacing w:before="20" w:after="20"/>
            </w:pPr>
            <w:r>
              <w:rPr>
                <w:sz w:val="24"/>
              </w:rPr>
              <w:t>Allow</w:t>
            </w:r>
          </w:p>
        </w:tc>
        <w:tc>
          <w:tcPr>
            <w:tcW w:w="1666" w:type="dxa"/>
            <w:tcBorders>
              <w:top w:val="single" w:sz="6" w:space="0" w:color="D7E4DD"/>
              <w:left w:val="single" w:sz="6" w:space="0" w:color="D7E4DD"/>
              <w:bottom w:val="single" w:sz="6" w:space="0" w:color="D7E4DD"/>
              <w:right w:val="single" w:sz="6" w:space="0" w:color="D7E4DD"/>
            </w:tcBorders>
            <w:shd w:val="clear" w:color="auto" w:fill="FFFFFF"/>
            <w:vAlign w:val="center"/>
          </w:tcPr>
          <w:p w14:paraId="18E9F49E" w14:textId="77777777" w:rsidR="00997065" w:rsidRDefault="00497D67">
            <w:pPr>
              <w:spacing w:before="20" w:after="20"/>
            </w:pPr>
            <w:r>
              <w:rPr>
                <w:sz w:val="24"/>
              </w:rPr>
              <w:t>Allow</w:t>
            </w:r>
          </w:p>
        </w:tc>
        <w:tc>
          <w:tcPr>
            <w:tcW w:w="1666" w:type="dxa"/>
            <w:tcBorders>
              <w:top w:val="single" w:sz="6" w:space="0" w:color="D7E4DD"/>
              <w:left w:val="single" w:sz="6" w:space="0" w:color="D7E4DD"/>
              <w:bottom w:val="single" w:sz="6" w:space="0" w:color="D7E4DD"/>
              <w:right w:val="single" w:sz="6" w:space="0" w:color="D7E4DD"/>
            </w:tcBorders>
            <w:shd w:val="clear" w:color="auto" w:fill="FFFFFF"/>
            <w:vAlign w:val="center"/>
          </w:tcPr>
          <w:p w14:paraId="625A1F3F" w14:textId="77777777" w:rsidR="00997065" w:rsidRDefault="00497D67">
            <w:pPr>
              <w:spacing w:before="20" w:after="20"/>
            </w:pPr>
            <w:r>
              <w:rPr>
                <w:sz w:val="24"/>
              </w:rPr>
              <w:t>READ</w:t>
            </w:r>
          </w:p>
        </w:tc>
      </w:tr>
      <w:tr w:rsidR="00997065" w14:paraId="0E60CE23" w14:textId="77777777">
        <w:trPr>
          <w:jc w:val="center"/>
        </w:trPr>
        <w:tc>
          <w:tcPr>
            <w:tcW w:w="1666" w:type="dxa"/>
            <w:tcBorders>
              <w:top w:val="single" w:sz="6" w:space="0" w:color="D7E4DD"/>
              <w:left w:val="single" w:sz="6" w:space="0" w:color="D7E4DD"/>
              <w:bottom w:val="single" w:sz="6" w:space="0" w:color="D7E4DD"/>
              <w:right w:val="single" w:sz="6" w:space="0" w:color="D7E4DD"/>
            </w:tcBorders>
            <w:shd w:val="clear" w:color="auto" w:fill="F4F8F5"/>
            <w:vAlign w:val="center"/>
          </w:tcPr>
          <w:p w14:paraId="280D5A44" w14:textId="77777777" w:rsidR="00997065" w:rsidRDefault="00497D67">
            <w:pPr>
              <w:spacing w:before="20" w:after="20"/>
            </w:pPr>
            <w:r>
              <w:rPr>
                <w:sz w:val="24"/>
              </w:rPr>
              <w:t>audit.view</w:t>
            </w:r>
          </w:p>
        </w:tc>
        <w:tc>
          <w:tcPr>
            <w:tcW w:w="1666" w:type="dxa"/>
            <w:tcBorders>
              <w:top w:val="single" w:sz="6" w:space="0" w:color="D7E4DD"/>
              <w:left w:val="single" w:sz="6" w:space="0" w:color="D7E4DD"/>
              <w:bottom w:val="single" w:sz="6" w:space="0" w:color="D7E4DD"/>
              <w:right w:val="single" w:sz="6" w:space="0" w:color="D7E4DD"/>
            </w:tcBorders>
            <w:shd w:val="clear" w:color="auto" w:fill="F4F8F5"/>
            <w:vAlign w:val="center"/>
          </w:tcPr>
          <w:p w14:paraId="234C9B5A" w14:textId="77777777" w:rsidR="00997065" w:rsidRDefault="00497D67">
            <w:pPr>
              <w:spacing w:before="20" w:after="20"/>
            </w:pPr>
            <w:r>
              <w:rPr>
                <w:sz w:val="24"/>
              </w:rPr>
              <w:t>Allow</w:t>
            </w:r>
          </w:p>
        </w:tc>
        <w:tc>
          <w:tcPr>
            <w:tcW w:w="1666" w:type="dxa"/>
            <w:tcBorders>
              <w:top w:val="single" w:sz="6" w:space="0" w:color="D7E4DD"/>
              <w:left w:val="single" w:sz="6" w:space="0" w:color="D7E4DD"/>
              <w:bottom w:val="single" w:sz="6" w:space="0" w:color="D7E4DD"/>
              <w:right w:val="single" w:sz="6" w:space="0" w:color="D7E4DD"/>
            </w:tcBorders>
            <w:shd w:val="clear" w:color="auto" w:fill="F4F8F5"/>
            <w:vAlign w:val="center"/>
          </w:tcPr>
          <w:p w14:paraId="4CF08B75" w14:textId="77777777" w:rsidR="00997065" w:rsidRDefault="00497D67">
            <w:pPr>
              <w:spacing w:before="20" w:after="20"/>
            </w:pPr>
            <w:r>
              <w:rPr>
                <w:sz w:val="24"/>
              </w:rPr>
              <w:t>Deny</w:t>
            </w:r>
          </w:p>
        </w:tc>
        <w:tc>
          <w:tcPr>
            <w:tcW w:w="1666" w:type="dxa"/>
            <w:tcBorders>
              <w:top w:val="single" w:sz="6" w:space="0" w:color="D7E4DD"/>
              <w:left w:val="single" w:sz="6" w:space="0" w:color="D7E4DD"/>
              <w:bottom w:val="single" w:sz="6" w:space="0" w:color="D7E4DD"/>
              <w:right w:val="single" w:sz="6" w:space="0" w:color="D7E4DD"/>
            </w:tcBorders>
            <w:shd w:val="clear" w:color="auto" w:fill="F4F8F5"/>
            <w:vAlign w:val="center"/>
          </w:tcPr>
          <w:p w14:paraId="4322F772" w14:textId="77777777" w:rsidR="00997065" w:rsidRDefault="00497D67">
            <w:pPr>
              <w:spacing w:before="20" w:after="20"/>
            </w:pPr>
            <w:r>
              <w:rPr>
                <w:sz w:val="24"/>
              </w:rPr>
              <w:t>Deny</w:t>
            </w:r>
          </w:p>
        </w:tc>
        <w:tc>
          <w:tcPr>
            <w:tcW w:w="1666" w:type="dxa"/>
            <w:tcBorders>
              <w:top w:val="single" w:sz="6" w:space="0" w:color="D7E4DD"/>
              <w:left w:val="single" w:sz="6" w:space="0" w:color="D7E4DD"/>
              <w:bottom w:val="single" w:sz="6" w:space="0" w:color="D7E4DD"/>
              <w:right w:val="single" w:sz="6" w:space="0" w:color="D7E4DD"/>
            </w:tcBorders>
            <w:shd w:val="clear" w:color="auto" w:fill="F4F8F5"/>
            <w:vAlign w:val="center"/>
          </w:tcPr>
          <w:p w14:paraId="2F7BB87E" w14:textId="77777777" w:rsidR="00997065" w:rsidRDefault="00497D67">
            <w:pPr>
              <w:spacing w:before="20" w:after="20"/>
            </w:pPr>
            <w:r>
              <w:rPr>
                <w:sz w:val="24"/>
              </w:rPr>
              <w:t>Allow</w:t>
            </w:r>
          </w:p>
        </w:tc>
        <w:tc>
          <w:tcPr>
            <w:tcW w:w="1666" w:type="dxa"/>
            <w:tcBorders>
              <w:top w:val="single" w:sz="6" w:space="0" w:color="D7E4DD"/>
              <w:left w:val="single" w:sz="6" w:space="0" w:color="D7E4DD"/>
              <w:bottom w:val="single" w:sz="6" w:space="0" w:color="D7E4DD"/>
              <w:right w:val="single" w:sz="6" w:space="0" w:color="D7E4DD"/>
            </w:tcBorders>
            <w:shd w:val="clear" w:color="auto" w:fill="F4F8F5"/>
            <w:vAlign w:val="center"/>
          </w:tcPr>
          <w:p w14:paraId="386178B7" w14:textId="77777777" w:rsidR="00997065" w:rsidRDefault="00497D67">
            <w:pPr>
              <w:spacing w:before="20" w:after="20"/>
            </w:pPr>
            <w:r>
              <w:rPr>
                <w:sz w:val="24"/>
              </w:rPr>
              <w:t>READ</w:t>
            </w:r>
          </w:p>
        </w:tc>
      </w:tr>
      <w:tr w:rsidR="00997065" w14:paraId="6243D0BE" w14:textId="77777777">
        <w:trPr>
          <w:jc w:val="center"/>
        </w:trPr>
        <w:tc>
          <w:tcPr>
            <w:tcW w:w="1666" w:type="dxa"/>
            <w:tcBorders>
              <w:top w:val="single" w:sz="6" w:space="0" w:color="D7E4DD"/>
              <w:left w:val="single" w:sz="6" w:space="0" w:color="D7E4DD"/>
              <w:bottom w:val="single" w:sz="6" w:space="0" w:color="D7E4DD"/>
              <w:right w:val="single" w:sz="6" w:space="0" w:color="D7E4DD"/>
            </w:tcBorders>
            <w:shd w:val="clear" w:color="auto" w:fill="FFFFFF"/>
            <w:vAlign w:val="center"/>
          </w:tcPr>
          <w:p w14:paraId="32D0DD65" w14:textId="77777777" w:rsidR="00997065" w:rsidRDefault="00497D67">
            <w:pPr>
              <w:spacing w:before="20" w:after="20"/>
            </w:pPr>
            <w:r>
              <w:rPr>
                <w:sz w:val="24"/>
              </w:rPr>
              <w:t>approvals.view</w:t>
            </w:r>
          </w:p>
        </w:tc>
        <w:tc>
          <w:tcPr>
            <w:tcW w:w="1666" w:type="dxa"/>
            <w:tcBorders>
              <w:top w:val="single" w:sz="6" w:space="0" w:color="D7E4DD"/>
              <w:left w:val="single" w:sz="6" w:space="0" w:color="D7E4DD"/>
              <w:bottom w:val="single" w:sz="6" w:space="0" w:color="D7E4DD"/>
              <w:right w:val="single" w:sz="6" w:space="0" w:color="D7E4DD"/>
            </w:tcBorders>
            <w:shd w:val="clear" w:color="auto" w:fill="FFFFFF"/>
            <w:vAlign w:val="center"/>
          </w:tcPr>
          <w:p w14:paraId="11CA4CE0" w14:textId="77777777" w:rsidR="00997065" w:rsidRDefault="00497D67">
            <w:pPr>
              <w:spacing w:before="20" w:after="20"/>
            </w:pPr>
            <w:r>
              <w:rPr>
                <w:sz w:val="24"/>
              </w:rPr>
              <w:t>Allow</w:t>
            </w:r>
          </w:p>
        </w:tc>
        <w:tc>
          <w:tcPr>
            <w:tcW w:w="1666" w:type="dxa"/>
            <w:tcBorders>
              <w:top w:val="single" w:sz="6" w:space="0" w:color="D7E4DD"/>
              <w:left w:val="single" w:sz="6" w:space="0" w:color="D7E4DD"/>
              <w:bottom w:val="single" w:sz="6" w:space="0" w:color="D7E4DD"/>
              <w:right w:val="single" w:sz="6" w:space="0" w:color="D7E4DD"/>
            </w:tcBorders>
            <w:shd w:val="clear" w:color="auto" w:fill="FFFFFF"/>
            <w:vAlign w:val="center"/>
          </w:tcPr>
          <w:p w14:paraId="18F3F768" w14:textId="77777777" w:rsidR="00997065" w:rsidRDefault="00497D67">
            <w:pPr>
              <w:spacing w:before="20" w:after="20"/>
            </w:pPr>
            <w:r>
              <w:rPr>
                <w:sz w:val="24"/>
              </w:rPr>
              <w:t>Allow</w:t>
            </w:r>
          </w:p>
        </w:tc>
        <w:tc>
          <w:tcPr>
            <w:tcW w:w="1666" w:type="dxa"/>
            <w:tcBorders>
              <w:top w:val="single" w:sz="6" w:space="0" w:color="D7E4DD"/>
              <w:left w:val="single" w:sz="6" w:space="0" w:color="D7E4DD"/>
              <w:bottom w:val="single" w:sz="6" w:space="0" w:color="D7E4DD"/>
              <w:right w:val="single" w:sz="6" w:space="0" w:color="D7E4DD"/>
            </w:tcBorders>
            <w:shd w:val="clear" w:color="auto" w:fill="FFFFFF"/>
            <w:vAlign w:val="center"/>
          </w:tcPr>
          <w:p w14:paraId="626715F0" w14:textId="77777777" w:rsidR="00997065" w:rsidRDefault="00497D67">
            <w:pPr>
              <w:spacing w:before="20" w:after="20"/>
            </w:pPr>
            <w:r>
              <w:rPr>
                <w:sz w:val="24"/>
              </w:rPr>
              <w:t>Deny</w:t>
            </w:r>
          </w:p>
        </w:tc>
        <w:tc>
          <w:tcPr>
            <w:tcW w:w="1666" w:type="dxa"/>
            <w:tcBorders>
              <w:top w:val="single" w:sz="6" w:space="0" w:color="D7E4DD"/>
              <w:left w:val="single" w:sz="6" w:space="0" w:color="D7E4DD"/>
              <w:bottom w:val="single" w:sz="6" w:space="0" w:color="D7E4DD"/>
              <w:right w:val="single" w:sz="6" w:space="0" w:color="D7E4DD"/>
            </w:tcBorders>
            <w:shd w:val="clear" w:color="auto" w:fill="FFFFFF"/>
            <w:vAlign w:val="center"/>
          </w:tcPr>
          <w:p w14:paraId="27C18B21" w14:textId="77777777" w:rsidR="00997065" w:rsidRDefault="00497D67">
            <w:pPr>
              <w:spacing w:before="20" w:after="20"/>
            </w:pPr>
            <w:r>
              <w:rPr>
                <w:sz w:val="24"/>
              </w:rPr>
              <w:t>Allow</w:t>
            </w:r>
          </w:p>
        </w:tc>
        <w:tc>
          <w:tcPr>
            <w:tcW w:w="1666" w:type="dxa"/>
            <w:tcBorders>
              <w:top w:val="single" w:sz="6" w:space="0" w:color="D7E4DD"/>
              <w:left w:val="single" w:sz="6" w:space="0" w:color="D7E4DD"/>
              <w:bottom w:val="single" w:sz="6" w:space="0" w:color="D7E4DD"/>
              <w:right w:val="single" w:sz="6" w:space="0" w:color="D7E4DD"/>
            </w:tcBorders>
            <w:shd w:val="clear" w:color="auto" w:fill="FFFFFF"/>
            <w:vAlign w:val="center"/>
          </w:tcPr>
          <w:p w14:paraId="47033CE4" w14:textId="77777777" w:rsidR="00997065" w:rsidRDefault="00497D67">
            <w:pPr>
              <w:spacing w:before="20" w:after="20"/>
            </w:pPr>
            <w:r>
              <w:rPr>
                <w:sz w:val="24"/>
              </w:rPr>
              <w:t>READ</w:t>
            </w:r>
          </w:p>
        </w:tc>
      </w:tr>
      <w:tr w:rsidR="00997065" w14:paraId="18E5B9CB" w14:textId="77777777">
        <w:trPr>
          <w:jc w:val="center"/>
        </w:trPr>
        <w:tc>
          <w:tcPr>
            <w:tcW w:w="1666" w:type="dxa"/>
            <w:tcBorders>
              <w:top w:val="single" w:sz="6" w:space="0" w:color="D7E4DD"/>
              <w:left w:val="single" w:sz="6" w:space="0" w:color="D7E4DD"/>
              <w:bottom w:val="single" w:sz="6" w:space="0" w:color="D7E4DD"/>
              <w:right w:val="single" w:sz="6" w:space="0" w:color="D7E4DD"/>
            </w:tcBorders>
            <w:shd w:val="clear" w:color="auto" w:fill="F4F8F5"/>
            <w:vAlign w:val="center"/>
          </w:tcPr>
          <w:p w14:paraId="5EABE1A9" w14:textId="77777777" w:rsidR="00997065" w:rsidRDefault="00497D67">
            <w:pPr>
              <w:spacing w:before="20" w:after="20"/>
            </w:pPr>
            <w:r>
              <w:rPr>
                <w:sz w:val="24"/>
              </w:rPr>
              <w:t xml:space="preserve">lab.run; </w:t>
            </w:r>
            <w:r>
              <w:rPr>
                <w:sz w:val="24"/>
              </w:rPr>
              <w:lastRenderedPageBreak/>
              <w:t>scenario.change; data.upload; draft.create</w:t>
            </w:r>
          </w:p>
        </w:tc>
        <w:tc>
          <w:tcPr>
            <w:tcW w:w="1666" w:type="dxa"/>
            <w:tcBorders>
              <w:top w:val="single" w:sz="6" w:space="0" w:color="D7E4DD"/>
              <w:left w:val="single" w:sz="6" w:space="0" w:color="D7E4DD"/>
              <w:bottom w:val="single" w:sz="6" w:space="0" w:color="D7E4DD"/>
              <w:right w:val="single" w:sz="6" w:space="0" w:color="D7E4DD"/>
            </w:tcBorders>
            <w:shd w:val="clear" w:color="auto" w:fill="F4F8F5"/>
            <w:vAlign w:val="center"/>
          </w:tcPr>
          <w:p w14:paraId="02FD0C08" w14:textId="77777777" w:rsidR="00997065" w:rsidRDefault="00497D67">
            <w:pPr>
              <w:spacing w:before="20" w:after="20"/>
            </w:pPr>
            <w:r>
              <w:rPr>
                <w:sz w:val="24"/>
              </w:rPr>
              <w:lastRenderedPageBreak/>
              <w:t>Allow</w:t>
            </w:r>
          </w:p>
        </w:tc>
        <w:tc>
          <w:tcPr>
            <w:tcW w:w="1666" w:type="dxa"/>
            <w:tcBorders>
              <w:top w:val="single" w:sz="6" w:space="0" w:color="D7E4DD"/>
              <w:left w:val="single" w:sz="6" w:space="0" w:color="D7E4DD"/>
              <w:bottom w:val="single" w:sz="6" w:space="0" w:color="D7E4DD"/>
              <w:right w:val="single" w:sz="6" w:space="0" w:color="D7E4DD"/>
            </w:tcBorders>
            <w:shd w:val="clear" w:color="auto" w:fill="F4F8F5"/>
            <w:vAlign w:val="center"/>
          </w:tcPr>
          <w:p w14:paraId="40C33725" w14:textId="77777777" w:rsidR="00997065" w:rsidRDefault="00497D67">
            <w:pPr>
              <w:spacing w:before="20" w:after="20"/>
            </w:pPr>
            <w:r>
              <w:rPr>
                <w:sz w:val="24"/>
              </w:rPr>
              <w:t>Allow</w:t>
            </w:r>
          </w:p>
        </w:tc>
        <w:tc>
          <w:tcPr>
            <w:tcW w:w="1666" w:type="dxa"/>
            <w:tcBorders>
              <w:top w:val="single" w:sz="6" w:space="0" w:color="D7E4DD"/>
              <w:left w:val="single" w:sz="6" w:space="0" w:color="D7E4DD"/>
              <w:bottom w:val="single" w:sz="6" w:space="0" w:color="D7E4DD"/>
              <w:right w:val="single" w:sz="6" w:space="0" w:color="D7E4DD"/>
            </w:tcBorders>
            <w:shd w:val="clear" w:color="auto" w:fill="F4F8F5"/>
            <w:vAlign w:val="center"/>
          </w:tcPr>
          <w:p w14:paraId="1C274EAD" w14:textId="77777777" w:rsidR="00997065" w:rsidRDefault="00497D67">
            <w:pPr>
              <w:spacing w:before="20" w:after="20"/>
            </w:pPr>
            <w:r>
              <w:rPr>
                <w:sz w:val="24"/>
              </w:rPr>
              <w:t>Deny</w:t>
            </w:r>
          </w:p>
        </w:tc>
        <w:tc>
          <w:tcPr>
            <w:tcW w:w="1666" w:type="dxa"/>
            <w:tcBorders>
              <w:top w:val="single" w:sz="6" w:space="0" w:color="D7E4DD"/>
              <w:left w:val="single" w:sz="6" w:space="0" w:color="D7E4DD"/>
              <w:bottom w:val="single" w:sz="6" w:space="0" w:color="D7E4DD"/>
              <w:right w:val="single" w:sz="6" w:space="0" w:color="D7E4DD"/>
            </w:tcBorders>
            <w:shd w:val="clear" w:color="auto" w:fill="F4F8F5"/>
            <w:vAlign w:val="center"/>
          </w:tcPr>
          <w:p w14:paraId="2B021139" w14:textId="77777777" w:rsidR="00997065" w:rsidRDefault="00497D67">
            <w:pPr>
              <w:spacing w:before="20" w:after="20"/>
            </w:pPr>
            <w:r>
              <w:rPr>
                <w:sz w:val="24"/>
              </w:rPr>
              <w:t>Deny</w:t>
            </w:r>
          </w:p>
        </w:tc>
        <w:tc>
          <w:tcPr>
            <w:tcW w:w="1666" w:type="dxa"/>
            <w:tcBorders>
              <w:top w:val="single" w:sz="6" w:space="0" w:color="D7E4DD"/>
              <w:left w:val="single" w:sz="6" w:space="0" w:color="D7E4DD"/>
              <w:bottom w:val="single" w:sz="6" w:space="0" w:color="D7E4DD"/>
              <w:right w:val="single" w:sz="6" w:space="0" w:color="D7E4DD"/>
            </w:tcBorders>
            <w:shd w:val="clear" w:color="auto" w:fill="F4F8F5"/>
            <w:vAlign w:val="center"/>
          </w:tcPr>
          <w:p w14:paraId="095B9166" w14:textId="77777777" w:rsidR="00997065" w:rsidRDefault="00497D67">
            <w:pPr>
              <w:spacing w:before="20" w:after="20"/>
            </w:pPr>
            <w:r>
              <w:rPr>
                <w:sz w:val="24"/>
              </w:rPr>
              <w:t>DRAFT</w:t>
            </w:r>
          </w:p>
        </w:tc>
      </w:tr>
      <w:tr w:rsidR="00997065" w14:paraId="7061A1DF" w14:textId="77777777">
        <w:trPr>
          <w:jc w:val="center"/>
        </w:trPr>
        <w:tc>
          <w:tcPr>
            <w:tcW w:w="1666" w:type="dxa"/>
            <w:tcBorders>
              <w:top w:val="single" w:sz="6" w:space="0" w:color="D7E4DD"/>
              <w:left w:val="single" w:sz="6" w:space="0" w:color="D7E4DD"/>
              <w:bottom w:val="single" w:sz="6" w:space="0" w:color="D7E4DD"/>
              <w:right w:val="single" w:sz="6" w:space="0" w:color="D7E4DD"/>
            </w:tcBorders>
            <w:shd w:val="clear" w:color="auto" w:fill="FFFFFF"/>
            <w:vAlign w:val="center"/>
          </w:tcPr>
          <w:p w14:paraId="40155C04" w14:textId="77777777" w:rsidR="00997065" w:rsidRDefault="00497D67">
            <w:pPr>
              <w:spacing w:before="20" w:after="20"/>
            </w:pPr>
            <w:r>
              <w:rPr>
                <w:sz w:val="24"/>
              </w:rPr>
              <w:t>assumptions.manage</w:t>
            </w:r>
          </w:p>
        </w:tc>
        <w:tc>
          <w:tcPr>
            <w:tcW w:w="1666" w:type="dxa"/>
            <w:tcBorders>
              <w:top w:val="single" w:sz="6" w:space="0" w:color="D7E4DD"/>
              <w:left w:val="single" w:sz="6" w:space="0" w:color="D7E4DD"/>
              <w:bottom w:val="single" w:sz="6" w:space="0" w:color="D7E4DD"/>
              <w:right w:val="single" w:sz="6" w:space="0" w:color="D7E4DD"/>
            </w:tcBorders>
            <w:shd w:val="clear" w:color="auto" w:fill="FFFFFF"/>
            <w:vAlign w:val="center"/>
          </w:tcPr>
          <w:p w14:paraId="0E77D2EF" w14:textId="77777777" w:rsidR="00997065" w:rsidRDefault="00497D67">
            <w:pPr>
              <w:spacing w:before="20" w:after="20"/>
            </w:pPr>
            <w:r>
              <w:rPr>
                <w:sz w:val="24"/>
              </w:rPr>
              <w:t>Allow</w:t>
            </w:r>
          </w:p>
        </w:tc>
        <w:tc>
          <w:tcPr>
            <w:tcW w:w="1666" w:type="dxa"/>
            <w:tcBorders>
              <w:top w:val="single" w:sz="6" w:space="0" w:color="D7E4DD"/>
              <w:left w:val="single" w:sz="6" w:space="0" w:color="D7E4DD"/>
              <w:bottom w:val="single" w:sz="6" w:space="0" w:color="D7E4DD"/>
              <w:right w:val="single" w:sz="6" w:space="0" w:color="D7E4DD"/>
            </w:tcBorders>
            <w:shd w:val="clear" w:color="auto" w:fill="FFFFFF"/>
            <w:vAlign w:val="center"/>
          </w:tcPr>
          <w:p w14:paraId="25E3C742" w14:textId="77777777" w:rsidR="00997065" w:rsidRDefault="00497D67">
            <w:pPr>
              <w:spacing w:before="20" w:after="20"/>
            </w:pPr>
            <w:r>
              <w:rPr>
                <w:sz w:val="24"/>
              </w:rPr>
              <w:t>Deny</w:t>
            </w:r>
          </w:p>
        </w:tc>
        <w:tc>
          <w:tcPr>
            <w:tcW w:w="1666" w:type="dxa"/>
            <w:tcBorders>
              <w:top w:val="single" w:sz="6" w:space="0" w:color="D7E4DD"/>
              <w:left w:val="single" w:sz="6" w:space="0" w:color="D7E4DD"/>
              <w:bottom w:val="single" w:sz="6" w:space="0" w:color="D7E4DD"/>
              <w:right w:val="single" w:sz="6" w:space="0" w:color="D7E4DD"/>
            </w:tcBorders>
            <w:shd w:val="clear" w:color="auto" w:fill="FFFFFF"/>
            <w:vAlign w:val="center"/>
          </w:tcPr>
          <w:p w14:paraId="2E5FFDCD" w14:textId="77777777" w:rsidR="00997065" w:rsidRDefault="00497D67">
            <w:pPr>
              <w:spacing w:before="20" w:after="20"/>
            </w:pPr>
            <w:r>
              <w:rPr>
                <w:sz w:val="24"/>
              </w:rPr>
              <w:t>Deny</w:t>
            </w:r>
          </w:p>
        </w:tc>
        <w:tc>
          <w:tcPr>
            <w:tcW w:w="1666" w:type="dxa"/>
            <w:tcBorders>
              <w:top w:val="single" w:sz="6" w:space="0" w:color="D7E4DD"/>
              <w:left w:val="single" w:sz="6" w:space="0" w:color="D7E4DD"/>
              <w:bottom w:val="single" w:sz="6" w:space="0" w:color="D7E4DD"/>
              <w:right w:val="single" w:sz="6" w:space="0" w:color="D7E4DD"/>
            </w:tcBorders>
            <w:shd w:val="clear" w:color="auto" w:fill="FFFFFF"/>
            <w:vAlign w:val="center"/>
          </w:tcPr>
          <w:p w14:paraId="33987E9C" w14:textId="77777777" w:rsidR="00997065" w:rsidRDefault="00497D67">
            <w:pPr>
              <w:spacing w:before="20" w:after="20"/>
            </w:pPr>
            <w:r>
              <w:rPr>
                <w:sz w:val="24"/>
              </w:rPr>
              <w:t>Deny</w:t>
            </w:r>
          </w:p>
        </w:tc>
        <w:tc>
          <w:tcPr>
            <w:tcW w:w="1666" w:type="dxa"/>
            <w:tcBorders>
              <w:top w:val="single" w:sz="6" w:space="0" w:color="D7E4DD"/>
              <w:left w:val="single" w:sz="6" w:space="0" w:color="D7E4DD"/>
              <w:bottom w:val="single" w:sz="6" w:space="0" w:color="D7E4DD"/>
              <w:right w:val="single" w:sz="6" w:space="0" w:color="D7E4DD"/>
            </w:tcBorders>
            <w:shd w:val="clear" w:color="auto" w:fill="FFFFFF"/>
            <w:vAlign w:val="center"/>
          </w:tcPr>
          <w:p w14:paraId="7C3DF80A" w14:textId="77777777" w:rsidR="00997065" w:rsidRDefault="00497D67">
            <w:pPr>
              <w:spacing w:before="20" w:after="20"/>
            </w:pPr>
            <w:r>
              <w:rPr>
                <w:sz w:val="24"/>
              </w:rPr>
              <w:t>DRAFT</w:t>
            </w:r>
          </w:p>
        </w:tc>
      </w:tr>
      <w:tr w:rsidR="00997065" w14:paraId="751D0A3C" w14:textId="77777777">
        <w:trPr>
          <w:jc w:val="center"/>
        </w:trPr>
        <w:tc>
          <w:tcPr>
            <w:tcW w:w="1666" w:type="dxa"/>
            <w:tcBorders>
              <w:top w:val="single" w:sz="6" w:space="0" w:color="D7E4DD"/>
              <w:left w:val="single" w:sz="6" w:space="0" w:color="D7E4DD"/>
              <w:bottom w:val="single" w:sz="6" w:space="0" w:color="D7E4DD"/>
              <w:right w:val="single" w:sz="6" w:space="0" w:color="D7E4DD"/>
            </w:tcBorders>
            <w:shd w:val="clear" w:color="auto" w:fill="F4F8F5"/>
            <w:vAlign w:val="center"/>
          </w:tcPr>
          <w:p w14:paraId="6C8BED28" w14:textId="77777777" w:rsidR="00997065" w:rsidRDefault="00497D67">
            <w:pPr>
              <w:spacing w:before="20" w:after="20"/>
            </w:pPr>
            <w:r>
              <w:rPr>
                <w:sz w:val="24"/>
              </w:rPr>
              <w:t>draft.approve; draft.reject; execution.simulate</w:t>
            </w:r>
          </w:p>
        </w:tc>
        <w:tc>
          <w:tcPr>
            <w:tcW w:w="1666" w:type="dxa"/>
            <w:tcBorders>
              <w:top w:val="single" w:sz="6" w:space="0" w:color="D7E4DD"/>
              <w:left w:val="single" w:sz="6" w:space="0" w:color="D7E4DD"/>
              <w:bottom w:val="single" w:sz="6" w:space="0" w:color="D7E4DD"/>
              <w:right w:val="single" w:sz="6" w:space="0" w:color="D7E4DD"/>
            </w:tcBorders>
            <w:shd w:val="clear" w:color="auto" w:fill="F4F8F5"/>
            <w:vAlign w:val="center"/>
          </w:tcPr>
          <w:p w14:paraId="4F160F31" w14:textId="77777777" w:rsidR="00997065" w:rsidRDefault="00497D67">
            <w:pPr>
              <w:spacing w:before="20" w:after="20"/>
            </w:pPr>
            <w:r>
              <w:rPr>
                <w:sz w:val="24"/>
              </w:rPr>
              <w:t>Allow</w:t>
            </w:r>
          </w:p>
        </w:tc>
        <w:tc>
          <w:tcPr>
            <w:tcW w:w="1666" w:type="dxa"/>
            <w:tcBorders>
              <w:top w:val="single" w:sz="6" w:space="0" w:color="D7E4DD"/>
              <w:left w:val="single" w:sz="6" w:space="0" w:color="D7E4DD"/>
              <w:bottom w:val="single" w:sz="6" w:space="0" w:color="D7E4DD"/>
              <w:right w:val="single" w:sz="6" w:space="0" w:color="D7E4DD"/>
            </w:tcBorders>
            <w:shd w:val="clear" w:color="auto" w:fill="F4F8F5"/>
            <w:vAlign w:val="center"/>
          </w:tcPr>
          <w:p w14:paraId="1C51A7CA" w14:textId="77777777" w:rsidR="00997065" w:rsidRDefault="00497D67">
            <w:pPr>
              <w:spacing w:before="20" w:after="20"/>
            </w:pPr>
            <w:r>
              <w:rPr>
                <w:sz w:val="24"/>
              </w:rPr>
              <w:t>Deny</w:t>
            </w:r>
          </w:p>
        </w:tc>
        <w:tc>
          <w:tcPr>
            <w:tcW w:w="1666" w:type="dxa"/>
            <w:tcBorders>
              <w:top w:val="single" w:sz="6" w:space="0" w:color="D7E4DD"/>
              <w:left w:val="single" w:sz="6" w:space="0" w:color="D7E4DD"/>
              <w:bottom w:val="single" w:sz="6" w:space="0" w:color="D7E4DD"/>
              <w:right w:val="single" w:sz="6" w:space="0" w:color="D7E4DD"/>
            </w:tcBorders>
            <w:shd w:val="clear" w:color="auto" w:fill="F4F8F5"/>
            <w:vAlign w:val="center"/>
          </w:tcPr>
          <w:p w14:paraId="039EB3D3" w14:textId="77777777" w:rsidR="00997065" w:rsidRDefault="00497D67">
            <w:pPr>
              <w:spacing w:before="20" w:after="20"/>
            </w:pPr>
            <w:r>
              <w:rPr>
                <w:sz w:val="24"/>
              </w:rPr>
              <w:t>Deny</w:t>
            </w:r>
          </w:p>
        </w:tc>
        <w:tc>
          <w:tcPr>
            <w:tcW w:w="1666" w:type="dxa"/>
            <w:tcBorders>
              <w:top w:val="single" w:sz="6" w:space="0" w:color="D7E4DD"/>
              <w:left w:val="single" w:sz="6" w:space="0" w:color="D7E4DD"/>
              <w:bottom w:val="single" w:sz="6" w:space="0" w:color="D7E4DD"/>
              <w:right w:val="single" w:sz="6" w:space="0" w:color="D7E4DD"/>
            </w:tcBorders>
            <w:shd w:val="clear" w:color="auto" w:fill="F4F8F5"/>
            <w:vAlign w:val="center"/>
          </w:tcPr>
          <w:p w14:paraId="7A65450B" w14:textId="77777777" w:rsidR="00997065" w:rsidRDefault="00497D67">
            <w:pPr>
              <w:spacing w:before="20" w:after="20"/>
            </w:pPr>
            <w:r>
              <w:rPr>
                <w:sz w:val="24"/>
              </w:rPr>
              <w:t>Deny</w:t>
            </w:r>
          </w:p>
        </w:tc>
        <w:tc>
          <w:tcPr>
            <w:tcW w:w="1666" w:type="dxa"/>
            <w:tcBorders>
              <w:top w:val="single" w:sz="6" w:space="0" w:color="D7E4DD"/>
              <w:left w:val="single" w:sz="6" w:space="0" w:color="D7E4DD"/>
              <w:bottom w:val="single" w:sz="6" w:space="0" w:color="D7E4DD"/>
              <w:right w:val="single" w:sz="6" w:space="0" w:color="D7E4DD"/>
            </w:tcBorders>
            <w:shd w:val="clear" w:color="auto" w:fill="F4F8F5"/>
            <w:vAlign w:val="center"/>
          </w:tcPr>
          <w:p w14:paraId="1A16BB52" w14:textId="77777777" w:rsidR="00997065" w:rsidRDefault="00497D67">
            <w:pPr>
              <w:spacing w:before="20" w:after="20"/>
            </w:pPr>
            <w:r>
              <w:rPr>
                <w:sz w:val="24"/>
              </w:rPr>
              <w:t>APPROVAL_REQUIRED</w:t>
            </w:r>
          </w:p>
        </w:tc>
      </w:tr>
      <w:tr w:rsidR="00997065" w14:paraId="48241968" w14:textId="77777777">
        <w:trPr>
          <w:jc w:val="center"/>
        </w:trPr>
        <w:tc>
          <w:tcPr>
            <w:tcW w:w="1666" w:type="dxa"/>
            <w:tcBorders>
              <w:top w:val="single" w:sz="6" w:space="0" w:color="D7E4DD"/>
              <w:left w:val="single" w:sz="6" w:space="0" w:color="D7E4DD"/>
              <w:bottom w:val="single" w:sz="6" w:space="0" w:color="D7E4DD"/>
              <w:right w:val="single" w:sz="6" w:space="0" w:color="D7E4DD"/>
            </w:tcBorders>
            <w:shd w:val="clear" w:color="auto" w:fill="FFFFFF"/>
            <w:vAlign w:val="center"/>
          </w:tcPr>
          <w:p w14:paraId="761E8AA4" w14:textId="77777777" w:rsidR="00997065" w:rsidRDefault="00497D67">
            <w:pPr>
              <w:spacing w:before="20" w:after="20"/>
            </w:pPr>
            <w:r>
              <w:rPr>
                <w:sz w:val="24"/>
              </w:rPr>
              <w:t>money.move</w:t>
            </w:r>
          </w:p>
        </w:tc>
        <w:tc>
          <w:tcPr>
            <w:tcW w:w="1666" w:type="dxa"/>
            <w:tcBorders>
              <w:top w:val="single" w:sz="6" w:space="0" w:color="D7E4DD"/>
              <w:left w:val="single" w:sz="6" w:space="0" w:color="D7E4DD"/>
              <w:bottom w:val="single" w:sz="6" w:space="0" w:color="D7E4DD"/>
              <w:right w:val="single" w:sz="6" w:space="0" w:color="D7E4DD"/>
            </w:tcBorders>
            <w:shd w:val="clear" w:color="auto" w:fill="FFFFFF"/>
            <w:vAlign w:val="center"/>
          </w:tcPr>
          <w:p w14:paraId="0CB9B6AF" w14:textId="77777777" w:rsidR="00997065" w:rsidRDefault="00497D67">
            <w:pPr>
              <w:spacing w:before="20" w:after="20"/>
            </w:pPr>
            <w:r>
              <w:rPr>
                <w:sz w:val="24"/>
              </w:rPr>
              <w:t>Deny</w:t>
            </w:r>
          </w:p>
        </w:tc>
        <w:tc>
          <w:tcPr>
            <w:tcW w:w="1666" w:type="dxa"/>
            <w:tcBorders>
              <w:top w:val="single" w:sz="6" w:space="0" w:color="D7E4DD"/>
              <w:left w:val="single" w:sz="6" w:space="0" w:color="D7E4DD"/>
              <w:bottom w:val="single" w:sz="6" w:space="0" w:color="D7E4DD"/>
              <w:right w:val="single" w:sz="6" w:space="0" w:color="D7E4DD"/>
            </w:tcBorders>
            <w:shd w:val="clear" w:color="auto" w:fill="FFFFFF"/>
            <w:vAlign w:val="center"/>
          </w:tcPr>
          <w:p w14:paraId="4BA209DA" w14:textId="77777777" w:rsidR="00997065" w:rsidRDefault="00497D67">
            <w:pPr>
              <w:spacing w:before="20" w:after="20"/>
            </w:pPr>
            <w:r>
              <w:rPr>
                <w:sz w:val="24"/>
              </w:rPr>
              <w:t>Deny</w:t>
            </w:r>
          </w:p>
        </w:tc>
        <w:tc>
          <w:tcPr>
            <w:tcW w:w="1666" w:type="dxa"/>
            <w:tcBorders>
              <w:top w:val="single" w:sz="6" w:space="0" w:color="D7E4DD"/>
              <w:left w:val="single" w:sz="6" w:space="0" w:color="D7E4DD"/>
              <w:bottom w:val="single" w:sz="6" w:space="0" w:color="D7E4DD"/>
              <w:right w:val="single" w:sz="6" w:space="0" w:color="D7E4DD"/>
            </w:tcBorders>
            <w:shd w:val="clear" w:color="auto" w:fill="FFFFFF"/>
            <w:vAlign w:val="center"/>
          </w:tcPr>
          <w:p w14:paraId="2260C577" w14:textId="77777777" w:rsidR="00997065" w:rsidRDefault="00497D67">
            <w:pPr>
              <w:spacing w:before="20" w:after="20"/>
            </w:pPr>
            <w:r>
              <w:rPr>
                <w:sz w:val="24"/>
              </w:rPr>
              <w:t>Deny</w:t>
            </w:r>
          </w:p>
        </w:tc>
        <w:tc>
          <w:tcPr>
            <w:tcW w:w="1666" w:type="dxa"/>
            <w:tcBorders>
              <w:top w:val="single" w:sz="6" w:space="0" w:color="D7E4DD"/>
              <w:left w:val="single" w:sz="6" w:space="0" w:color="D7E4DD"/>
              <w:bottom w:val="single" w:sz="6" w:space="0" w:color="D7E4DD"/>
              <w:right w:val="single" w:sz="6" w:space="0" w:color="D7E4DD"/>
            </w:tcBorders>
            <w:shd w:val="clear" w:color="auto" w:fill="FFFFFF"/>
            <w:vAlign w:val="center"/>
          </w:tcPr>
          <w:p w14:paraId="758434D4" w14:textId="77777777" w:rsidR="00997065" w:rsidRDefault="00497D67">
            <w:pPr>
              <w:spacing w:before="20" w:after="20"/>
            </w:pPr>
            <w:r>
              <w:rPr>
                <w:sz w:val="24"/>
              </w:rPr>
              <w:t>Deny</w:t>
            </w:r>
          </w:p>
        </w:tc>
        <w:tc>
          <w:tcPr>
            <w:tcW w:w="1666" w:type="dxa"/>
            <w:tcBorders>
              <w:top w:val="single" w:sz="6" w:space="0" w:color="D7E4DD"/>
              <w:left w:val="single" w:sz="6" w:space="0" w:color="D7E4DD"/>
              <w:bottom w:val="single" w:sz="6" w:space="0" w:color="D7E4DD"/>
              <w:right w:val="single" w:sz="6" w:space="0" w:color="D7E4DD"/>
            </w:tcBorders>
            <w:shd w:val="clear" w:color="auto" w:fill="FFFFFF"/>
            <w:vAlign w:val="center"/>
          </w:tcPr>
          <w:p w14:paraId="6BEB979C" w14:textId="77777777" w:rsidR="00997065" w:rsidRDefault="00497D67">
            <w:pPr>
              <w:spacing w:before="20" w:after="20"/>
            </w:pPr>
            <w:r>
              <w:rPr>
                <w:sz w:val="24"/>
              </w:rPr>
              <w:t>MONEY_MOVEMENT</w:t>
            </w:r>
          </w:p>
        </w:tc>
      </w:tr>
    </w:tbl>
    <w:p w14:paraId="2BEF8D9D" w14:textId="77777777" w:rsidR="00997065" w:rsidRDefault="00997065">
      <w:pPr>
        <w:spacing w:after="0"/>
      </w:pPr>
    </w:p>
    <w:p w14:paraId="201889EB" w14:textId="77777777" w:rsidR="00997065" w:rsidRDefault="00497D67">
      <w:pPr>
        <w:spacing w:after="120" w:line="269" w:lineRule="auto"/>
      </w:pPr>
      <w:r>
        <w:rPr>
          <w:sz w:val="24"/>
        </w:rPr>
        <w:t>Table 12 links the high-level roles to service actions. The authoritative policy is the registry in services/permissions.py; individual services call authorize() before data mutation. This table summarizes current behavior and should be checked against that registry after any role change.</w:t>
      </w:r>
    </w:p>
    <w:tbl>
      <w:tblPr>
        <w:tblStyle w:val="TableGrid"/>
        <w:tblW w:w="0" w:type="auto"/>
        <w:jc w:val="center"/>
        <w:tblLook w:val="04A0" w:firstRow="1" w:lastRow="0" w:firstColumn="1" w:lastColumn="0" w:noHBand="0" w:noVBand="1"/>
      </w:tblPr>
      <w:tblGrid>
        <w:gridCol w:w="2818"/>
        <w:gridCol w:w="1083"/>
        <w:gridCol w:w="1496"/>
        <w:gridCol w:w="1112"/>
        <w:gridCol w:w="1170"/>
        <w:gridCol w:w="2369"/>
      </w:tblGrid>
      <w:tr w:rsidR="00997065" w14:paraId="6F660C28" w14:textId="77777777">
        <w:trPr>
          <w:tblHeader/>
          <w:jc w:val="center"/>
        </w:trPr>
        <w:tc>
          <w:tcPr>
            <w:tcW w:w="1666" w:type="dxa"/>
            <w:tcBorders>
              <w:top w:val="single" w:sz="5" w:space="0" w:color="D7E4DD"/>
              <w:left w:val="single" w:sz="5" w:space="0" w:color="D7E4DD"/>
              <w:bottom w:val="single" w:sz="5" w:space="0" w:color="D7E4DD"/>
              <w:right w:val="single" w:sz="5" w:space="0" w:color="D7E4DD"/>
            </w:tcBorders>
            <w:shd w:val="clear" w:color="auto" w:fill="166B52"/>
            <w:vAlign w:val="center"/>
          </w:tcPr>
          <w:p w14:paraId="686FB397" w14:textId="77777777" w:rsidR="00997065" w:rsidRDefault="00497D67">
            <w:pPr>
              <w:spacing w:before="20" w:after="20"/>
            </w:pPr>
            <w:r>
              <w:rPr>
                <w:b/>
                <w:color w:val="FFFFFF"/>
                <w:sz w:val="24"/>
              </w:rPr>
              <w:t>Action / tier</w:t>
            </w:r>
          </w:p>
        </w:tc>
        <w:tc>
          <w:tcPr>
            <w:tcW w:w="1666" w:type="dxa"/>
            <w:tcBorders>
              <w:top w:val="single" w:sz="5" w:space="0" w:color="D7E4DD"/>
              <w:left w:val="single" w:sz="5" w:space="0" w:color="D7E4DD"/>
              <w:bottom w:val="single" w:sz="5" w:space="0" w:color="D7E4DD"/>
              <w:right w:val="single" w:sz="5" w:space="0" w:color="D7E4DD"/>
            </w:tcBorders>
            <w:shd w:val="clear" w:color="auto" w:fill="166B52"/>
            <w:vAlign w:val="center"/>
          </w:tcPr>
          <w:p w14:paraId="2049A30A" w14:textId="77777777" w:rsidR="00997065" w:rsidRDefault="00497D67">
            <w:pPr>
              <w:spacing w:before="20" w:after="20"/>
            </w:pPr>
            <w:r>
              <w:rPr>
                <w:b/>
                <w:color w:val="FFFFFF"/>
                <w:sz w:val="24"/>
              </w:rPr>
              <w:t>owner</w:t>
            </w:r>
          </w:p>
        </w:tc>
        <w:tc>
          <w:tcPr>
            <w:tcW w:w="1666" w:type="dxa"/>
            <w:tcBorders>
              <w:top w:val="single" w:sz="5" w:space="0" w:color="D7E4DD"/>
              <w:left w:val="single" w:sz="5" w:space="0" w:color="D7E4DD"/>
              <w:bottom w:val="single" w:sz="5" w:space="0" w:color="D7E4DD"/>
              <w:right w:val="single" w:sz="5" w:space="0" w:color="D7E4DD"/>
            </w:tcBorders>
            <w:shd w:val="clear" w:color="auto" w:fill="166B52"/>
            <w:vAlign w:val="center"/>
          </w:tcPr>
          <w:p w14:paraId="440081C9" w14:textId="77777777" w:rsidR="00997065" w:rsidRDefault="00497D67">
            <w:pPr>
              <w:spacing w:before="20" w:after="20"/>
            </w:pPr>
            <w:r>
              <w:rPr>
                <w:b/>
                <w:color w:val="FFFFFF"/>
                <w:sz w:val="24"/>
              </w:rPr>
              <w:t>finance_ops</w:t>
            </w:r>
          </w:p>
        </w:tc>
        <w:tc>
          <w:tcPr>
            <w:tcW w:w="1666" w:type="dxa"/>
            <w:tcBorders>
              <w:top w:val="single" w:sz="5" w:space="0" w:color="D7E4DD"/>
              <w:left w:val="single" w:sz="5" w:space="0" w:color="D7E4DD"/>
              <w:bottom w:val="single" w:sz="5" w:space="0" w:color="D7E4DD"/>
              <w:right w:val="single" w:sz="5" w:space="0" w:color="D7E4DD"/>
            </w:tcBorders>
            <w:shd w:val="clear" w:color="auto" w:fill="166B52"/>
            <w:vAlign w:val="center"/>
          </w:tcPr>
          <w:p w14:paraId="627FDCFA" w14:textId="77777777" w:rsidR="00997065" w:rsidRDefault="00497D67">
            <w:pPr>
              <w:spacing w:before="20" w:after="20"/>
            </w:pPr>
            <w:r>
              <w:rPr>
                <w:b/>
                <w:color w:val="FFFFFF"/>
                <w:sz w:val="24"/>
              </w:rPr>
              <w:t>viewer</w:t>
            </w:r>
          </w:p>
        </w:tc>
        <w:tc>
          <w:tcPr>
            <w:tcW w:w="1666" w:type="dxa"/>
            <w:tcBorders>
              <w:top w:val="single" w:sz="5" w:space="0" w:color="D7E4DD"/>
              <w:left w:val="single" w:sz="5" w:space="0" w:color="D7E4DD"/>
              <w:bottom w:val="single" w:sz="5" w:space="0" w:color="D7E4DD"/>
              <w:right w:val="single" w:sz="5" w:space="0" w:color="D7E4DD"/>
            </w:tcBorders>
            <w:shd w:val="clear" w:color="auto" w:fill="166B52"/>
            <w:vAlign w:val="center"/>
          </w:tcPr>
          <w:p w14:paraId="5E4D3E4E" w14:textId="77777777" w:rsidR="00997065" w:rsidRDefault="00497D67">
            <w:pPr>
              <w:spacing w:before="20" w:after="20"/>
            </w:pPr>
            <w:r>
              <w:rPr>
                <w:b/>
                <w:color w:val="FFFFFF"/>
                <w:sz w:val="24"/>
              </w:rPr>
              <w:t>auditor</w:t>
            </w:r>
          </w:p>
        </w:tc>
        <w:tc>
          <w:tcPr>
            <w:tcW w:w="1666" w:type="dxa"/>
            <w:tcBorders>
              <w:top w:val="single" w:sz="5" w:space="0" w:color="D7E4DD"/>
              <w:left w:val="single" w:sz="5" w:space="0" w:color="D7E4DD"/>
              <w:bottom w:val="single" w:sz="5" w:space="0" w:color="D7E4DD"/>
              <w:right w:val="single" w:sz="5" w:space="0" w:color="D7E4DD"/>
            </w:tcBorders>
            <w:shd w:val="clear" w:color="auto" w:fill="166B52"/>
            <w:vAlign w:val="center"/>
          </w:tcPr>
          <w:p w14:paraId="545C2E38" w14:textId="77777777" w:rsidR="00997065" w:rsidRDefault="00497D67">
            <w:pPr>
              <w:spacing w:before="20" w:after="20"/>
            </w:pPr>
            <w:r>
              <w:rPr>
                <w:b/>
                <w:color w:val="FFFFFF"/>
                <w:sz w:val="24"/>
              </w:rPr>
              <w:t>Enforced by</w:t>
            </w:r>
          </w:p>
        </w:tc>
      </w:tr>
      <w:tr w:rsidR="00997065" w14:paraId="768C6377" w14:textId="77777777">
        <w:trPr>
          <w:jc w:val="center"/>
        </w:trPr>
        <w:tc>
          <w:tcPr>
            <w:tcW w:w="1666" w:type="dxa"/>
            <w:tcBorders>
              <w:top w:val="single" w:sz="5" w:space="0" w:color="D7E4DD"/>
              <w:left w:val="single" w:sz="5" w:space="0" w:color="D7E4DD"/>
              <w:bottom w:val="single" w:sz="5" w:space="0" w:color="D7E4DD"/>
              <w:right w:val="single" w:sz="5" w:space="0" w:color="D7E4DD"/>
            </w:tcBorders>
            <w:shd w:val="clear" w:color="auto" w:fill="F4F8F5"/>
            <w:vAlign w:val="center"/>
          </w:tcPr>
          <w:p w14:paraId="38ED575D" w14:textId="77777777" w:rsidR="00997065" w:rsidRDefault="00497D67">
            <w:pPr>
              <w:spacing w:before="20" w:after="20"/>
            </w:pPr>
            <w:r>
              <w:rPr>
                <w:sz w:val="24"/>
              </w:rPr>
              <w:t>dashboard.view / READ</w:t>
            </w:r>
          </w:p>
        </w:tc>
        <w:tc>
          <w:tcPr>
            <w:tcW w:w="1666" w:type="dxa"/>
            <w:tcBorders>
              <w:top w:val="single" w:sz="5" w:space="0" w:color="D7E4DD"/>
              <w:left w:val="single" w:sz="5" w:space="0" w:color="D7E4DD"/>
              <w:bottom w:val="single" w:sz="5" w:space="0" w:color="D7E4DD"/>
              <w:right w:val="single" w:sz="5" w:space="0" w:color="D7E4DD"/>
            </w:tcBorders>
            <w:shd w:val="clear" w:color="auto" w:fill="F4F8F5"/>
            <w:vAlign w:val="center"/>
          </w:tcPr>
          <w:p w14:paraId="043D55F1" w14:textId="77777777" w:rsidR="00997065" w:rsidRDefault="00497D67">
            <w:pPr>
              <w:spacing w:before="20" w:after="20"/>
            </w:pPr>
            <w:r>
              <w:rPr>
                <w:sz w:val="24"/>
              </w:rPr>
              <w:t>✓</w:t>
            </w:r>
          </w:p>
        </w:tc>
        <w:tc>
          <w:tcPr>
            <w:tcW w:w="1666" w:type="dxa"/>
            <w:tcBorders>
              <w:top w:val="single" w:sz="5" w:space="0" w:color="D7E4DD"/>
              <w:left w:val="single" w:sz="5" w:space="0" w:color="D7E4DD"/>
              <w:bottom w:val="single" w:sz="5" w:space="0" w:color="D7E4DD"/>
              <w:right w:val="single" w:sz="5" w:space="0" w:color="D7E4DD"/>
            </w:tcBorders>
            <w:shd w:val="clear" w:color="auto" w:fill="F4F8F5"/>
            <w:vAlign w:val="center"/>
          </w:tcPr>
          <w:p w14:paraId="4016B925" w14:textId="77777777" w:rsidR="00997065" w:rsidRDefault="00497D67">
            <w:pPr>
              <w:spacing w:before="20" w:after="20"/>
            </w:pPr>
            <w:r>
              <w:rPr>
                <w:sz w:val="24"/>
              </w:rPr>
              <w:t>✓</w:t>
            </w:r>
          </w:p>
        </w:tc>
        <w:tc>
          <w:tcPr>
            <w:tcW w:w="1666" w:type="dxa"/>
            <w:tcBorders>
              <w:top w:val="single" w:sz="5" w:space="0" w:color="D7E4DD"/>
              <w:left w:val="single" w:sz="5" w:space="0" w:color="D7E4DD"/>
              <w:bottom w:val="single" w:sz="5" w:space="0" w:color="D7E4DD"/>
              <w:right w:val="single" w:sz="5" w:space="0" w:color="D7E4DD"/>
            </w:tcBorders>
            <w:shd w:val="clear" w:color="auto" w:fill="F4F8F5"/>
            <w:vAlign w:val="center"/>
          </w:tcPr>
          <w:p w14:paraId="42C99BEE" w14:textId="77777777" w:rsidR="00997065" w:rsidRDefault="00497D67">
            <w:pPr>
              <w:spacing w:before="20" w:after="20"/>
            </w:pPr>
            <w:r>
              <w:rPr>
                <w:sz w:val="24"/>
              </w:rPr>
              <w:t>✓</w:t>
            </w:r>
          </w:p>
        </w:tc>
        <w:tc>
          <w:tcPr>
            <w:tcW w:w="1666" w:type="dxa"/>
            <w:tcBorders>
              <w:top w:val="single" w:sz="5" w:space="0" w:color="D7E4DD"/>
              <w:left w:val="single" w:sz="5" w:space="0" w:color="D7E4DD"/>
              <w:bottom w:val="single" w:sz="5" w:space="0" w:color="D7E4DD"/>
              <w:right w:val="single" w:sz="5" w:space="0" w:color="D7E4DD"/>
            </w:tcBorders>
            <w:shd w:val="clear" w:color="auto" w:fill="F4F8F5"/>
            <w:vAlign w:val="center"/>
          </w:tcPr>
          <w:p w14:paraId="4B6FCAFC" w14:textId="77777777" w:rsidR="00997065" w:rsidRDefault="00497D67">
            <w:pPr>
              <w:spacing w:before="20" w:after="20"/>
            </w:pPr>
            <w:r>
              <w:rPr>
                <w:sz w:val="24"/>
              </w:rPr>
              <w:t>✓</w:t>
            </w:r>
          </w:p>
        </w:tc>
        <w:tc>
          <w:tcPr>
            <w:tcW w:w="1666" w:type="dxa"/>
            <w:tcBorders>
              <w:top w:val="single" w:sz="5" w:space="0" w:color="D7E4DD"/>
              <w:left w:val="single" w:sz="5" w:space="0" w:color="D7E4DD"/>
              <w:bottom w:val="single" w:sz="5" w:space="0" w:color="D7E4DD"/>
              <w:right w:val="single" w:sz="5" w:space="0" w:color="D7E4DD"/>
            </w:tcBorders>
            <w:shd w:val="clear" w:color="auto" w:fill="F4F8F5"/>
            <w:vAlign w:val="center"/>
          </w:tcPr>
          <w:p w14:paraId="1ACAF101" w14:textId="77777777" w:rsidR="00997065" w:rsidRDefault="00497D67">
            <w:pPr>
              <w:spacing w:before="20" w:after="20"/>
            </w:pPr>
            <w:r>
              <w:rPr>
                <w:sz w:val="24"/>
              </w:rPr>
              <w:t>Permission registry</w:t>
            </w:r>
          </w:p>
        </w:tc>
      </w:tr>
      <w:tr w:rsidR="00997065" w14:paraId="4CDA01A9" w14:textId="77777777">
        <w:trPr>
          <w:jc w:val="center"/>
        </w:trPr>
        <w:tc>
          <w:tcPr>
            <w:tcW w:w="1666" w:type="dxa"/>
            <w:tcBorders>
              <w:top w:val="single" w:sz="5" w:space="0" w:color="D7E4DD"/>
              <w:left w:val="single" w:sz="5" w:space="0" w:color="D7E4DD"/>
              <w:bottom w:val="single" w:sz="5" w:space="0" w:color="D7E4DD"/>
              <w:right w:val="single" w:sz="5" w:space="0" w:color="D7E4DD"/>
            </w:tcBorders>
            <w:shd w:val="clear" w:color="auto" w:fill="FFFFFF"/>
            <w:vAlign w:val="center"/>
          </w:tcPr>
          <w:p w14:paraId="02D0BD9A" w14:textId="77777777" w:rsidR="00997065" w:rsidRDefault="00497D67">
            <w:pPr>
              <w:spacing w:before="20" w:after="20"/>
            </w:pPr>
            <w:r>
              <w:rPr>
                <w:sz w:val="24"/>
              </w:rPr>
              <w:t>copilot.ask / READ</w:t>
            </w:r>
          </w:p>
        </w:tc>
        <w:tc>
          <w:tcPr>
            <w:tcW w:w="1666" w:type="dxa"/>
            <w:tcBorders>
              <w:top w:val="single" w:sz="5" w:space="0" w:color="D7E4DD"/>
              <w:left w:val="single" w:sz="5" w:space="0" w:color="D7E4DD"/>
              <w:bottom w:val="single" w:sz="5" w:space="0" w:color="D7E4DD"/>
              <w:right w:val="single" w:sz="5" w:space="0" w:color="D7E4DD"/>
            </w:tcBorders>
            <w:shd w:val="clear" w:color="auto" w:fill="FFFFFF"/>
            <w:vAlign w:val="center"/>
          </w:tcPr>
          <w:p w14:paraId="1D0669AE" w14:textId="77777777" w:rsidR="00997065" w:rsidRDefault="00497D67">
            <w:pPr>
              <w:spacing w:before="20" w:after="20"/>
            </w:pPr>
            <w:r>
              <w:rPr>
                <w:sz w:val="24"/>
              </w:rPr>
              <w:t>✓</w:t>
            </w:r>
          </w:p>
        </w:tc>
        <w:tc>
          <w:tcPr>
            <w:tcW w:w="1666" w:type="dxa"/>
            <w:tcBorders>
              <w:top w:val="single" w:sz="5" w:space="0" w:color="D7E4DD"/>
              <w:left w:val="single" w:sz="5" w:space="0" w:color="D7E4DD"/>
              <w:bottom w:val="single" w:sz="5" w:space="0" w:color="D7E4DD"/>
              <w:right w:val="single" w:sz="5" w:space="0" w:color="D7E4DD"/>
            </w:tcBorders>
            <w:shd w:val="clear" w:color="auto" w:fill="FFFFFF"/>
            <w:vAlign w:val="center"/>
          </w:tcPr>
          <w:p w14:paraId="1A10FC8D" w14:textId="77777777" w:rsidR="00997065" w:rsidRDefault="00497D67">
            <w:pPr>
              <w:spacing w:before="20" w:after="20"/>
            </w:pPr>
            <w:r>
              <w:rPr>
                <w:sz w:val="24"/>
              </w:rPr>
              <w:t>✓</w:t>
            </w:r>
          </w:p>
        </w:tc>
        <w:tc>
          <w:tcPr>
            <w:tcW w:w="1666" w:type="dxa"/>
            <w:tcBorders>
              <w:top w:val="single" w:sz="5" w:space="0" w:color="D7E4DD"/>
              <w:left w:val="single" w:sz="5" w:space="0" w:color="D7E4DD"/>
              <w:bottom w:val="single" w:sz="5" w:space="0" w:color="D7E4DD"/>
              <w:right w:val="single" w:sz="5" w:space="0" w:color="D7E4DD"/>
            </w:tcBorders>
            <w:shd w:val="clear" w:color="auto" w:fill="FFFFFF"/>
            <w:vAlign w:val="center"/>
          </w:tcPr>
          <w:p w14:paraId="18B56A84" w14:textId="77777777" w:rsidR="00997065" w:rsidRDefault="00497D67">
            <w:pPr>
              <w:spacing w:before="20" w:after="20"/>
            </w:pPr>
            <w:r>
              <w:rPr>
                <w:sz w:val="24"/>
              </w:rPr>
              <w:t>✓</w:t>
            </w:r>
          </w:p>
        </w:tc>
        <w:tc>
          <w:tcPr>
            <w:tcW w:w="1666" w:type="dxa"/>
            <w:tcBorders>
              <w:top w:val="single" w:sz="5" w:space="0" w:color="D7E4DD"/>
              <w:left w:val="single" w:sz="5" w:space="0" w:color="D7E4DD"/>
              <w:bottom w:val="single" w:sz="5" w:space="0" w:color="D7E4DD"/>
              <w:right w:val="single" w:sz="5" w:space="0" w:color="D7E4DD"/>
            </w:tcBorders>
            <w:shd w:val="clear" w:color="auto" w:fill="FFFFFF"/>
            <w:vAlign w:val="center"/>
          </w:tcPr>
          <w:p w14:paraId="02C413C3" w14:textId="77777777" w:rsidR="00997065" w:rsidRDefault="00497D67">
            <w:pPr>
              <w:spacing w:before="20" w:after="20"/>
            </w:pPr>
            <w:r>
              <w:rPr>
                <w:sz w:val="24"/>
              </w:rPr>
              <w:t>✓</w:t>
            </w:r>
          </w:p>
        </w:tc>
        <w:tc>
          <w:tcPr>
            <w:tcW w:w="1666" w:type="dxa"/>
            <w:tcBorders>
              <w:top w:val="single" w:sz="5" w:space="0" w:color="D7E4DD"/>
              <w:left w:val="single" w:sz="5" w:space="0" w:color="D7E4DD"/>
              <w:bottom w:val="single" w:sz="5" w:space="0" w:color="D7E4DD"/>
              <w:right w:val="single" w:sz="5" w:space="0" w:color="D7E4DD"/>
            </w:tcBorders>
            <w:shd w:val="clear" w:color="auto" w:fill="FFFFFF"/>
            <w:vAlign w:val="center"/>
          </w:tcPr>
          <w:p w14:paraId="3736D018" w14:textId="77777777" w:rsidR="00997065" w:rsidRDefault="00497D67">
            <w:pPr>
              <w:spacing w:before="20" w:after="20"/>
            </w:pPr>
            <w:r>
              <w:rPr>
                <w:sz w:val="24"/>
              </w:rPr>
              <w:t>services.copilot</w:t>
            </w:r>
          </w:p>
        </w:tc>
      </w:tr>
      <w:tr w:rsidR="00997065" w14:paraId="3242D87B" w14:textId="77777777">
        <w:trPr>
          <w:jc w:val="center"/>
        </w:trPr>
        <w:tc>
          <w:tcPr>
            <w:tcW w:w="1666" w:type="dxa"/>
            <w:tcBorders>
              <w:top w:val="single" w:sz="5" w:space="0" w:color="D7E4DD"/>
              <w:left w:val="single" w:sz="5" w:space="0" w:color="D7E4DD"/>
              <w:bottom w:val="single" w:sz="5" w:space="0" w:color="D7E4DD"/>
              <w:right w:val="single" w:sz="5" w:space="0" w:color="D7E4DD"/>
            </w:tcBorders>
            <w:shd w:val="clear" w:color="auto" w:fill="F4F8F5"/>
            <w:vAlign w:val="center"/>
          </w:tcPr>
          <w:p w14:paraId="627E922D" w14:textId="77777777" w:rsidR="00997065" w:rsidRDefault="00497D67">
            <w:pPr>
              <w:spacing w:before="20" w:after="20"/>
            </w:pPr>
            <w:r>
              <w:rPr>
                <w:sz w:val="24"/>
              </w:rPr>
              <w:t>audit.view / READ</w:t>
            </w:r>
          </w:p>
        </w:tc>
        <w:tc>
          <w:tcPr>
            <w:tcW w:w="1666" w:type="dxa"/>
            <w:tcBorders>
              <w:top w:val="single" w:sz="5" w:space="0" w:color="D7E4DD"/>
              <w:left w:val="single" w:sz="5" w:space="0" w:color="D7E4DD"/>
              <w:bottom w:val="single" w:sz="5" w:space="0" w:color="D7E4DD"/>
              <w:right w:val="single" w:sz="5" w:space="0" w:color="D7E4DD"/>
            </w:tcBorders>
            <w:shd w:val="clear" w:color="auto" w:fill="F4F8F5"/>
            <w:vAlign w:val="center"/>
          </w:tcPr>
          <w:p w14:paraId="2CBAA3C3" w14:textId="77777777" w:rsidR="00997065" w:rsidRDefault="00497D67">
            <w:pPr>
              <w:spacing w:before="20" w:after="20"/>
            </w:pPr>
            <w:r>
              <w:rPr>
                <w:sz w:val="24"/>
              </w:rPr>
              <w:t>✓</w:t>
            </w:r>
          </w:p>
        </w:tc>
        <w:tc>
          <w:tcPr>
            <w:tcW w:w="1666" w:type="dxa"/>
            <w:tcBorders>
              <w:top w:val="single" w:sz="5" w:space="0" w:color="D7E4DD"/>
              <w:left w:val="single" w:sz="5" w:space="0" w:color="D7E4DD"/>
              <w:bottom w:val="single" w:sz="5" w:space="0" w:color="D7E4DD"/>
              <w:right w:val="single" w:sz="5" w:space="0" w:color="D7E4DD"/>
            </w:tcBorders>
            <w:shd w:val="clear" w:color="auto" w:fill="F4F8F5"/>
            <w:vAlign w:val="center"/>
          </w:tcPr>
          <w:p w14:paraId="0F293A66" w14:textId="77777777" w:rsidR="00997065" w:rsidRDefault="00497D67">
            <w:pPr>
              <w:spacing w:before="20" w:after="20"/>
            </w:pPr>
            <w:r>
              <w:rPr>
                <w:sz w:val="24"/>
              </w:rPr>
              <w:t>—</w:t>
            </w:r>
          </w:p>
        </w:tc>
        <w:tc>
          <w:tcPr>
            <w:tcW w:w="1666" w:type="dxa"/>
            <w:tcBorders>
              <w:top w:val="single" w:sz="5" w:space="0" w:color="D7E4DD"/>
              <w:left w:val="single" w:sz="5" w:space="0" w:color="D7E4DD"/>
              <w:bottom w:val="single" w:sz="5" w:space="0" w:color="D7E4DD"/>
              <w:right w:val="single" w:sz="5" w:space="0" w:color="D7E4DD"/>
            </w:tcBorders>
            <w:shd w:val="clear" w:color="auto" w:fill="F4F8F5"/>
            <w:vAlign w:val="center"/>
          </w:tcPr>
          <w:p w14:paraId="3BB20444" w14:textId="77777777" w:rsidR="00997065" w:rsidRDefault="00497D67">
            <w:pPr>
              <w:spacing w:before="20" w:after="20"/>
            </w:pPr>
            <w:r>
              <w:rPr>
                <w:sz w:val="24"/>
              </w:rPr>
              <w:t>—</w:t>
            </w:r>
          </w:p>
        </w:tc>
        <w:tc>
          <w:tcPr>
            <w:tcW w:w="1666" w:type="dxa"/>
            <w:tcBorders>
              <w:top w:val="single" w:sz="5" w:space="0" w:color="D7E4DD"/>
              <w:left w:val="single" w:sz="5" w:space="0" w:color="D7E4DD"/>
              <w:bottom w:val="single" w:sz="5" w:space="0" w:color="D7E4DD"/>
              <w:right w:val="single" w:sz="5" w:space="0" w:color="D7E4DD"/>
            </w:tcBorders>
            <w:shd w:val="clear" w:color="auto" w:fill="F4F8F5"/>
            <w:vAlign w:val="center"/>
          </w:tcPr>
          <w:p w14:paraId="375A7ACC" w14:textId="77777777" w:rsidR="00997065" w:rsidRDefault="00497D67">
            <w:pPr>
              <w:spacing w:before="20" w:after="20"/>
            </w:pPr>
            <w:r>
              <w:rPr>
                <w:sz w:val="24"/>
              </w:rPr>
              <w:t>✓</w:t>
            </w:r>
          </w:p>
        </w:tc>
        <w:tc>
          <w:tcPr>
            <w:tcW w:w="1666" w:type="dxa"/>
            <w:tcBorders>
              <w:top w:val="single" w:sz="5" w:space="0" w:color="D7E4DD"/>
              <w:left w:val="single" w:sz="5" w:space="0" w:color="D7E4DD"/>
              <w:bottom w:val="single" w:sz="5" w:space="0" w:color="D7E4DD"/>
              <w:right w:val="single" w:sz="5" w:space="0" w:color="D7E4DD"/>
            </w:tcBorders>
            <w:shd w:val="clear" w:color="auto" w:fill="F4F8F5"/>
            <w:vAlign w:val="center"/>
          </w:tcPr>
          <w:p w14:paraId="2525B2A3" w14:textId="77777777" w:rsidR="00997065" w:rsidRDefault="00497D67">
            <w:pPr>
              <w:spacing w:before="20" w:after="20"/>
            </w:pPr>
            <w:r>
              <w:rPr>
                <w:sz w:val="24"/>
              </w:rPr>
              <w:t>services.audit</w:t>
            </w:r>
          </w:p>
        </w:tc>
      </w:tr>
      <w:tr w:rsidR="00997065" w14:paraId="3ABBB6C7" w14:textId="77777777">
        <w:trPr>
          <w:jc w:val="center"/>
        </w:trPr>
        <w:tc>
          <w:tcPr>
            <w:tcW w:w="1666" w:type="dxa"/>
            <w:tcBorders>
              <w:top w:val="single" w:sz="5" w:space="0" w:color="D7E4DD"/>
              <w:left w:val="single" w:sz="5" w:space="0" w:color="D7E4DD"/>
              <w:bottom w:val="single" w:sz="5" w:space="0" w:color="D7E4DD"/>
              <w:right w:val="single" w:sz="5" w:space="0" w:color="D7E4DD"/>
            </w:tcBorders>
            <w:shd w:val="clear" w:color="auto" w:fill="FFFFFF"/>
            <w:vAlign w:val="center"/>
          </w:tcPr>
          <w:p w14:paraId="4977A22D" w14:textId="77777777" w:rsidR="00997065" w:rsidRDefault="00497D67">
            <w:pPr>
              <w:spacing w:before="20" w:after="20"/>
            </w:pPr>
            <w:r>
              <w:rPr>
                <w:sz w:val="24"/>
              </w:rPr>
              <w:t>lab.run, scenario.change, data.upload, draft.create / DRAFT</w:t>
            </w:r>
          </w:p>
        </w:tc>
        <w:tc>
          <w:tcPr>
            <w:tcW w:w="1666" w:type="dxa"/>
            <w:tcBorders>
              <w:top w:val="single" w:sz="5" w:space="0" w:color="D7E4DD"/>
              <w:left w:val="single" w:sz="5" w:space="0" w:color="D7E4DD"/>
              <w:bottom w:val="single" w:sz="5" w:space="0" w:color="D7E4DD"/>
              <w:right w:val="single" w:sz="5" w:space="0" w:color="D7E4DD"/>
            </w:tcBorders>
            <w:shd w:val="clear" w:color="auto" w:fill="FFFFFF"/>
            <w:vAlign w:val="center"/>
          </w:tcPr>
          <w:p w14:paraId="0D957ABB" w14:textId="77777777" w:rsidR="00997065" w:rsidRDefault="00497D67">
            <w:pPr>
              <w:spacing w:before="20" w:after="20"/>
            </w:pPr>
            <w:r>
              <w:rPr>
                <w:sz w:val="24"/>
              </w:rPr>
              <w:t>✓</w:t>
            </w:r>
          </w:p>
        </w:tc>
        <w:tc>
          <w:tcPr>
            <w:tcW w:w="1666" w:type="dxa"/>
            <w:tcBorders>
              <w:top w:val="single" w:sz="5" w:space="0" w:color="D7E4DD"/>
              <w:left w:val="single" w:sz="5" w:space="0" w:color="D7E4DD"/>
              <w:bottom w:val="single" w:sz="5" w:space="0" w:color="D7E4DD"/>
              <w:right w:val="single" w:sz="5" w:space="0" w:color="D7E4DD"/>
            </w:tcBorders>
            <w:shd w:val="clear" w:color="auto" w:fill="FFFFFF"/>
            <w:vAlign w:val="center"/>
          </w:tcPr>
          <w:p w14:paraId="3A921E5E" w14:textId="77777777" w:rsidR="00997065" w:rsidRDefault="00497D67">
            <w:pPr>
              <w:spacing w:before="20" w:after="20"/>
            </w:pPr>
            <w:r>
              <w:rPr>
                <w:sz w:val="24"/>
              </w:rPr>
              <w:t>✓</w:t>
            </w:r>
          </w:p>
        </w:tc>
        <w:tc>
          <w:tcPr>
            <w:tcW w:w="1666" w:type="dxa"/>
            <w:tcBorders>
              <w:top w:val="single" w:sz="5" w:space="0" w:color="D7E4DD"/>
              <w:left w:val="single" w:sz="5" w:space="0" w:color="D7E4DD"/>
              <w:bottom w:val="single" w:sz="5" w:space="0" w:color="D7E4DD"/>
              <w:right w:val="single" w:sz="5" w:space="0" w:color="D7E4DD"/>
            </w:tcBorders>
            <w:shd w:val="clear" w:color="auto" w:fill="FFFFFF"/>
            <w:vAlign w:val="center"/>
          </w:tcPr>
          <w:p w14:paraId="12A3CC1A" w14:textId="77777777" w:rsidR="00997065" w:rsidRDefault="00497D67">
            <w:pPr>
              <w:spacing w:before="20" w:after="20"/>
            </w:pPr>
            <w:r>
              <w:rPr>
                <w:sz w:val="24"/>
              </w:rPr>
              <w:t>—</w:t>
            </w:r>
          </w:p>
        </w:tc>
        <w:tc>
          <w:tcPr>
            <w:tcW w:w="1666" w:type="dxa"/>
            <w:tcBorders>
              <w:top w:val="single" w:sz="5" w:space="0" w:color="D7E4DD"/>
              <w:left w:val="single" w:sz="5" w:space="0" w:color="D7E4DD"/>
              <w:bottom w:val="single" w:sz="5" w:space="0" w:color="D7E4DD"/>
              <w:right w:val="single" w:sz="5" w:space="0" w:color="D7E4DD"/>
            </w:tcBorders>
            <w:shd w:val="clear" w:color="auto" w:fill="FFFFFF"/>
            <w:vAlign w:val="center"/>
          </w:tcPr>
          <w:p w14:paraId="30D9ADA7" w14:textId="77777777" w:rsidR="00997065" w:rsidRDefault="00497D67">
            <w:pPr>
              <w:spacing w:before="20" w:after="20"/>
            </w:pPr>
            <w:r>
              <w:rPr>
                <w:sz w:val="24"/>
              </w:rPr>
              <w:t>—</w:t>
            </w:r>
          </w:p>
        </w:tc>
        <w:tc>
          <w:tcPr>
            <w:tcW w:w="1666" w:type="dxa"/>
            <w:tcBorders>
              <w:top w:val="single" w:sz="5" w:space="0" w:color="D7E4DD"/>
              <w:left w:val="single" w:sz="5" w:space="0" w:color="D7E4DD"/>
              <w:bottom w:val="single" w:sz="5" w:space="0" w:color="D7E4DD"/>
              <w:right w:val="single" w:sz="5" w:space="0" w:color="D7E4DD"/>
            </w:tcBorders>
            <w:shd w:val="clear" w:color="auto" w:fill="FFFFFF"/>
            <w:vAlign w:val="center"/>
          </w:tcPr>
          <w:p w14:paraId="29E7BFF4" w14:textId="77777777" w:rsidR="00997065" w:rsidRDefault="00497D67">
            <w:pPr>
              <w:spacing w:before="20" w:after="20"/>
            </w:pPr>
            <w:r>
              <w:rPr>
                <w:sz w:val="24"/>
              </w:rPr>
              <w:t>actions / validation / agent_actions</w:t>
            </w:r>
          </w:p>
        </w:tc>
      </w:tr>
      <w:tr w:rsidR="00997065" w14:paraId="38B351CC" w14:textId="77777777">
        <w:trPr>
          <w:jc w:val="center"/>
        </w:trPr>
        <w:tc>
          <w:tcPr>
            <w:tcW w:w="1666" w:type="dxa"/>
            <w:tcBorders>
              <w:top w:val="single" w:sz="5" w:space="0" w:color="D7E4DD"/>
              <w:left w:val="single" w:sz="5" w:space="0" w:color="D7E4DD"/>
              <w:bottom w:val="single" w:sz="5" w:space="0" w:color="D7E4DD"/>
              <w:right w:val="single" w:sz="5" w:space="0" w:color="D7E4DD"/>
            </w:tcBorders>
            <w:shd w:val="clear" w:color="auto" w:fill="F4F8F5"/>
            <w:vAlign w:val="center"/>
          </w:tcPr>
          <w:p w14:paraId="4E5FC08A" w14:textId="77777777" w:rsidR="00997065" w:rsidRDefault="00497D67">
            <w:pPr>
              <w:spacing w:before="20" w:after="20"/>
            </w:pPr>
            <w:r>
              <w:rPr>
                <w:sz w:val="24"/>
              </w:rPr>
              <w:t>assumptions.manage / DRAFT</w:t>
            </w:r>
          </w:p>
        </w:tc>
        <w:tc>
          <w:tcPr>
            <w:tcW w:w="1666" w:type="dxa"/>
            <w:tcBorders>
              <w:top w:val="single" w:sz="5" w:space="0" w:color="D7E4DD"/>
              <w:left w:val="single" w:sz="5" w:space="0" w:color="D7E4DD"/>
              <w:bottom w:val="single" w:sz="5" w:space="0" w:color="D7E4DD"/>
              <w:right w:val="single" w:sz="5" w:space="0" w:color="D7E4DD"/>
            </w:tcBorders>
            <w:shd w:val="clear" w:color="auto" w:fill="F4F8F5"/>
            <w:vAlign w:val="center"/>
          </w:tcPr>
          <w:p w14:paraId="4A6A5C94" w14:textId="77777777" w:rsidR="00997065" w:rsidRDefault="00497D67">
            <w:pPr>
              <w:spacing w:before="20" w:after="20"/>
            </w:pPr>
            <w:r>
              <w:rPr>
                <w:sz w:val="24"/>
              </w:rPr>
              <w:t>✓</w:t>
            </w:r>
          </w:p>
        </w:tc>
        <w:tc>
          <w:tcPr>
            <w:tcW w:w="1666" w:type="dxa"/>
            <w:tcBorders>
              <w:top w:val="single" w:sz="5" w:space="0" w:color="D7E4DD"/>
              <w:left w:val="single" w:sz="5" w:space="0" w:color="D7E4DD"/>
              <w:bottom w:val="single" w:sz="5" w:space="0" w:color="D7E4DD"/>
              <w:right w:val="single" w:sz="5" w:space="0" w:color="D7E4DD"/>
            </w:tcBorders>
            <w:shd w:val="clear" w:color="auto" w:fill="F4F8F5"/>
            <w:vAlign w:val="center"/>
          </w:tcPr>
          <w:p w14:paraId="6D6E6990" w14:textId="77777777" w:rsidR="00997065" w:rsidRDefault="00497D67">
            <w:pPr>
              <w:spacing w:before="20" w:after="20"/>
            </w:pPr>
            <w:r>
              <w:rPr>
                <w:sz w:val="24"/>
              </w:rPr>
              <w:t>—</w:t>
            </w:r>
          </w:p>
        </w:tc>
        <w:tc>
          <w:tcPr>
            <w:tcW w:w="1666" w:type="dxa"/>
            <w:tcBorders>
              <w:top w:val="single" w:sz="5" w:space="0" w:color="D7E4DD"/>
              <w:left w:val="single" w:sz="5" w:space="0" w:color="D7E4DD"/>
              <w:bottom w:val="single" w:sz="5" w:space="0" w:color="D7E4DD"/>
              <w:right w:val="single" w:sz="5" w:space="0" w:color="D7E4DD"/>
            </w:tcBorders>
            <w:shd w:val="clear" w:color="auto" w:fill="F4F8F5"/>
            <w:vAlign w:val="center"/>
          </w:tcPr>
          <w:p w14:paraId="3FD4A44F" w14:textId="77777777" w:rsidR="00997065" w:rsidRDefault="00497D67">
            <w:pPr>
              <w:spacing w:before="20" w:after="20"/>
            </w:pPr>
            <w:r>
              <w:rPr>
                <w:sz w:val="24"/>
              </w:rPr>
              <w:t>—</w:t>
            </w:r>
          </w:p>
        </w:tc>
        <w:tc>
          <w:tcPr>
            <w:tcW w:w="1666" w:type="dxa"/>
            <w:tcBorders>
              <w:top w:val="single" w:sz="5" w:space="0" w:color="D7E4DD"/>
              <w:left w:val="single" w:sz="5" w:space="0" w:color="D7E4DD"/>
              <w:bottom w:val="single" w:sz="5" w:space="0" w:color="D7E4DD"/>
              <w:right w:val="single" w:sz="5" w:space="0" w:color="D7E4DD"/>
            </w:tcBorders>
            <w:shd w:val="clear" w:color="auto" w:fill="F4F8F5"/>
            <w:vAlign w:val="center"/>
          </w:tcPr>
          <w:p w14:paraId="5BB05339" w14:textId="77777777" w:rsidR="00997065" w:rsidRDefault="00497D67">
            <w:pPr>
              <w:spacing w:before="20" w:after="20"/>
            </w:pPr>
            <w:r>
              <w:rPr>
                <w:sz w:val="24"/>
              </w:rPr>
              <w:t>—</w:t>
            </w:r>
          </w:p>
        </w:tc>
        <w:tc>
          <w:tcPr>
            <w:tcW w:w="1666" w:type="dxa"/>
            <w:tcBorders>
              <w:top w:val="single" w:sz="5" w:space="0" w:color="D7E4DD"/>
              <w:left w:val="single" w:sz="5" w:space="0" w:color="D7E4DD"/>
              <w:bottom w:val="single" w:sz="5" w:space="0" w:color="D7E4DD"/>
              <w:right w:val="single" w:sz="5" w:space="0" w:color="D7E4DD"/>
            </w:tcBorders>
            <w:shd w:val="clear" w:color="auto" w:fill="F4F8F5"/>
            <w:vAlign w:val="center"/>
          </w:tcPr>
          <w:p w14:paraId="16759A76" w14:textId="77777777" w:rsidR="00997065" w:rsidRDefault="00497D67">
            <w:pPr>
              <w:spacing w:before="20" w:after="20"/>
            </w:pPr>
            <w:r>
              <w:rPr>
                <w:sz w:val="24"/>
              </w:rPr>
              <w:t>Permission registry</w:t>
            </w:r>
          </w:p>
        </w:tc>
      </w:tr>
      <w:tr w:rsidR="00997065" w14:paraId="2398493E" w14:textId="77777777">
        <w:trPr>
          <w:jc w:val="center"/>
        </w:trPr>
        <w:tc>
          <w:tcPr>
            <w:tcW w:w="1666" w:type="dxa"/>
            <w:tcBorders>
              <w:top w:val="single" w:sz="5" w:space="0" w:color="D7E4DD"/>
              <w:left w:val="single" w:sz="5" w:space="0" w:color="D7E4DD"/>
              <w:bottom w:val="single" w:sz="5" w:space="0" w:color="D7E4DD"/>
              <w:right w:val="single" w:sz="5" w:space="0" w:color="D7E4DD"/>
            </w:tcBorders>
            <w:shd w:val="clear" w:color="auto" w:fill="FFFFFF"/>
            <w:vAlign w:val="center"/>
          </w:tcPr>
          <w:p w14:paraId="5255CA09" w14:textId="77777777" w:rsidR="00997065" w:rsidRDefault="00497D67">
            <w:pPr>
              <w:spacing w:before="20" w:after="20"/>
            </w:pPr>
            <w:r>
              <w:rPr>
                <w:sz w:val="24"/>
              </w:rPr>
              <w:t>draft.approve, draft.reject, execution.simulate / APPROVAL_REQUIRED</w:t>
            </w:r>
          </w:p>
        </w:tc>
        <w:tc>
          <w:tcPr>
            <w:tcW w:w="1666" w:type="dxa"/>
            <w:tcBorders>
              <w:top w:val="single" w:sz="5" w:space="0" w:color="D7E4DD"/>
              <w:left w:val="single" w:sz="5" w:space="0" w:color="D7E4DD"/>
              <w:bottom w:val="single" w:sz="5" w:space="0" w:color="D7E4DD"/>
              <w:right w:val="single" w:sz="5" w:space="0" w:color="D7E4DD"/>
            </w:tcBorders>
            <w:shd w:val="clear" w:color="auto" w:fill="FFFFFF"/>
            <w:vAlign w:val="center"/>
          </w:tcPr>
          <w:p w14:paraId="4034ADAF" w14:textId="77777777" w:rsidR="00997065" w:rsidRDefault="00497D67">
            <w:pPr>
              <w:spacing w:before="20" w:after="20"/>
            </w:pPr>
            <w:r>
              <w:rPr>
                <w:sz w:val="24"/>
              </w:rPr>
              <w:t>✓</w:t>
            </w:r>
          </w:p>
        </w:tc>
        <w:tc>
          <w:tcPr>
            <w:tcW w:w="1666" w:type="dxa"/>
            <w:tcBorders>
              <w:top w:val="single" w:sz="5" w:space="0" w:color="D7E4DD"/>
              <w:left w:val="single" w:sz="5" w:space="0" w:color="D7E4DD"/>
              <w:bottom w:val="single" w:sz="5" w:space="0" w:color="D7E4DD"/>
              <w:right w:val="single" w:sz="5" w:space="0" w:color="D7E4DD"/>
            </w:tcBorders>
            <w:shd w:val="clear" w:color="auto" w:fill="FFFFFF"/>
            <w:vAlign w:val="center"/>
          </w:tcPr>
          <w:p w14:paraId="3FF7FA6D" w14:textId="77777777" w:rsidR="00997065" w:rsidRDefault="00497D67">
            <w:pPr>
              <w:spacing w:before="20" w:after="20"/>
            </w:pPr>
            <w:r>
              <w:rPr>
                <w:sz w:val="24"/>
              </w:rPr>
              <w:t>—</w:t>
            </w:r>
          </w:p>
        </w:tc>
        <w:tc>
          <w:tcPr>
            <w:tcW w:w="1666" w:type="dxa"/>
            <w:tcBorders>
              <w:top w:val="single" w:sz="5" w:space="0" w:color="D7E4DD"/>
              <w:left w:val="single" w:sz="5" w:space="0" w:color="D7E4DD"/>
              <w:bottom w:val="single" w:sz="5" w:space="0" w:color="D7E4DD"/>
              <w:right w:val="single" w:sz="5" w:space="0" w:color="D7E4DD"/>
            </w:tcBorders>
            <w:shd w:val="clear" w:color="auto" w:fill="FFFFFF"/>
            <w:vAlign w:val="center"/>
          </w:tcPr>
          <w:p w14:paraId="274EF7FF" w14:textId="77777777" w:rsidR="00997065" w:rsidRDefault="00497D67">
            <w:pPr>
              <w:spacing w:before="20" w:after="20"/>
            </w:pPr>
            <w:r>
              <w:rPr>
                <w:sz w:val="24"/>
              </w:rPr>
              <w:t>—</w:t>
            </w:r>
          </w:p>
        </w:tc>
        <w:tc>
          <w:tcPr>
            <w:tcW w:w="1666" w:type="dxa"/>
            <w:tcBorders>
              <w:top w:val="single" w:sz="5" w:space="0" w:color="D7E4DD"/>
              <w:left w:val="single" w:sz="5" w:space="0" w:color="D7E4DD"/>
              <w:bottom w:val="single" w:sz="5" w:space="0" w:color="D7E4DD"/>
              <w:right w:val="single" w:sz="5" w:space="0" w:color="D7E4DD"/>
            </w:tcBorders>
            <w:shd w:val="clear" w:color="auto" w:fill="FFFFFF"/>
            <w:vAlign w:val="center"/>
          </w:tcPr>
          <w:p w14:paraId="1B8CC7A8" w14:textId="77777777" w:rsidR="00997065" w:rsidRDefault="00497D67">
            <w:pPr>
              <w:spacing w:before="20" w:after="20"/>
            </w:pPr>
            <w:r>
              <w:rPr>
                <w:sz w:val="24"/>
              </w:rPr>
              <w:t>—</w:t>
            </w:r>
          </w:p>
        </w:tc>
        <w:tc>
          <w:tcPr>
            <w:tcW w:w="1666" w:type="dxa"/>
            <w:tcBorders>
              <w:top w:val="single" w:sz="5" w:space="0" w:color="D7E4DD"/>
              <w:left w:val="single" w:sz="5" w:space="0" w:color="D7E4DD"/>
              <w:bottom w:val="single" w:sz="5" w:space="0" w:color="D7E4DD"/>
              <w:right w:val="single" w:sz="5" w:space="0" w:color="D7E4DD"/>
            </w:tcBorders>
            <w:shd w:val="clear" w:color="auto" w:fill="FFFFFF"/>
            <w:vAlign w:val="center"/>
          </w:tcPr>
          <w:p w14:paraId="02D43F98" w14:textId="77777777" w:rsidR="00997065" w:rsidRDefault="00497D67">
            <w:pPr>
              <w:spacing w:before="20" w:after="20"/>
            </w:pPr>
            <w:r>
              <w:rPr>
                <w:sz w:val="24"/>
              </w:rPr>
              <w:t>services.agent_actions state checks</w:t>
            </w:r>
          </w:p>
        </w:tc>
      </w:tr>
      <w:tr w:rsidR="00997065" w14:paraId="6C449F46" w14:textId="77777777">
        <w:trPr>
          <w:jc w:val="center"/>
        </w:trPr>
        <w:tc>
          <w:tcPr>
            <w:tcW w:w="1666" w:type="dxa"/>
            <w:tcBorders>
              <w:top w:val="single" w:sz="5" w:space="0" w:color="D7E4DD"/>
              <w:left w:val="single" w:sz="5" w:space="0" w:color="D7E4DD"/>
              <w:bottom w:val="single" w:sz="5" w:space="0" w:color="D7E4DD"/>
              <w:right w:val="single" w:sz="5" w:space="0" w:color="D7E4DD"/>
            </w:tcBorders>
            <w:shd w:val="clear" w:color="auto" w:fill="F4F8F5"/>
            <w:vAlign w:val="center"/>
          </w:tcPr>
          <w:p w14:paraId="243E8AA5" w14:textId="77777777" w:rsidR="00997065" w:rsidRDefault="00497D67">
            <w:pPr>
              <w:spacing w:before="20" w:after="20"/>
            </w:pPr>
            <w:r>
              <w:rPr>
                <w:sz w:val="24"/>
              </w:rPr>
              <w:t>money.move / MONEY_MOVEMENT</w:t>
            </w:r>
          </w:p>
        </w:tc>
        <w:tc>
          <w:tcPr>
            <w:tcW w:w="1666" w:type="dxa"/>
            <w:tcBorders>
              <w:top w:val="single" w:sz="5" w:space="0" w:color="D7E4DD"/>
              <w:left w:val="single" w:sz="5" w:space="0" w:color="D7E4DD"/>
              <w:bottom w:val="single" w:sz="5" w:space="0" w:color="D7E4DD"/>
              <w:right w:val="single" w:sz="5" w:space="0" w:color="D7E4DD"/>
            </w:tcBorders>
            <w:shd w:val="clear" w:color="auto" w:fill="F4F8F5"/>
            <w:vAlign w:val="center"/>
          </w:tcPr>
          <w:p w14:paraId="0E59B27D" w14:textId="77777777" w:rsidR="00997065" w:rsidRDefault="00497D67">
            <w:pPr>
              <w:spacing w:before="20" w:after="20"/>
            </w:pPr>
            <w:r>
              <w:rPr>
                <w:sz w:val="24"/>
              </w:rPr>
              <w:t>—</w:t>
            </w:r>
          </w:p>
        </w:tc>
        <w:tc>
          <w:tcPr>
            <w:tcW w:w="1666" w:type="dxa"/>
            <w:tcBorders>
              <w:top w:val="single" w:sz="5" w:space="0" w:color="D7E4DD"/>
              <w:left w:val="single" w:sz="5" w:space="0" w:color="D7E4DD"/>
              <w:bottom w:val="single" w:sz="5" w:space="0" w:color="D7E4DD"/>
              <w:right w:val="single" w:sz="5" w:space="0" w:color="D7E4DD"/>
            </w:tcBorders>
            <w:shd w:val="clear" w:color="auto" w:fill="F4F8F5"/>
            <w:vAlign w:val="center"/>
          </w:tcPr>
          <w:p w14:paraId="22211105" w14:textId="77777777" w:rsidR="00997065" w:rsidRDefault="00497D67">
            <w:pPr>
              <w:spacing w:before="20" w:after="20"/>
            </w:pPr>
            <w:r>
              <w:rPr>
                <w:sz w:val="24"/>
              </w:rPr>
              <w:t>—</w:t>
            </w:r>
          </w:p>
        </w:tc>
        <w:tc>
          <w:tcPr>
            <w:tcW w:w="1666" w:type="dxa"/>
            <w:tcBorders>
              <w:top w:val="single" w:sz="5" w:space="0" w:color="D7E4DD"/>
              <w:left w:val="single" w:sz="5" w:space="0" w:color="D7E4DD"/>
              <w:bottom w:val="single" w:sz="5" w:space="0" w:color="D7E4DD"/>
              <w:right w:val="single" w:sz="5" w:space="0" w:color="D7E4DD"/>
            </w:tcBorders>
            <w:shd w:val="clear" w:color="auto" w:fill="F4F8F5"/>
            <w:vAlign w:val="center"/>
          </w:tcPr>
          <w:p w14:paraId="6996BBB7" w14:textId="77777777" w:rsidR="00997065" w:rsidRDefault="00497D67">
            <w:pPr>
              <w:spacing w:before="20" w:after="20"/>
            </w:pPr>
            <w:r>
              <w:rPr>
                <w:sz w:val="24"/>
              </w:rPr>
              <w:t>—</w:t>
            </w:r>
          </w:p>
        </w:tc>
        <w:tc>
          <w:tcPr>
            <w:tcW w:w="1666" w:type="dxa"/>
            <w:tcBorders>
              <w:top w:val="single" w:sz="5" w:space="0" w:color="D7E4DD"/>
              <w:left w:val="single" w:sz="5" w:space="0" w:color="D7E4DD"/>
              <w:bottom w:val="single" w:sz="5" w:space="0" w:color="D7E4DD"/>
              <w:right w:val="single" w:sz="5" w:space="0" w:color="D7E4DD"/>
            </w:tcBorders>
            <w:shd w:val="clear" w:color="auto" w:fill="F4F8F5"/>
            <w:vAlign w:val="center"/>
          </w:tcPr>
          <w:p w14:paraId="56AC3F95" w14:textId="77777777" w:rsidR="00997065" w:rsidRDefault="00497D67">
            <w:pPr>
              <w:spacing w:before="20" w:after="20"/>
            </w:pPr>
            <w:r>
              <w:rPr>
                <w:sz w:val="24"/>
              </w:rPr>
              <w:t>—</w:t>
            </w:r>
          </w:p>
        </w:tc>
        <w:tc>
          <w:tcPr>
            <w:tcW w:w="1666" w:type="dxa"/>
            <w:tcBorders>
              <w:top w:val="single" w:sz="5" w:space="0" w:color="D7E4DD"/>
              <w:left w:val="single" w:sz="5" w:space="0" w:color="D7E4DD"/>
              <w:bottom w:val="single" w:sz="5" w:space="0" w:color="D7E4DD"/>
              <w:right w:val="single" w:sz="5" w:space="0" w:color="D7E4DD"/>
            </w:tcBorders>
            <w:shd w:val="clear" w:color="auto" w:fill="F4F8F5"/>
            <w:vAlign w:val="center"/>
          </w:tcPr>
          <w:p w14:paraId="29102ABF" w14:textId="77777777" w:rsidR="00997065" w:rsidRDefault="00497D67">
            <w:pPr>
              <w:spacing w:before="20" w:after="20"/>
            </w:pPr>
            <w:r>
              <w:rPr>
                <w:sz w:val="24"/>
              </w:rPr>
              <w:t>Always denied; audited</w:t>
            </w:r>
          </w:p>
        </w:tc>
      </w:tr>
    </w:tbl>
    <w:p w14:paraId="1F9F41FC" w14:textId="77777777" w:rsidR="00997065" w:rsidRDefault="00497D67">
      <w:pPr>
        <w:spacing w:after="160"/>
        <w:jc w:val="center"/>
      </w:pPr>
      <w:r>
        <w:rPr>
          <w:i/>
          <w:color w:val="596963"/>
          <w:sz w:val="24"/>
        </w:rPr>
        <w:t>Table 12. Role/action matrix. A dash denotes denial.</w:t>
      </w:r>
    </w:p>
    <w:p w14:paraId="3BB31645" w14:textId="77777777" w:rsidR="00997065" w:rsidRDefault="00497D67">
      <w:pPr>
        <w:spacing w:after="120" w:line="269" w:lineRule="auto"/>
      </w:pPr>
      <w:r>
        <w:rPr>
          <w:sz w:val="24"/>
        </w:rPr>
        <w:t>This design follows least authority within the prototype: read capabilities are broad but action capabilities narrow as impact rises. The UI may hide unauthorized controls, but the service still checks the role and current object state. All denials create audit evidence so an attempted privilege escalation is visible in the local log.</w:t>
      </w:r>
    </w:p>
    <w:p w14:paraId="606A37F8" w14:textId="77777777" w:rsidR="00997065" w:rsidRDefault="00497D67">
      <w:pPr>
        <w:pStyle w:val="Heading2"/>
      </w:pPr>
      <w:r>
        <w:rPr>
          <w:rFonts w:ascii="Times New Roman" w:eastAsia="Times New Roman" w:hAnsi="Times New Roman"/>
          <w:sz w:val="24"/>
        </w:rPr>
        <w:t>7.2. Audit integrity and storage</w:t>
      </w:r>
    </w:p>
    <w:p w14:paraId="65F21C4D" w14:textId="77777777" w:rsidR="00997065" w:rsidRDefault="00497D67">
      <w:pPr>
        <w:spacing w:after="100" w:line="269" w:lineRule="auto"/>
      </w:pPr>
      <w:r>
        <w:rPr>
          <w:sz w:val="24"/>
        </w:rPr>
        <w:t>Audit records are sanitized and size-limited, appended to SQLite, and linked by SHA-256 previous-record hashes. Local SQLite update/delete triggers guard ordinary application paths; a verifier detects broken links and tampering. This is tamper-evident local storage, not immutable or independently replicated evidence. A host administrator can replace the file or disable local triggers. Agent drafts and simulated-action logs are also local; backup, tenant isolation, and disaster recovery are not implemented.</w:t>
      </w:r>
    </w:p>
    <w:p w14:paraId="1434B5CE" w14:textId="77777777" w:rsidR="00997065" w:rsidRDefault="00497D67">
      <w:pPr>
        <w:pStyle w:val="Heading2"/>
      </w:pPr>
      <w:r>
        <w:rPr>
          <w:rFonts w:ascii="Times New Roman" w:eastAsia="Times New Roman" w:hAnsi="Times New Roman"/>
          <w:sz w:val="24"/>
        </w:rPr>
        <w:t>7.3. Upload and prompt-injection controls</w:t>
      </w:r>
    </w:p>
    <w:p w14:paraId="452F4EAB" w14:textId="77777777" w:rsidR="00997065" w:rsidRDefault="00497D67">
      <w:pPr>
        <w:spacing w:after="100" w:line="269" w:lineRule="auto"/>
      </w:pPr>
      <w:r>
        <w:rPr>
          <w:sz w:val="24"/>
        </w:rPr>
        <w:t xml:space="preserve">Uploads use bounded size/row/text inputs, typed field validation, duplicate/currency/date checks, and formula neutralization. Copilot treats both questions and imported text as untrusted; it excludes free text and entity names from evidence, restricts supported intents, has no tools, checks evidence IDs and numbers, and falls back offline. The project’s security suite documents 10 poisoned-name cases </w:t>
      </w:r>
      <w:r>
        <w:rPr>
          <w:sz w:val="24"/>
        </w:rPr>
        <w:lastRenderedPageBreak/>
        <w:t>excluded from the evidence pack and grounded-receipt checks. These controls reduce exposure in the implemented workflow but do not solve prompt injection generally. An optional provider still receives the question and masked numeric evidence; its retention and security are outside this project’s control.</w:t>
      </w:r>
    </w:p>
    <w:p w14:paraId="42E9BDC1" w14:textId="77777777" w:rsidR="00997065" w:rsidRDefault="00497D67">
      <w:pPr>
        <w:pStyle w:val="Heading2"/>
      </w:pPr>
      <w:r>
        <w:rPr>
          <w:rFonts w:ascii="Times New Roman" w:eastAsia="Times New Roman" w:hAnsi="Times New Roman"/>
          <w:sz w:val="24"/>
        </w:rPr>
        <w:t>7.4. STRIDE summary</w:t>
      </w:r>
    </w:p>
    <w:tbl>
      <w:tblPr>
        <w:tblStyle w:val="TableGrid"/>
        <w:tblW w:w="0" w:type="auto"/>
        <w:jc w:val="center"/>
        <w:tblLook w:val="04A0" w:firstRow="1" w:lastRow="0" w:firstColumn="1" w:lastColumn="0" w:noHBand="0" w:noVBand="1"/>
      </w:tblPr>
      <w:tblGrid>
        <w:gridCol w:w="2498"/>
        <w:gridCol w:w="2498"/>
        <w:gridCol w:w="2498"/>
        <w:gridCol w:w="2498"/>
      </w:tblGrid>
      <w:tr w:rsidR="00997065" w14:paraId="1AACA17C" w14:textId="77777777">
        <w:trPr>
          <w:tblHeader/>
          <w:jc w:val="center"/>
        </w:trPr>
        <w:tc>
          <w:tcPr>
            <w:tcW w:w="2498" w:type="dxa"/>
            <w:tcBorders>
              <w:top w:val="single" w:sz="6" w:space="0" w:color="166B52"/>
              <w:left w:val="single" w:sz="6" w:space="0" w:color="166B52"/>
              <w:bottom w:val="single" w:sz="6" w:space="0" w:color="166B52"/>
              <w:right w:val="single" w:sz="6" w:space="0" w:color="166B52"/>
            </w:tcBorders>
            <w:shd w:val="clear" w:color="auto" w:fill="166B52"/>
            <w:vAlign w:val="center"/>
          </w:tcPr>
          <w:p w14:paraId="1C216178" w14:textId="77777777" w:rsidR="00997065" w:rsidRDefault="00497D67">
            <w:pPr>
              <w:spacing w:before="20" w:after="20"/>
            </w:pPr>
            <w:r>
              <w:rPr>
                <w:b/>
                <w:color w:val="FFFFFF"/>
                <w:sz w:val="24"/>
              </w:rPr>
              <w:t>Threat</w:t>
            </w:r>
          </w:p>
        </w:tc>
        <w:tc>
          <w:tcPr>
            <w:tcW w:w="2498" w:type="dxa"/>
            <w:tcBorders>
              <w:top w:val="single" w:sz="6" w:space="0" w:color="166B52"/>
              <w:left w:val="single" w:sz="6" w:space="0" w:color="166B52"/>
              <w:bottom w:val="single" w:sz="6" w:space="0" w:color="166B52"/>
              <w:right w:val="single" w:sz="6" w:space="0" w:color="166B52"/>
            </w:tcBorders>
            <w:shd w:val="clear" w:color="auto" w:fill="166B52"/>
            <w:vAlign w:val="center"/>
          </w:tcPr>
          <w:p w14:paraId="47A4EF97" w14:textId="77777777" w:rsidR="00997065" w:rsidRDefault="00497D67">
            <w:pPr>
              <w:spacing w:before="20" w:after="20"/>
            </w:pPr>
            <w:r>
              <w:rPr>
                <w:b/>
                <w:color w:val="FFFFFF"/>
                <w:sz w:val="24"/>
              </w:rPr>
              <w:t>Example</w:t>
            </w:r>
          </w:p>
        </w:tc>
        <w:tc>
          <w:tcPr>
            <w:tcW w:w="2498" w:type="dxa"/>
            <w:tcBorders>
              <w:top w:val="single" w:sz="6" w:space="0" w:color="166B52"/>
              <w:left w:val="single" w:sz="6" w:space="0" w:color="166B52"/>
              <w:bottom w:val="single" w:sz="6" w:space="0" w:color="166B52"/>
              <w:right w:val="single" w:sz="6" w:space="0" w:color="166B52"/>
            </w:tcBorders>
            <w:shd w:val="clear" w:color="auto" w:fill="166B52"/>
            <w:vAlign w:val="center"/>
          </w:tcPr>
          <w:p w14:paraId="1D885A23" w14:textId="77777777" w:rsidR="00997065" w:rsidRDefault="00497D67">
            <w:pPr>
              <w:spacing w:before="20" w:after="20"/>
            </w:pPr>
            <w:r>
              <w:rPr>
                <w:b/>
                <w:color w:val="FFFFFF"/>
                <w:sz w:val="24"/>
              </w:rPr>
              <w:t>Controls implemented</w:t>
            </w:r>
          </w:p>
        </w:tc>
        <w:tc>
          <w:tcPr>
            <w:tcW w:w="2498" w:type="dxa"/>
            <w:tcBorders>
              <w:top w:val="single" w:sz="6" w:space="0" w:color="166B52"/>
              <w:left w:val="single" w:sz="6" w:space="0" w:color="166B52"/>
              <w:bottom w:val="single" w:sz="6" w:space="0" w:color="166B52"/>
              <w:right w:val="single" w:sz="6" w:space="0" w:color="166B52"/>
            </w:tcBorders>
            <w:shd w:val="clear" w:color="auto" w:fill="166B52"/>
            <w:vAlign w:val="center"/>
          </w:tcPr>
          <w:p w14:paraId="12F6A1DF" w14:textId="77777777" w:rsidR="00997065" w:rsidRDefault="00497D67">
            <w:pPr>
              <w:spacing w:before="20" w:after="20"/>
            </w:pPr>
            <w:r>
              <w:rPr>
                <w:b/>
                <w:color w:val="FFFFFF"/>
                <w:sz w:val="24"/>
              </w:rPr>
              <w:t>Residual risk</w:t>
            </w:r>
          </w:p>
        </w:tc>
      </w:tr>
      <w:tr w:rsidR="00997065" w14:paraId="4B890622" w14:textId="77777777">
        <w:trPr>
          <w:jc w:val="center"/>
        </w:trPr>
        <w:tc>
          <w:tcPr>
            <w:tcW w:w="2498" w:type="dxa"/>
            <w:tcBorders>
              <w:top w:val="single" w:sz="6" w:space="0" w:color="D7E4DD"/>
              <w:left w:val="single" w:sz="6" w:space="0" w:color="D7E4DD"/>
              <w:bottom w:val="single" w:sz="6" w:space="0" w:color="D7E4DD"/>
              <w:right w:val="single" w:sz="6" w:space="0" w:color="D7E4DD"/>
            </w:tcBorders>
            <w:shd w:val="clear" w:color="auto" w:fill="F4F8F5"/>
            <w:vAlign w:val="center"/>
          </w:tcPr>
          <w:p w14:paraId="6BBBD1BC" w14:textId="77777777" w:rsidR="00997065" w:rsidRDefault="00497D67">
            <w:pPr>
              <w:spacing w:before="20" w:after="20"/>
            </w:pPr>
            <w:r>
              <w:rPr>
                <w:sz w:val="24"/>
              </w:rPr>
              <w:t>Spoofing</w:t>
            </w:r>
          </w:p>
        </w:tc>
        <w:tc>
          <w:tcPr>
            <w:tcW w:w="2498" w:type="dxa"/>
            <w:tcBorders>
              <w:top w:val="single" w:sz="6" w:space="0" w:color="D7E4DD"/>
              <w:left w:val="single" w:sz="6" w:space="0" w:color="D7E4DD"/>
              <w:bottom w:val="single" w:sz="6" w:space="0" w:color="D7E4DD"/>
              <w:right w:val="single" w:sz="6" w:space="0" w:color="D7E4DD"/>
            </w:tcBorders>
            <w:shd w:val="clear" w:color="auto" w:fill="F4F8F5"/>
            <w:vAlign w:val="center"/>
          </w:tcPr>
          <w:p w14:paraId="1F6A0246" w14:textId="77777777" w:rsidR="00997065" w:rsidRDefault="00497D67">
            <w:pPr>
              <w:spacing w:before="20" w:after="20"/>
            </w:pPr>
            <w:r>
              <w:rPr>
                <w:sz w:val="24"/>
              </w:rPr>
              <w:t>Forged session role</w:t>
            </w:r>
          </w:p>
        </w:tc>
        <w:tc>
          <w:tcPr>
            <w:tcW w:w="2498" w:type="dxa"/>
            <w:tcBorders>
              <w:top w:val="single" w:sz="6" w:space="0" w:color="D7E4DD"/>
              <w:left w:val="single" w:sz="6" w:space="0" w:color="D7E4DD"/>
              <w:bottom w:val="single" w:sz="6" w:space="0" w:color="D7E4DD"/>
              <w:right w:val="single" w:sz="6" w:space="0" w:color="D7E4DD"/>
            </w:tcBorders>
            <w:shd w:val="clear" w:color="auto" w:fill="F4F8F5"/>
            <w:vAlign w:val="center"/>
          </w:tcPr>
          <w:p w14:paraId="40E5FD57" w14:textId="77777777" w:rsidR="00997065" w:rsidRDefault="00497D67">
            <w:pPr>
              <w:spacing w:before="20" w:after="20"/>
            </w:pPr>
            <w:r>
              <w:rPr>
                <w:sz w:val="24"/>
              </w:rPr>
              <w:t>PBKDF2 password hashes; server-side token resolution</w:t>
            </w:r>
          </w:p>
        </w:tc>
        <w:tc>
          <w:tcPr>
            <w:tcW w:w="2498" w:type="dxa"/>
            <w:tcBorders>
              <w:top w:val="single" w:sz="6" w:space="0" w:color="D7E4DD"/>
              <w:left w:val="single" w:sz="6" w:space="0" w:color="D7E4DD"/>
              <w:bottom w:val="single" w:sz="6" w:space="0" w:color="D7E4DD"/>
              <w:right w:val="single" w:sz="6" w:space="0" w:color="D7E4DD"/>
            </w:tcBorders>
            <w:shd w:val="clear" w:color="auto" w:fill="F4F8F5"/>
            <w:vAlign w:val="center"/>
          </w:tcPr>
          <w:p w14:paraId="5234B823" w14:textId="77777777" w:rsidR="00997065" w:rsidRDefault="00497D67">
            <w:pPr>
              <w:spacing w:before="20" w:after="20"/>
            </w:pPr>
            <w:r>
              <w:rPr>
                <w:sz w:val="24"/>
              </w:rPr>
              <w:t>Demo credentials/quick sign-in; no MFA or production identity provider</w:t>
            </w:r>
          </w:p>
        </w:tc>
      </w:tr>
      <w:tr w:rsidR="00997065" w14:paraId="5D5A3598" w14:textId="77777777">
        <w:trPr>
          <w:jc w:val="center"/>
        </w:trPr>
        <w:tc>
          <w:tcPr>
            <w:tcW w:w="2498" w:type="dxa"/>
            <w:tcBorders>
              <w:top w:val="single" w:sz="6" w:space="0" w:color="D7E4DD"/>
              <w:left w:val="single" w:sz="6" w:space="0" w:color="D7E4DD"/>
              <w:bottom w:val="single" w:sz="6" w:space="0" w:color="D7E4DD"/>
              <w:right w:val="single" w:sz="6" w:space="0" w:color="D7E4DD"/>
            </w:tcBorders>
            <w:shd w:val="clear" w:color="auto" w:fill="FFFFFF"/>
            <w:vAlign w:val="center"/>
          </w:tcPr>
          <w:p w14:paraId="62BD2403" w14:textId="77777777" w:rsidR="00997065" w:rsidRDefault="00497D67">
            <w:pPr>
              <w:spacing w:before="20" w:after="20"/>
            </w:pPr>
            <w:r>
              <w:rPr>
                <w:sz w:val="24"/>
              </w:rPr>
              <w:t>Tampering</w:t>
            </w:r>
          </w:p>
        </w:tc>
        <w:tc>
          <w:tcPr>
            <w:tcW w:w="2498" w:type="dxa"/>
            <w:tcBorders>
              <w:top w:val="single" w:sz="6" w:space="0" w:color="D7E4DD"/>
              <w:left w:val="single" w:sz="6" w:space="0" w:color="D7E4DD"/>
              <w:bottom w:val="single" w:sz="6" w:space="0" w:color="D7E4DD"/>
              <w:right w:val="single" w:sz="6" w:space="0" w:color="D7E4DD"/>
            </w:tcBorders>
            <w:shd w:val="clear" w:color="auto" w:fill="FFFFFF"/>
            <w:vAlign w:val="center"/>
          </w:tcPr>
          <w:p w14:paraId="0D1B62E1" w14:textId="77777777" w:rsidR="00997065" w:rsidRDefault="00497D67">
            <w:pPr>
              <w:spacing w:before="20" w:after="20"/>
            </w:pPr>
            <w:r>
              <w:rPr>
                <w:sz w:val="24"/>
              </w:rPr>
              <w:t>Alter draft or audit history</w:t>
            </w:r>
          </w:p>
        </w:tc>
        <w:tc>
          <w:tcPr>
            <w:tcW w:w="2498" w:type="dxa"/>
            <w:tcBorders>
              <w:top w:val="single" w:sz="6" w:space="0" w:color="D7E4DD"/>
              <w:left w:val="single" w:sz="6" w:space="0" w:color="D7E4DD"/>
              <w:bottom w:val="single" w:sz="6" w:space="0" w:color="D7E4DD"/>
              <w:right w:val="single" w:sz="6" w:space="0" w:color="D7E4DD"/>
            </w:tcBorders>
            <w:shd w:val="clear" w:color="auto" w:fill="FFFFFF"/>
            <w:vAlign w:val="center"/>
          </w:tcPr>
          <w:p w14:paraId="6EAD18C5" w14:textId="77777777" w:rsidR="00997065" w:rsidRDefault="00497D67">
            <w:pPr>
              <w:spacing w:before="20" w:after="20"/>
            </w:pPr>
            <w:r>
              <w:rPr>
                <w:sz w:val="24"/>
              </w:rPr>
              <w:t>State-checked transitions; SQLite triggers; SHA-256 chain and verifier</w:t>
            </w:r>
          </w:p>
        </w:tc>
        <w:tc>
          <w:tcPr>
            <w:tcW w:w="2498" w:type="dxa"/>
            <w:tcBorders>
              <w:top w:val="single" w:sz="6" w:space="0" w:color="D7E4DD"/>
              <w:left w:val="single" w:sz="6" w:space="0" w:color="D7E4DD"/>
              <w:bottom w:val="single" w:sz="6" w:space="0" w:color="D7E4DD"/>
              <w:right w:val="single" w:sz="6" w:space="0" w:color="D7E4DD"/>
            </w:tcBorders>
            <w:shd w:val="clear" w:color="auto" w:fill="FFFFFF"/>
            <w:vAlign w:val="center"/>
          </w:tcPr>
          <w:p w14:paraId="019C1EE7" w14:textId="77777777" w:rsidR="00997065" w:rsidRDefault="00497D67">
            <w:pPr>
              <w:spacing w:before="20" w:after="20"/>
            </w:pPr>
            <w:r>
              <w:rPr>
                <w:sz w:val="24"/>
              </w:rPr>
              <w:t>Local administrator can replace DB or disable guards</w:t>
            </w:r>
          </w:p>
        </w:tc>
      </w:tr>
      <w:tr w:rsidR="00997065" w14:paraId="053B12C8" w14:textId="77777777">
        <w:trPr>
          <w:jc w:val="center"/>
        </w:trPr>
        <w:tc>
          <w:tcPr>
            <w:tcW w:w="2498" w:type="dxa"/>
            <w:tcBorders>
              <w:top w:val="single" w:sz="6" w:space="0" w:color="D7E4DD"/>
              <w:left w:val="single" w:sz="6" w:space="0" w:color="D7E4DD"/>
              <w:bottom w:val="single" w:sz="6" w:space="0" w:color="D7E4DD"/>
              <w:right w:val="single" w:sz="6" w:space="0" w:color="D7E4DD"/>
            </w:tcBorders>
            <w:shd w:val="clear" w:color="auto" w:fill="F4F8F5"/>
            <w:vAlign w:val="center"/>
          </w:tcPr>
          <w:p w14:paraId="68C6F277" w14:textId="77777777" w:rsidR="00997065" w:rsidRDefault="00497D67">
            <w:pPr>
              <w:spacing w:before="20" w:after="20"/>
            </w:pPr>
            <w:r>
              <w:rPr>
                <w:sz w:val="24"/>
              </w:rPr>
              <w:t>Repudiation</w:t>
            </w:r>
          </w:p>
        </w:tc>
        <w:tc>
          <w:tcPr>
            <w:tcW w:w="2498" w:type="dxa"/>
            <w:tcBorders>
              <w:top w:val="single" w:sz="6" w:space="0" w:color="D7E4DD"/>
              <w:left w:val="single" w:sz="6" w:space="0" w:color="D7E4DD"/>
              <w:bottom w:val="single" w:sz="6" w:space="0" w:color="D7E4DD"/>
              <w:right w:val="single" w:sz="6" w:space="0" w:color="D7E4DD"/>
            </w:tcBorders>
            <w:shd w:val="clear" w:color="auto" w:fill="F4F8F5"/>
            <w:vAlign w:val="center"/>
          </w:tcPr>
          <w:p w14:paraId="3350BA44" w14:textId="77777777" w:rsidR="00997065" w:rsidRDefault="00497D67">
            <w:pPr>
              <w:spacing w:before="20" w:after="20"/>
            </w:pPr>
            <w:r>
              <w:rPr>
                <w:sz w:val="24"/>
              </w:rPr>
              <w:t>Deny an approval</w:t>
            </w:r>
          </w:p>
        </w:tc>
        <w:tc>
          <w:tcPr>
            <w:tcW w:w="2498" w:type="dxa"/>
            <w:tcBorders>
              <w:top w:val="single" w:sz="6" w:space="0" w:color="D7E4DD"/>
              <w:left w:val="single" w:sz="6" w:space="0" w:color="D7E4DD"/>
              <w:bottom w:val="single" w:sz="6" w:space="0" w:color="D7E4DD"/>
              <w:right w:val="single" w:sz="6" w:space="0" w:color="D7E4DD"/>
            </w:tcBorders>
            <w:shd w:val="clear" w:color="auto" w:fill="F4F8F5"/>
            <w:vAlign w:val="center"/>
          </w:tcPr>
          <w:p w14:paraId="3B067FEC" w14:textId="77777777" w:rsidR="00997065" w:rsidRDefault="00497D67">
            <w:pPr>
              <w:spacing w:before="20" w:after="20"/>
            </w:pPr>
            <w:r>
              <w:rPr>
                <w:sz w:val="24"/>
              </w:rPr>
              <w:t>Actor/role/action events linked in local audit chain</w:t>
            </w:r>
          </w:p>
        </w:tc>
        <w:tc>
          <w:tcPr>
            <w:tcW w:w="2498" w:type="dxa"/>
            <w:tcBorders>
              <w:top w:val="single" w:sz="6" w:space="0" w:color="D7E4DD"/>
              <w:left w:val="single" w:sz="6" w:space="0" w:color="D7E4DD"/>
              <w:bottom w:val="single" w:sz="6" w:space="0" w:color="D7E4DD"/>
              <w:right w:val="single" w:sz="6" w:space="0" w:color="D7E4DD"/>
            </w:tcBorders>
            <w:shd w:val="clear" w:color="auto" w:fill="F4F8F5"/>
            <w:vAlign w:val="center"/>
          </w:tcPr>
          <w:p w14:paraId="03664393" w14:textId="77777777" w:rsidR="00997065" w:rsidRDefault="00497D67">
            <w:pPr>
              <w:spacing w:before="20" w:after="20"/>
            </w:pPr>
            <w:r>
              <w:rPr>
                <w:sz w:val="24"/>
              </w:rPr>
              <w:t>No independent clock or host attestation</w:t>
            </w:r>
          </w:p>
        </w:tc>
      </w:tr>
      <w:tr w:rsidR="00997065" w14:paraId="42E5E12F" w14:textId="77777777">
        <w:trPr>
          <w:jc w:val="center"/>
        </w:trPr>
        <w:tc>
          <w:tcPr>
            <w:tcW w:w="2498" w:type="dxa"/>
            <w:tcBorders>
              <w:top w:val="single" w:sz="6" w:space="0" w:color="D7E4DD"/>
              <w:left w:val="single" w:sz="6" w:space="0" w:color="D7E4DD"/>
              <w:bottom w:val="single" w:sz="6" w:space="0" w:color="D7E4DD"/>
              <w:right w:val="single" w:sz="6" w:space="0" w:color="D7E4DD"/>
            </w:tcBorders>
            <w:shd w:val="clear" w:color="auto" w:fill="FFFFFF"/>
            <w:vAlign w:val="center"/>
          </w:tcPr>
          <w:p w14:paraId="464C34DC" w14:textId="77777777" w:rsidR="00997065" w:rsidRDefault="00497D67">
            <w:pPr>
              <w:spacing w:before="20" w:after="20"/>
            </w:pPr>
            <w:r>
              <w:rPr>
                <w:sz w:val="24"/>
              </w:rPr>
              <w:t>Information disclosure</w:t>
            </w:r>
          </w:p>
        </w:tc>
        <w:tc>
          <w:tcPr>
            <w:tcW w:w="2498" w:type="dxa"/>
            <w:tcBorders>
              <w:top w:val="single" w:sz="6" w:space="0" w:color="D7E4DD"/>
              <w:left w:val="single" w:sz="6" w:space="0" w:color="D7E4DD"/>
              <w:bottom w:val="single" w:sz="6" w:space="0" w:color="D7E4DD"/>
              <w:right w:val="single" w:sz="6" w:space="0" w:color="D7E4DD"/>
            </w:tcBorders>
            <w:shd w:val="clear" w:color="auto" w:fill="FFFFFF"/>
            <w:vAlign w:val="center"/>
          </w:tcPr>
          <w:p w14:paraId="7494AA38" w14:textId="77777777" w:rsidR="00997065" w:rsidRDefault="00497D67">
            <w:pPr>
              <w:spacing w:before="20" w:after="20"/>
            </w:pPr>
            <w:r>
              <w:rPr>
                <w:sz w:val="24"/>
              </w:rPr>
              <w:t>Names/query text sent to LLM</w:t>
            </w:r>
          </w:p>
        </w:tc>
        <w:tc>
          <w:tcPr>
            <w:tcW w:w="2498" w:type="dxa"/>
            <w:tcBorders>
              <w:top w:val="single" w:sz="6" w:space="0" w:color="D7E4DD"/>
              <w:left w:val="single" w:sz="6" w:space="0" w:color="D7E4DD"/>
              <w:bottom w:val="single" w:sz="6" w:space="0" w:color="D7E4DD"/>
              <w:right w:val="single" w:sz="6" w:space="0" w:color="D7E4DD"/>
            </w:tcBorders>
            <w:shd w:val="clear" w:color="auto" w:fill="FFFFFF"/>
            <w:vAlign w:val="center"/>
          </w:tcPr>
          <w:p w14:paraId="06531F6F" w14:textId="77777777" w:rsidR="00997065" w:rsidRDefault="00497D67">
            <w:pPr>
              <w:spacing w:before="20" w:after="20"/>
            </w:pPr>
            <w:r>
              <w:rPr>
                <w:sz w:val="24"/>
              </w:rPr>
              <w:t>Masked pack; query hash in audit; environment-held key</w:t>
            </w:r>
          </w:p>
        </w:tc>
        <w:tc>
          <w:tcPr>
            <w:tcW w:w="2498" w:type="dxa"/>
            <w:tcBorders>
              <w:top w:val="single" w:sz="6" w:space="0" w:color="D7E4DD"/>
              <w:left w:val="single" w:sz="6" w:space="0" w:color="D7E4DD"/>
              <w:bottom w:val="single" w:sz="6" w:space="0" w:color="D7E4DD"/>
              <w:right w:val="single" w:sz="6" w:space="0" w:color="D7E4DD"/>
            </w:tcBorders>
            <w:shd w:val="clear" w:color="auto" w:fill="FFFFFF"/>
            <w:vAlign w:val="center"/>
          </w:tcPr>
          <w:p w14:paraId="3DE986D1" w14:textId="77777777" w:rsidR="00997065" w:rsidRDefault="00497D67">
            <w:pPr>
              <w:spacing w:before="20" w:after="20"/>
            </w:pPr>
            <w:r>
              <w:rPr>
                <w:sz w:val="24"/>
              </w:rPr>
              <w:t>Configured provider receives query and masked financial values</w:t>
            </w:r>
          </w:p>
        </w:tc>
      </w:tr>
      <w:tr w:rsidR="00997065" w14:paraId="5ED66AB2" w14:textId="77777777">
        <w:trPr>
          <w:jc w:val="center"/>
        </w:trPr>
        <w:tc>
          <w:tcPr>
            <w:tcW w:w="2498" w:type="dxa"/>
            <w:tcBorders>
              <w:top w:val="single" w:sz="6" w:space="0" w:color="D7E4DD"/>
              <w:left w:val="single" w:sz="6" w:space="0" w:color="D7E4DD"/>
              <w:bottom w:val="single" w:sz="6" w:space="0" w:color="D7E4DD"/>
              <w:right w:val="single" w:sz="6" w:space="0" w:color="D7E4DD"/>
            </w:tcBorders>
            <w:shd w:val="clear" w:color="auto" w:fill="F4F8F5"/>
            <w:vAlign w:val="center"/>
          </w:tcPr>
          <w:p w14:paraId="07FC9913" w14:textId="77777777" w:rsidR="00997065" w:rsidRDefault="00497D67">
            <w:pPr>
              <w:spacing w:before="20" w:after="20"/>
            </w:pPr>
            <w:r>
              <w:rPr>
                <w:sz w:val="24"/>
              </w:rPr>
              <w:t>Denial of service</w:t>
            </w:r>
          </w:p>
        </w:tc>
        <w:tc>
          <w:tcPr>
            <w:tcW w:w="2498" w:type="dxa"/>
            <w:tcBorders>
              <w:top w:val="single" w:sz="6" w:space="0" w:color="D7E4DD"/>
              <w:left w:val="single" w:sz="6" w:space="0" w:color="D7E4DD"/>
              <w:bottom w:val="single" w:sz="6" w:space="0" w:color="D7E4DD"/>
              <w:right w:val="single" w:sz="6" w:space="0" w:color="D7E4DD"/>
            </w:tcBorders>
            <w:shd w:val="clear" w:color="auto" w:fill="F4F8F5"/>
            <w:vAlign w:val="center"/>
          </w:tcPr>
          <w:p w14:paraId="00892EF2" w14:textId="77777777" w:rsidR="00997065" w:rsidRDefault="00497D67">
            <w:pPr>
              <w:spacing w:before="20" w:after="20"/>
            </w:pPr>
            <w:r>
              <w:rPr>
                <w:sz w:val="24"/>
              </w:rPr>
              <w:t>Large upload/provider call</w:t>
            </w:r>
          </w:p>
        </w:tc>
        <w:tc>
          <w:tcPr>
            <w:tcW w:w="2498" w:type="dxa"/>
            <w:tcBorders>
              <w:top w:val="single" w:sz="6" w:space="0" w:color="D7E4DD"/>
              <w:left w:val="single" w:sz="6" w:space="0" w:color="D7E4DD"/>
              <w:bottom w:val="single" w:sz="6" w:space="0" w:color="D7E4DD"/>
              <w:right w:val="single" w:sz="6" w:space="0" w:color="D7E4DD"/>
            </w:tcBorders>
            <w:shd w:val="clear" w:color="auto" w:fill="F4F8F5"/>
            <w:vAlign w:val="center"/>
          </w:tcPr>
          <w:p w14:paraId="29DAA081" w14:textId="77777777" w:rsidR="00997065" w:rsidRDefault="00497D67">
            <w:pPr>
              <w:spacing w:before="20" w:after="20"/>
            </w:pPr>
            <w:r>
              <w:rPr>
                <w:sz w:val="24"/>
              </w:rPr>
              <w:t>5 MiB/50k-row/500-char bounds; 20s provider timeout</w:t>
            </w:r>
          </w:p>
        </w:tc>
        <w:tc>
          <w:tcPr>
            <w:tcW w:w="2498" w:type="dxa"/>
            <w:tcBorders>
              <w:top w:val="single" w:sz="6" w:space="0" w:color="D7E4DD"/>
              <w:left w:val="single" w:sz="6" w:space="0" w:color="D7E4DD"/>
              <w:bottom w:val="single" w:sz="6" w:space="0" w:color="D7E4DD"/>
              <w:right w:val="single" w:sz="6" w:space="0" w:color="D7E4DD"/>
            </w:tcBorders>
            <w:shd w:val="clear" w:color="auto" w:fill="F4F8F5"/>
            <w:vAlign w:val="center"/>
          </w:tcPr>
          <w:p w14:paraId="434C3D3F" w14:textId="77777777" w:rsidR="00997065" w:rsidRDefault="00497D67">
            <w:pPr>
              <w:spacing w:before="20" w:after="20"/>
            </w:pPr>
            <w:r>
              <w:rPr>
                <w:sz w:val="24"/>
              </w:rPr>
              <w:t>No rate limit, quota, or concurrent-job scheduler</w:t>
            </w:r>
          </w:p>
        </w:tc>
      </w:tr>
      <w:tr w:rsidR="00997065" w14:paraId="787B9DA8" w14:textId="77777777">
        <w:trPr>
          <w:jc w:val="center"/>
        </w:trPr>
        <w:tc>
          <w:tcPr>
            <w:tcW w:w="2498" w:type="dxa"/>
            <w:tcBorders>
              <w:top w:val="single" w:sz="6" w:space="0" w:color="D7E4DD"/>
              <w:left w:val="single" w:sz="6" w:space="0" w:color="D7E4DD"/>
              <w:bottom w:val="single" w:sz="6" w:space="0" w:color="D7E4DD"/>
              <w:right w:val="single" w:sz="6" w:space="0" w:color="D7E4DD"/>
            </w:tcBorders>
            <w:shd w:val="clear" w:color="auto" w:fill="FFFFFF"/>
            <w:vAlign w:val="center"/>
          </w:tcPr>
          <w:p w14:paraId="62C817DD" w14:textId="77777777" w:rsidR="00997065" w:rsidRDefault="00497D67">
            <w:pPr>
              <w:spacing w:before="20" w:after="20"/>
            </w:pPr>
            <w:r>
              <w:rPr>
                <w:sz w:val="24"/>
              </w:rPr>
              <w:t>Elevation of privilege</w:t>
            </w:r>
          </w:p>
        </w:tc>
        <w:tc>
          <w:tcPr>
            <w:tcW w:w="2498" w:type="dxa"/>
            <w:tcBorders>
              <w:top w:val="single" w:sz="6" w:space="0" w:color="D7E4DD"/>
              <w:left w:val="single" w:sz="6" w:space="0" w:color="D7E4DD"/>
              <w:bottom w:val="single" w:sz="6" w:space="0" w:color="D7E4DD"/>
              <w:right w:val="single" w:sz="6" w:space="0" w:color="D7E4DD"/>
            </w:tcBorders>
            <w:shd w:val="clear" w:color="auto" w:fill="FFFFFF"/>
            <w:vAlign w:val="center"/>
          </w:tcPr>
          <w:p w14:paraId="31485406" w14:textId="77777777" w:rsidR="00997065" w:rsidRDefault="00497D67">
            <w:pPr>
              <w:spacing w:before="20" w:after="20"/>
            </w:pPr>
            <w:r>
              <w:rPr>
                <w:sz w:val="24"/>
              </w:rPr>
              <w:t>Viewer moves money</w:t>
            </w:r>
          </w:p>
        </w:tc>
        <w:tc>
          <w:tcPr>
            <w:tcW w:w="2498" w:type="dxa"/>
            <w:tcBorders>
              <w:top w:val="single" w:sz="6" w:space="0" w:color="D7E4DD"/>
              <w:left w:val="single" w:sz="6" w:space="0" w:color="D7E4DD"/>
              <w:bottom w:val="single" w:sz="6" w:space="0" w:color="D7E4DD"/>
              <w:right w:val="single" w:sz="6" w:space="0" w:color="D7E4DD"/>
            </w:tcBorders>
            <w:shd w:val="clear" w:color="auto" w:fill="FFFFFF"/>
            <w:vAlign w:val="center"/>
          </w:tcPr>
          <w:p w14:paraId="3ECC42BF" w14:textId="77777777" w:rsidR="00997065" w:rsidRDefault="00497D67">
            <w:pPr>
              <w:spacing w:before="20" w:after="20"/>
            </w:pPr>
            <w:r>
              <w:rPr>
                <w:sz w:val="24"/>
              </w:rPr>
              <w:t>Backend authorize checks; owner-only approvals; money movement denied</w:t>
            </w:r>
          </w:p>
        </w:tc>
        <w:tc>
          <w:tcPr>
            <w:tcW w:w="2498" w:type="dxa"/>
            <w:tcBorders>
              <w:top w:val="single" w:sz="6" w:space="0" w:color="D7E4DD"/>
              <w:left w:val="single" w:sz="6" w:space="0" w:color="D7E4DD"/>
              <w:bottom w:val="single" w:sz="6" w:space="0" w:color="D7E4DD"/>
              <w:right w:val="single" w:sz="6" w:space="0" w:color="D7E4DD"/>
            </w:tcBorders>
            <w:shd w:val="clear" w:color="auto" w:fill="FFFFFF"/>
            <w:vAlign w:val="center"/>
          </w:tcPr>
          <w:p w14:paraId="3D2967B0" w14:textId="77777777" w:rsidR="00997065" w:rsidRDefault="00497D67">
            <w:pPr>
              <w:spacing w:before="20" w:after="20"/>
            </w:pPr>
            <w:r>
              <w:rPr>
                <w:sz w:val="24"/>
              </w:rPr>
              <w:t>Local source/database administrator can alter prototype</w:t>
            </w:r>
          </w:p>
        </w:tc>
      </w:tr>
    </w:tbl>
    <w:p w14:paraId="395C2440" w14:textId="77777777" w:rsidR="00997065" w:rsidRDefault="00997065">
      <w:pPr>
        <w:spacing w:after="0"/>
      </w:pPr>
    </w:p>
    <w:p w14:paraId="1EE78C96" w14:textId="77777777" w:rsidR="00997065" w:rsidRDefault="00497D67">
      <w:pPr>
        <w:spacing w:after="100" w:line="269" w:lineRule="auto"/>
      </w:pPr>
      <w:r>
        <w:rPr>
          <w:sz w:val="24"/>
        </w:rPr>
        <w:t>This mapping is a project self-assessment against common threat categories and OWASP GenAI risks [7–9]. It is not a penetration test, compliance attestation, or independent security review. The project self-assessment should be reconciled against the current official OWASP edition before submission: the public OWASP archive currently identifies its list as the 2025 edition, while an existing project note labels it 2026 [7].</w:t>
      </w:r>
    </w:p>
    <w:p w14:paraId="34090819" w14:textId="77777777" w:rsidR="00997065" w:rsidRDefault="00497D67">
      <w:pPr>
        <w:pStyle w:val="Heading1"/>
      </w:pPr>
      <w:r>
        <w:rPr>
          <w:rFonts w:ascii="Times New Roman" w:eastAsia="Times New Roman" w:hAnsi="Times New Roman"/>
          <w:sz w:val="24"/>
        </w:rPr>
        <w:t>8. Implementation and interface</w:t>
      </w:r>
    </w:p>
    <w:p w14:paraId="598863FF" w14:textId="77777777" w:rsidR="00997065" w:rsidRDefault="00497D67">
      <w:pPr>
        <w:spacing w:after="100" w:line="269" w:lineRule="auto"/>
      </w:pPr>
      <w:r>
        <w:rPr>
          <w:sz w:val="24"/>
        </w:rPr>
        <w:t>The project is implemented in Python 3.11 with Streamlit 1.66.0, pandas 3.0.6, NumPy 2.4.6, Plotly 7.1.0, Pydantic 2.14.1, SQLite, pytest 9.1.1, and Ruff 0.17.1 as recorded in the project requirements. The app is designed to run locally and offline; optional LLM configuration is external and unset by default. The public Overview image below is a current 1440 px capture of the redesigned green interface. It is not a signed-in Case 3 financial dashboard; the report therefore marks the required signed-in screenshots individually in red.</w:t>
      </w:r>
    </w:p>
    <w:p w14:paraId="60712153" w14:textId="77777777" w:rsidR="00997065" w:rsidRDefault="00497D67">
      <w:r>
        <w:rPr>
          <w:noProof/>
          <w:sz w:val="24"/>
        </w:rPr>
        <w:lastRenderedPageBreak/>
        <w:drawing>
          <wp:inline distT="0" distB="0" distL="0" distR="0" wp14:anchorId="3B0D3275" wp14:editId="04557CC3">
            <wp:extent cx="5669280" cy="43307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verview.png"/>
                    <pic:cNvPicPr/>
                  </pic:nvPicPr>
                  <pic:blipFill>
                    <a:blip r:embed="rId16"/>
                    <a:stretch>
                      <a:fillRect/>
                    </a:stretch>
                  </pic:blipFill>
                  <pic:spPr>
                    <a:xfrm>
                      <a:off x="0" y="0"/>
                      <a:ext cx="5669280" cy="4330700"/>
                    </a:xfrm>
                    <a:prstGeom prst="rect">
                      <a:avLst/>
                    </a:prstGeom>
                  </pic:spPr>
                </pic:pic>
              </a:graphicData>
            </a:graphic>
          </wp:inline>
        </w:drawing>
      </w:r>
    </w:p>
    <w:p w14:paraId="6F18585F" w14:textId="77777777" w:rsidR="00997065" w:rsidRDefault="00497D67">
      <w:pPr>
        <w:spacing w:after="160"/>
        <w:jc w:val="center"/>
      </w:pPr>
      <w:r>
        <w:rPr>
          <w:i/>
          <w:color w:val="596963"/>
          <w:sz w:val="24"/>
        </w:rPr>
        <w:t>Figure 9. Current public StratifyAI landing/Overview shell capture (docs/img/overview.png, 1440 px). This view does not replace the signed-in dashboard evidence requested below.</w:t>
      </w:r>
    </w:p>
    <w:p w14:paraId="140331F2" w14:textId="77777777" w:rsidR="001B4D85" w:rsidRDefault="00144521">
      <w:pPr>
        <w:jc w:val="center"/>
      </w:pPr>
      <w:r>
        <w:rPr>
          <w:noProof/>
          <w:sz w:val="24"/>
        </w:rPr>
        <w:lastRenderedPageBreak/>
        <w:drawing>
          <wp:inline distT="0" distB="0" distL="0" distR="0" wp14:anchorId="5E9FF88A" wp14:editId="3A0EACB6">
            <wp:extent cx="5532120" cy="49174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verview-owner-case3.png"/>
                    <pic:cNvPicPr/>
                  </pic:nvPicPr>
                  <pic:blipFill>
                    <a:blip r:embed="rId17"/>
                    <a:stretch>
                      <a:fillRect/>
                    </a:stretch>
                  </pic:blipFill>
                  <pic:spPr>
                    <a:xfrm>
                      <a:off x="0" y="0"/>
                      <a:ext cx="5532120" cy="4917440"/>
                    </a:xfrm>
                    <a:prstGeom prst="rect">
                      <a:avLst/>
                    </a:prstGeom>
                  </pic:spPr>
                </pic:pic>
              </a:graphicData>
            </a:graphic>
          </wp:inline>
        </w:drawing>
      </w:r>
    </w:p>
    <w:p w14:paraId="599FC716" w14:textId="77777777" w:rsidR="001B4D85" w:rsidRDefault="00144521">
      <w:pPr>
        <w:pStyle w:val="Caption"/>
        <w:jc w:val="center"/>
      </w:pPr>
      <w:r>
        <w:rPr>
          <w:sz w:val="24"/>
        </w:rPr>
        <w:t>Figure 10. [F2] Signed-in owner Overview for Case 3 (high-expense shortage).</w:t>
      </w:r>
    </w:p>
    <w:p w14:paraId="61A57D58" w14:textId="77777777" w:rsidR="00997065" w:rsidRDefault="00997065">
      <w:pPr>
        <w:spacing w:after="0"/>
      </w:pPr>
    </w:p>
    <w:p w14:paraId="24C67775" w14:textId="77777777" w:rsidR="001B4D85" w:rsidRDefault="00144521">
      <w:pPr>
        <w:jc w:val="center"/>
      </w:pPr>
      <w:r>
        <w:rPr>
          <w:noProof/>
          <w:sz w:val="24"/>
        </w:rPr>
        <w:lastRenderedPageBreak/>
        <w:drawing>
          <wp:inline distT="0" distB="0" distL="0" distR="0" wp14:anchorId="60048F24" wp14:editId="29F44DCB">
            <wp:extent cx="5532120" cy="49174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hflow.png"/>
                    <pic:cNvPicPr/>
                  </pic:nvPicPr>
                  <pic:blipFill>
                    <a:blip r:embed="rId18"/>
                    <a:stretch>
                      <a:fillRect/>
                    </a:stretch>
                  </pic:blipFill>
                  <pic:spPr>
                    <a:xfrm>
                      <a:off x="0" y="0"/>
                      <a:ext cx="5532120" cy="4917440"/>
                    </a:xfrm>
                    <a:prstGeom prst="rect">
                      <a:avLst/>
                    </a:prstGeom>
                  </pic:spPr>
                </pic:pic>
              </a:graphicData>
            </a:graphic>
          </wp:inline>
        </w:drawing>
      </w:r>
    </w:p>
    <w:p w14:paraId="6CE178DA" w14:textId="77777777" w:rsidR="001B4D85" w:rsidRDefault="00144521">
      <w:pPr>
        <w:pStyle w:val="Caption"/>
        <w:jc w:val="center"/>
      </w:pPr>
      <w:r>
        <w:rPr>
          <w:sz w:val="24"/>
        </w:rPr>
        <w:t>Figure 11. [F3] Cash-flow forecast with reserve and uncertainty context.</w:t>
      </w:r>
    </w:p>
    <w:p w14:paraId="20E629A0" w14:textId="77777777" w:rsidR="00997065" w:rsidRDefault="00997065">
      <w:pPr>
        <w:spacing w:after="0"/>
      </w:pPr>
    </w:p>
    <w:p w14:paraId="38D79E4A" w14:textId="77777777" w:rsidR="001B4D85" w:rsidRDefault="00144521">
      <w:pPr>
        <w:jc w:val="center"/>
      </w:pPr>
      <w:r>
        <w:rPr>
          <w:noProof/>
          <w:sz w:val="24"/>
        </w:rPr>
        <w:lastRenderedPageBreak/>
        <w:drawing>
          <wp:inline distT="0" distB="0" distL="0" distR="0" wp14:anchorId="1C5925F0" wp14:editId="23111CB7">
            <wp:extent cx="5532120" cy="491744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png"/>
                    <pic:cNvPicPr/>
                  </pic:nvPicPr>
                  <pic:blipFill>
                    <a:blip r:embed="rId19"/>
                    <a:stretch>
                      <a:fillRect/>
                    </a:stretch>
                  </pic:blipFill>
                  <pic:spPr>
                    <a:xfrm>
                      <a:off x="0" y="0"/>
                      <a:ext cx="5532120" cy="4917440"/>
                    </a:xfrm>
                    <a:prstGeom prst="rect">
                      <a:avLst/>
                    </a:prstGeom>
                  </pic:spPr>
                </pic:pic>
              </a:graphicData>
            </a:graphic>
          </wp:inline>
        </w:drawing>
      </w:r>
    </w:p>
    <w:p w14:paraId="42E05B71" w14:textId="77777777" w:rsidR="001B4D85" w:rsidRDefault="00144521">
      <w:pPr>
        <w:pStyle w:val="Caption"/>
        <w:jc w:val="center"/>
      </w:pPr>
      <w:r>
        <w:rPr>
          <w:sz w:val="24"/>
        </w:rPr>
        <w:t>Figure</w:t>
      </w:r>
      <w:r>
        <w:rPr>
          <w:sz w:val="24"/>
        </w:rPr>
        <w:t xml:space="preserve"> 12. [F4] Liquidity Decision Lab comparison of baseline and alternatives.</w:t>
      </w:r>
    </w:p>
    <w:p w14:paraId="3420E0BB" w14:textId="77777777" w:rsidR="00997065" w:rsidRDefault="00997065">
      <w:pPr>
        <w:spacing w:after="0"/>
      </w:pPr>
    </w:p>
    <w:p w14:paraId="6C5A483D" w14:textId="77777777" w:rsidR="001B4D85" w:rsidRDefault="00144521">
      <w:pPr>
        <w:jc w:val="center"/>
      </w:pPr>
      <w:r>
        <w:rPr>
          <w:noProof/>
          <w:sz w:val="24"/>
        </w:rPr>
        <w:lastRenderedPageBreak/>
        <w:drawing>
          <wp:inline distT="0" distB="0" distL="0" distR="0" wp14:anchorId="6287589E" wp14:editId="7D5F91D1">
            <wp:extent cx="5532120" cy="630047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levers-stress.png"/>
                    <pic:cNvPicPr/>
                  </pic:nvPicPr>
                  <pic:blipFill>
                    <a:blip r:embed="rId20"/>
                    <a:stretch>
                      <a:fillRect/>
                    </a:stretch>
                  </pic:blipFill>
                  <pic:spPr>
                    <a:xfrm>
                      <a:off x="0" y="0"/>
                      <a:ext cx="5532120" cy="6300470"/>
                    </a:xfrm>
                    <a:prstGeom prst="rect">
                      <a:avLst/>
                    </a:prstGeom>
                  </pic:spPr>
                </pic:pic>
              </a:graphicData>
            </a:graphic>
          </wp:inline>
        </w:drawing>
      </w:r>
    </w:p>
    <w:p w14:paraId="5E9231FC" w14:textId="77777777" w:rsidR="001B4D85" w:rsidRDefault="00144521">
      <w:pPr>
        <w:pStyle w:val="Caption"/>
        <w:jc w:val="center"/>
      </w:pPr>
      <w:r>
        <w:rPr>
          <w:sz w:val="24"/>
        </w:rPr>
        <w:t>Figure 13. [F5] Decision Lab lever settings and stress assumptions.</w:t>
      </w:r>
    </w:p>
    <w:p w14:paraId="29948B0E" w14:textId="77777777" w:rsidR="00997065" w:rsidRDefault="00997065">
      <w:pPr>
        <w:spacing w:after="0"/>
      </w:pPr>
    </w:p>
    <w:p w14:paraId="42A77140" w14:textId="77777777" w:rsidR="001B4D85" w:rsidRDefault="00144521">
      <w:pPr>
        <w:jc w:val="center"/>
      </w:pPr>
      <w:r>
        <w:rPr>
          <w:noProof/>
          <w:sz w:val="24"/>
        </w:rPr>
        <w:lastRenderedPageBreak/>
        <w:drawing>
          <wp:inline distT="0" distB="0" distL="0" distR="0" wp14:anchorId="5669F8C2" wp14:editId="3A7911CE">
            <wp:extent cx="5532120" cy="653097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ncing-readiness.png"/>
                    <pic:cNvPicPr/>
                  </pic:nvPicPr>
                  <pic:blipFill>
                    <a:blip r:embed="rId21"/>
                    <a:stretch>
                      <a:fillRect/>
                    </a:stretch>
                  </pic:blipFill>
                  <pic:spPr>
                    <a:xfrm>
                      <a:off x="0" y="0"/>
                      <a:ext cx="5532120" cy="6530975"/>
                    </a:xfrm>
                    <a:prstGeom prst="rect">
                      <a:avLst/>
                    </a:prstGeom>
                  </pic:spPr>
                </pic:pic>
              </a:graphicData>
            </a:graphic>
          </wp:inline>
        </w:drawing>
      </w:r>
    </w:p>
    <w:p w14:paraId="2CB083EF" w14:textId="77777777" w:rsidR="001B4D85" w:rsidRDefault="00144521">
      <w:pPr>
        <w:pStyle w:val="Caption"/>
        <w:jc w:val="center"/>
      </w:pPr>
      <w:r>
        <w:rPr>
          <w:sz w:val="24"/>
        </w:rPr>
        <w:t>Figure 14. [F6] Illustrative financing schedule and readiness indicator.</w:t>
      </w:r>
    </w:p>
    <w:p w14:paraId="0AC23FF2" w14:textId="77777777" w:rsidR="00997065" w:rsidRDefault="00997065">
      <w:pPr>
        <w:spacing w:after="0"/>
      </w:pPr>
    </w:p>
    <w:p w14:paraId="591BCB67" w14:textId="77777777" w:rsidR="001B4D85" w:rsidRDefault="00144521">
      <w:pPr>
        <w:jc w:val="center"/>
      </w:pPr>
      <w:r>
        <w:rPr>
          <w:noProof/>
          <w:sz w:val="24"/>
        </w:rPr>
        <w:lastRenderedPageBreak/>
        <w:drawing>
          <wp:inline distT="0" distB="0" distL="0" distR="0" wp14:anchorId="51ACD1D1" wp14:editId="6DFA31CA">
            <wp:extent cx="5532120" cy="595471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alysis-watchlist.png"/>
                    <pic:cNvPicPr/>
                  </pic:nvPicPr>
                  <pic:blipFill>
                    <a:blip r:embed="rId22"/>
                    <a:stretch>
                      <a:fillRect/>
                    </a:stretch>
                  </pic:blipFill>
                  <pic:spPr>
                    <a:xfrm>
                      <a:off x="0" y="0"/>
                      <a:ext cx="5532120" cy="5954712"/>
                    </a:xfrm>
                    <a:prstGeom prst="rect">
                      <a:avLst/>
                    </a:prstGeom>
                  </pic:spPr>
                </pic:pic>
              </a:graphicData>
            </a:graphic>
          </wp:inline>
        </w:drawing>
      </w:r>
    </w:p>
    <w:p w14:paraId="1A5719DE" w14:textId="77777777" w:rsidR="001B4D85" w:rsidRDefault="00144521">
      <w:pPr>
        <w:pStyle w:val="Caption"/>
        <w:jc w:val="center"/>
      </w:pPr>
      <w:r>
        <w:rPr>
          <w:sz w:val="24"/>
        </w:rPr>
        <w:t xml:space="preserve">Figure 15. [F7] Case 2 business </w:t>
      </w:r>
      <w:r>
        <w:rPr>
          <w:sz w:val="24"/>
        </w:rPr>
        <w:t>analysis and receivables watchlist.</w:t>
      </w:r>
    </w:p>
    <w:p w14:paraId="1A881F42" w14:textId="77777777" w:rsidR="00997065" w:rsidRDefault="00997065">
      <w:pPr>
        <w:spacing w:after="0"/>
      </w:pPr>
    </w:p>
    <w:p w14:paraId="7323F6FF" w14:textId="77777777" w:rsidR="001B4D85" w:rsidRDefault="00144521">
      <w:pPr>
        <w:jc w:val="center"/>
      </w:pPr>
      <w:r>
        <w:rPr>
          <w:noProof/>
          <w:sz w:val="24"/>
        </w:rPr>
        <w:lastRenderedPageBreak/>
        <w:drawing>
          <wp:inline distT="0" distB="0" distL="0" distR="0" wp14:anchorId="3254FDAE" wp14:editId="0194DA40">
            <wp:extent cx="5532120" cy="425276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pilot.png"/>
                    <pic:cNvPicPr/>
                  </pic:nvPicPr>
                  <pic:blipFill>
                    <a:blip r:embed="rId23"/>
                    <a:stretch>
                      <a:fillRect/>
                    </a:stretch>
                  </pic:blipFill>
                  <pic:spPr>
                    <a:xfrm>
                      <a:off x="0" y="0"/>
                      <a:ext cx="5532120" cy="4252768"/>
                    </a:xfrm>
                    <a:prstGeom prst="rect">
                      <a:avLst/>
                    </a:prstGeom>
                  </pic:spPr>
                </pic:pic>
              </a:graphicData>
            </a:graphic>
          </wp:inline>
        </w:drawing>
      </w:r>
    </w:p>
    <w:p w14:paraId="45C7948A" w14:textId="77777777" w:rsidR="001B4D85" w:rsidRDefault="00144521">
      <w:pPr>
        <w:pStyle w:val="Caption"/>
        <w:jc w:val="center"/>
      </w:pPr>
      <w:r>
        <w:rPr>
          <w:sz w:val="24"/>
        </w:rPr>
        <w:t>Figure 16. [F8] Copilot response with expanded Evidence used receipt.</w:t>
      </w:r>
    </w:p>
    <w:p w14:paraId="149A4E5F" w14:textId="77777777" w:rsidR="00997065" w:rsidRDefault="00997065">
      <w:pPr>
        <w:spacing w:after="0"/>
      </w:pPr>
    </w:p>
    <w:p w14:paraId="7EBD5CFD" w14:textId="77777777" w:rsidR="001B4D85" w:rsidRDefault="00144521">
      <w:pPr>
        <w:jc w:val="center"/>
      </w:pPr>
      <w:r>
        <w:rPr>
          <w:noProof/>
          <w:sz w:val="24"/>
        </w:rPr>
        <w:lastRenderedPageBreak/>
        <w:drawing>
          <wp:inline distT="0" distB="0" distL="0" distR="0" wp14:anchorId="46857B27" wp14:editId="09D25FF6">
            <wp:extent cx="5532120" cy="637730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rovals-workflow.png"/>
                    <pic:cNvPicPr/>
                  </pic:nvPicPr>
                  <pic:blipFill>
                    <a:blip r:embed="rId24"/>
                    <a:stretch>
                      <a:fillRect/>
                    </a:stretch>
                  </pic:blipFill>
                  <pic:spPr>
                    <a:xfrm>
                      <a:off x="0" y="0"/>
                      <a:ext cx="5532120" cy="6377305"/>
                    </a:xfrm>
                    <a:prstGeom prst="rect">
                      <a:avLst/>
                    </a:prstGeom>
                  </pic:spPr>
                </pic:pic>
              </a:graphicData>
            </a:graphic>
          </wp:inline>
        </w:drawing>
      </w:r>
    </w:p>
    <w:p w14:paraId="41A544E1" w14:textId="77777777" w:rsidR="001B4D85" w:rsidRDefault="00144521">
      <w:pPr>
        <w:pStyle w:val="Caption"/>
        <w:jc w:val="center"/>
      </w:pPr>
      <w:r>
        <w:rPr>
          <w:sz w:val="24"/>
        </w:rPr>
        <w:t>Figure 17. [F9] Approval workflow from pending draft to approved local record.</w:t>
      </w:r>
    </w:p>
    <w:p w14:paraId="7C504606" w14:textId="77777777" w:rsidR="00997065" w:rsidRDefault="00997065">
      <w:pPr>
        <w:spacing w:after="0"/>
      </w:pPr>
    </w:p>
    <w:p w14:paraId="2E9B4FAA" w14:textId="77777777" w:rsidR="001B4D85" w:rsidRDefault="00144521">
      <w:pPr>
        <w:jc w:val="center"/>
      </w:pPr>
      <w:r>
        <w:rPr>
          <w:noProof/>
          <w:sz w:val="24"/>
        </w:rPr>
        <w:lastRenderedPageBreak/>
        <w:drawing>
          <wp:inline distT="0" distB="0" distL="0" distR="0" wp14:anchorId="66B828AC" wp14:editId="41FD3330">
            <wp:extent cx="5532120" cy="491744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dit-verify.png"/>
                    <pic:cNvPicPr/>
                  </pic:nvPicPr>
                  <pic:blipFill>
                    <a:blip r:embed="rId25"/>
                    <a:stretch>
                      <a:fillRect/>
                    </a:stretch>
                  </pic:blipFill>
                  <pic:spPr>
                    <a:xfrm>
                      <a:off x="0" y="0"/>
                      <a:ext cx="5532120" cy="4917440"/>
                    </a:xfrm>
                    <a:prstGeom prst="rect">
                      <a:avLst/>
                    </a:prstGeom>
                  </pic:spPr>
                </pic:pic>
              </a:graphicData>
            </a:graphic>
          </wp:inline>
        </w:drawing>
      </w:r>
    </w:p>
    <w:p w14:paraId="174BED6C" w14:textId="77777777" w:rsidR="001B4D85" w:rsidRDefault="00144521">
      <w:pPr>
        <w:pStyle w:val="Caption"/>
        <w:jc w:val="center"/>
      </w:pPr>
      <w:r>
        <w:rPr>
          <w:sz w:val="24"/>
        </w:rPr>
        <w:t>Figure 18. [F10] Audit hash-chain verification result.</w:t>
      </w:r>
    </w:p>
    <w:p w14:paraId="56E018B5" w14:textId="77777777" w:rsidR="00997065" w:rsidRDefault="00997065">
      <w:pPr>
        <w:spacing w:after="0"/>
      </w:pPr>
    </w:p>
    <w:p w14:paraId="6E20B4BD" w14:textId="77777777" w:rsidR="001B4D85" w:rsidRDefault="00144521">
      <w:pPr>
        <w:jc w:val="center"/>
      </w:pPr>
      <w:r>
        <w:rPr>
          <w:noProof/>
          <w:sz w:val="24"/>
        </w:rPr>
        <w:lastRenderedPageBreak/>
        <w:drawing>
          <wp:inline distT="0" distB="0" distL="0" distR="0" wp14:anchorId="29A19713" wp14:editId="372D7730">
            <wp:extent cx="5532120" cy="491744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pload.png"/>
                    <pic:cNvPicPr/>
                  </pic:nvPicPr>
                  <pic:blipFill>
                    <a:blip r:embed="rId26"/>
                    <a:stretch>
                      <a:fillRect/>
                    </a:stretch>
                  </pic:blipFill>
                  <pic:spPr>
                    <a:xfrm>
                      <a:off x="0" y="0"/>
                      <a:ext cx="5532120" cy="4917440"/>
                    </a:xfrm>
                    <a:prstGeom prst="rect">
                      <a:avLst/>
                    </a:prstGeom>
                  </pic:spPr>
                </pic:pic>
              </a:graphicData>
            </a:graphic>
          </wp:inline>
        </w:drawing>
      </w:r>
    </w:p>
    <w:p w14:paraId="77C2A075" w14:textId="77777777" w:rsidR="001B4D85" w:rsidRDefault="00144521">
      <w:pPr>
        <w:pStyle w:val="Caption"/>
        <w:jc w:val="center"/>
      </w:pPr>
      <w:r>
        <w:rPr>
          <w:sz w:val="24"/>
        </w:rPr>
        <w:t>Figure 19. [F11] Upload validation of formula-like cell (=1+1).</w:t>
      </w:r>
    </w:p>
    <w:p w14:paraId="009294A1" w14:textId="77777777" w:rsidR="00997065" w:rsidRDefault="00997065">
      <w:pPr>
        <w:spacing w:after="0"/>
      </w:pPr>
    </w:p>
    <w:p w14:paraId="125C9C2A" w14:textId="77777777" w:rsidR="001B4D85" w:rsidRDefault="00144521">
      <w:pPr>
        <w:jc w:val="center"/>
      </w:pPr>
      <w:r>
        <w:rPr>
          <w:noProof/>
          <w:sz w:val="24"/>
        </w:rPr>
        <w:lastRenderedPageBreak/>
        <w:drawing>
          <wp:inline distT="0" distB="0" distL="0" distR="0" wp14:anchorId="66424A9F" wp14:editId="18359BF7">
            <wp:extent cx="5532120" cy="491744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urity.png"/>
                    <pic:cNvPicPr/>
                  </pic:nvPicPr>
                  <pic:blipFill>
                    <a:blip r:embed="rId27"/>
                    <a:stretch>
                      <a:fillRect/>
                    </a:stretch>
                  </pic:blipFill>
                  <pic:spPr>
                    <a:xfrm>
                      <a:off x="0" y="0"/>
                      <a:ext cx="5532120" cy="4917440"/>
                    </a:xfrm>
                    <a:prstGeom prst="rect">
                      <a:avLst/>
                    </a:prstGeom>
                  </pic:spPr>
                </pic:pic>
              </a:graphicData>
            </a:graphic>
          </wp:inline>
        </w:drawing>
      </w:r>
    </w:p>
    <w:p w14:paraId="05DFA92A" w14:textId="77777777" w:rsidR="001B4D85" w:rsidRDefault="00144521">
      <w:pPr>
        <w:pStyle w:val="Caption"/>
        <w:jc w:val="center"/>
      </w:pPr>
      <w:r>
        <w:rPr>
          <w:sz w:val="24"/>
        </w:rPr>
        <w:t>Figure 20. [F12] Security roles and permission matrix.</w:t>
      </w:r>
    </w:p>
    <w:p w14:paraId="70696E2F" w14:textId="77777777" w:rsidR="00997065" w:rsidRDefault="00997065">
      <w:pPr>
        <w:spacing w:after="0"/>
      </w:pPr>
    </w:p>
    <w:p w14:paraId="17B4F2EE" w14:textId="77777777" w:rsidR="00997065" w:rsidRDefault="00497D67">
      <w:pPr>
        <w:spacing w:after="100" w:line="269" w:lineRule="auto"/>
      </w:pPr>
      <w:r>
        <w:rPr>
          <w:sz w:val="24"/>
        </w:rPr>
        <w:t>All requested captures should be taken from the current signed-in UI at a 1440 px viewport, use synthetic cases, and be stored under docs/img/. Preserve enough surrounding UI to identify the page and scenario; crop browser chrome and unrelated empty space. Red placeholders are production instructions, not actual evidence and must be replaced before final submission.</w:t>
      </w:r>
    </w:p>
    <w:p w14:paraId="13D85B45" w14:textId="77777777" w:rsidR="00997065" w:rsidRDefault="00497D67">
      <w:pPr>
        <w:pStyle w:val="Heading1"/>
      </w:pPr>
      <w:r>
        <w:rPr>
          <w:rFonts w:ascii="Times New Roman" w:eastAsia="Times New Roman" w:hAnsi="Times New Roman"/>
          <w:sz w:val="24"/>
        </w:rPr>
        <w:t>9. Evaluation and evidence</w:t>
      </w:r>
    </w:p>
    <w:p w14:paraId="6E32327E" w14:textId="77777777" w:rsidR="00997065" w:rsidRDefault="00497D67">
      <w:pPr>
        <w:pStyle w:val="Heading2"/>
      </w:pPr>
      <w:r>
        <w:rPr>
          <w:rFonts w:ascii="Times New Roman" w:eastAsia="Times New Roman" w:hAnsi="Times New Roman"/>
          <w:sz w:val="24"/>
        </w:rPr>
        <w:t>9.1. Evaluation design and provenance</w:t>
      </w:r>
    </w:p>
    <w:p w14:paraId="16C7F01B" w14:textId="77777777" w:rsidR="00997065" w:rsidRDefault="00497D67">
      <w:pPr>
        <w:spacing w:after="100" w:line="269" w:lineRule="auto"/>
      </w:pPr>
      <w:r>
        <w:rPr>
          <w:sz w:val="24"/>
        </w:rPr>
        <w:t>The repository contains several different evidence events and they are reported separately. The T15 evaluation bundle is timestamped 18 October 2026. It includes 13 scripted service workflows, 60 role/action decisions, 10 poisoned-name masking cases, grounding receipts, and audit tamper detection. The latest integrated QA record in docs/PROGRESS.md, dated 20 October 2026, records 205 passing tests after UI regression fixes. The older checked-in full test output records 197 tests for the earlier evaluation build. The current document does not claim that all security/workflow artifacts were rerun with the later UI test count.</w:t>
      </w:r>
    </w:p>
    <w:tbl>
      <w:tblPr>
        <w:tblStyle w:val="TableGrid"/>
        <w:tblW w:w="0" w:type="auto"/>
        <w:jc w:val="center"/>
        <w:tblLook w:val="04A0" w:firstRow="1" w:lastRow="0" w:firstColumn="1" w:lastColumn="0" w:noHBand="0" w:noVBand="1"/>
      </w:tblPr>
      <w:tblGrid>
        <w:gridCol w:w="3331"/>
        <w:gridCol w:w="3331"/>
        <w:gridCol w:w="3331"/>
      </w:tblGrid>
      <w:tr w:rsidR="00997065" w14:paraId="044B06D1" w14:textId="77777777">
        <w:trPr>
          <w:tblHeader/>
          <w:jc w:val="center"/>
        </w:trPr>
        <w:tc>
          <w:tcPr>
            <w:tcW w:w="3331" w:type="dxa"/>
            <w:tcBorders>
              <w:top w:val="single" w:sz="6" w:space="0" w:color="166B52"/>
              <w:left w:val="single" w:sz="6" w:space="0" w:color="166B52"/>
              <w:bottom w:val="single" w:sz="6" w:space="0" w:color="166B52"/>
              <w:right w:val="single" w:sz="6" w:space="0" w:color="166B52"/>
            </w:tcBorders>
            <w:shd w:val="clear" w:color="auto" w:fill="166B52"/>
            <w:vAlign w:val="center"/>
          </w:tcPr>
          <w:p w14:paraId="0F52F7AE" w14:textId="77777777" w:rsidR="00997065" w:rsidRDefault="00497D67">
            <w:pPr>
              <w:spacing w:before="20" w:after="20"/>
            </w:pPr>
            <w:r>
              <w:rPr>
                <w:b/>
                <w:color w:val="FFFFFF"/>
                <w:sz w:val="24"/>
              </w:rPr>
              <w:t>Measure</w:t>
            </w:r>
          </w:p>
        </w:tc>
        <w:tc>
          <w:tcPr>
            <w:tcW w:w="3331" w:type="dxa"/>
            <w:tcBorders>
              <w:top w:val="single" w:sz="6" w:space="0" w:color="166B52"/>
              <w:left w:val="single" w:sz="6" w:space="0" w:color="166B52"/>
              <w:bottom w:val="single" w:sz="6" w:space="0" w:color="166B52"/>
              <w:right w:val="single" w:sz="6" w:space="0" w:color="166B52"/>
            </w:tcBorders>
            <w:shd w:val="clear" w:color="auto" w:fill="166B52"/>
            <w:vAlign w:val="center"/>
          </w:tcPr>
          <w:p w14:paraId="7CF486B4" w14:textId="77777777" w:rsidR="00997065" w:rsidRDefault="00497D67">
            <w:pPr>
              <w:spacing w:before="20" w:after="20"/>
            </w:pPr>
            <w:r>
              <w:rPr>
                <w:b/>
                <w:color w:val="FFFFFF"/>
                <w:sz w:val="24"/>
              </w:rPr>
              <w:t>Recorded result</w:t>
            </w:r>
          </w:p>
        </w:tc>
        <w:tc>
          <w:tcPr>
            <w:tcW w:w="3331" w:type="dxa"/>
            <w:tcBorders>
              <w:top w:val="single" w:sz="6" w:space="0" w:color="166B52"/>
              <w:left w:val="single" w:sz="6" w:space="0" w:color="166B52"/>
              <w:bottom w:val="single" w:sz="6" w:space="0" w:color="166B52"/>
              <w:right w:val="single" w:sz="6" w:space="0" w:color="166B52"/>
            </w:tcBorders>
            <w:shd w:val="clear" w:color="auto" w:fill="166B52"/>
            <w:vAlign w:val="center"/>
          </w:tcPr>
          <w:p w14:paraId="4BE0A5F2" w14:textId="77777777" w:rsidR="00997065" w:rsidRDefault="00497D67">
            <w:pPr>
              <w:spacing w:before="20" w:after="20"/>
            </w:pPr>
            <w:r>
              <w:rPr>
                <w:b/>
                <w:color w:val="FFFFFF"/>
                <w:sz w:val="24"/>
              </w:rPr>
              <w:t>Interpretation</w:t>
            </w:r>
          </w:p>
        </w:tc>
      </w:tr>
      <w:tr w:rsidR="00997065" w14:paraId="6691D426" w14:textId="77777777">
        <w:trPr>
          <w:jc w:val="center"/>
        </w:trPr>
        <w:tc>
          <w:tcPr>
            <w:tcW w:w="3331" w:type="dxa"/>
            <w:tcBorders>
              <w:top w:val="single" w:sz="6" w:space="0" w:color="D7E4DD"/>
              <w:left w:val="single" w:sz="6" w:space="0" w:color="D7E4DD"/>
              <w:bottom w:val="single" w:sz="6" w:space="0" w:color="D7E4DD"/>
              <w:right w:val="single" w:sz="6" w:space="0" w:color="D7E4DD"/>
            </w:tcBorders>
            <w:shd w:val="clear" w:color="auto" w:fill="F4F8F5"/>
            <w:vAlign w:val="center"/>
          </w:tcPr>
          <w:p w14:paraId="4D51217E" w14:textId="77777777" w:rsidR="00997065" w:rsidRDefault="00497D67">
            <w:pPr>
              <w:spacing w:before="20" w:after="20"/>
            </w:pPr>
            <w:r>
              <w:rPr>
                <w:sz w:val="24"/>
              </w:rPr>
              <w:t>Latest integrated test suite</w:t>
            </w:r>
          </w:p>
        </w:tc>
        <w:tc>
          <w:tcPr>
            <w:tcW w:w="3331" w:type="dxa"/>
            <w:tcBorders>
              <w:top w:val="single" w:sz="6" w:space="0" w:color="D7E4DD"/>
              <w:left w:val="single" w:sz="6" w:space="0" w:color="D7E4DD"/>
              <w:bottom w:val="single" w:sz="6" w:space="0" w:color="D7E4DD"/>
              <w:right w:val="single" w:sz="6" w:space="0" w:color="D7E4DD"/>
            </w:tcBorders>
            <w:shd w:val="clear" w:color="auto" w:fill="F4F8F5"/>
            <w:vAlign w:val="center"/>
          </w:tcPr>
          <w:p w14:paraId="3C7EC700" w14:textId="77777777" w:rsidR="00997065" w:rsidRDefault="00497D67">
            <w:pPr>
              <w:spacing w:before="20" w:after="20"/>
            </w:pPr>
            <w:r>
              <w:rPr>
                <w:sz w:val="24"/>
              </w:rPr>
              <w:t>205 passed; recorded 2026-10-20</w:t>
            </w:r>
          </w:p>
        </w:tc>
        <w:tc>
          <w:tcPr>
            <w:tcW w:w="3331" w:type="dxa"/>
            <w:tcBorders>
              <w:top w:val="single" w:sz="6" w:space="0" w:color="D7E4DD"/>
              <w:left w:val="single" w:sz="6" w:space="0" w:color="D7E4DD"/>
              <w:bottom w:val="single" w:sz="6" w:space="0" w:color="D7E4DD"/>
              <w:right w:val="single" w:sz="6" w:space="0" w:color="D7E4DD"/>
            </w:tcBorders>
            <w:shd w:val="clear" w:color="auto" w:fill="F4F8F5"/>
            <w:vAlign w:val="center"/>
          </w:tcPr>
          <w:p w14:paraId="66A517E0" w14:textId="77777777" w:rsidR="00997065" w:rsidRDefault="00497D67">
            <w:pPr>
              <w:spacing w:before="20" w:after="20"/>
            </w:pPr>
            <w:r>
              <w:rPr>
                <w:sz w:val="24"/>
              </w:rPr>
              <w:t>Project progress record; implementation regression coverage, not field validation</w:t>
            </w:r>
          </w:p>
        </w:tc>
      </w:tr>
      <w:tr w:rsidR="00997065" w14:paraId="5F53BD3B" w14:textId="77777777">
        <w:trPr>
          <w:jc w:val="center"/>
        </w:trPr>
        <w:tc>
          <w:tcPr>
            <w:tcW w:w="3331" w:type="dxa"/>
            <w:tcBorders>
              <w:top w:val="single" w:sz="6" w:space="0" w:color="D7E4DD"/>
              <w:left w:val="single" w:sz="6" w:space="0" w:color="D7E4DD"/>
              <w:bottom w:val="single" w:sz="6" w:space="0" w:color="D7E4DD"/>
              <w:right w:val="single" w:sz="6" w:space="0" w:color="D7E4DD"/>
            </w:tcBorders>
            <w:shd w:val="clear" w:color="auto" w:fill="FFFFFF"/>
            <w:vAlign w:val="center"/>
          </w:tcPr>
          <w:p w14:paraId="0384A59A" w14:textId="77777777" w:rsidR="00997065" w:rsidRDefault="00497D67">
            <w:pPr>
              <w:spacing w:before="20" w:after="20"/>
            </w:pPr>
            <w:r>
              <w:rPr>
                <w:sz w:val="24"/>
              </w:rPr>
              <w:lastRenderedPageBreak/>
              <w:t>T15 service workflow suite</w:t>
            </w:r>
          </w:p>
        </w:tc>
        <w:tc>
          <w:tcPr>
            <w:tcW w:w="3331" w:type="dxa"/>
            <w:tcBorders>
              <w:top w:val="single" w:sz="6" w:space="0" w:color="D7E4DD"/>
              <w:left w:val="single" w:sz="6" w:space="0" w:color="D7E4DD"/>
              <w:bottom w:val="single" w:sz="6" w:space="0" w:color="D7E4DD"/>
              <w:right w:val="single" w:sz="6" w:space="0" w:color="D7E4DD"/>
            </w:tcBorders>
            <w:shd w:val="clear" w:color="auto" w:fill="FFFFFF"/>
            <w:vAlign w:val="center"/>
          </w:tcPr>
          <w:p w14:paraId="12D1B8B9" w14:textId="77777777" w:rsidR="00997065" w:rsidRDefault="00497D67">
            <w:pPr>
              <w:spacing w:before="20" w:after="20"/>
            </w:pPr>
            <w:r>
              <w:rPr>
                <w:sz w:val="24"/>
              </w:rPr>
              <w:t>13/13 passed; 2026-10-18</w:t>
            </w:r>
          </w:p>
        </w:tc>
        <w:tc>
          <w:tcPr>
            <w:tcW w:w="3331" w:type="dxa"/>
            <w:tcBorders>
              <w:top w:val="single" w:sz="6" w:space="0" w:color="D7E4DD"/>
              <w:left w:val="single" w:sz="6" w:space="0" w:color="D7E4DD"/>
              <w:bottom w:val="single" w:sz="6" w:space="0" w:color="D7E4DD"/>
              <w:right w:val="single" w:sz="6" w:space="0" w:color="D7E4DD"/>
            </w:tcBorders>
            <w:shd w:val="clear" w:color="auto" w:fill="FFFFFF"/>
            <w:vAlign w:val="center"/>
          </w:tcPr>
          <w:p w14:paraId="12A85864" w14:textId="77777777" w:rsidR="00997065" w:rsidRDefault="00497D67">
            <w:pPr>
              <w:spacing w:before="20" w:after="20"/>
            </w:pPr>
            <w:r>
              <w:rPr>
                <w:sz w:val="24"/>
              </w:rPr>
              <w:t>Scripted case/service tasks in evidence/task_suite_results.md</w:t>
            </w:r>
          </w:p>
        </w:tc>
      </w:tr>
      <w:tr w:rsidR="00997065" w14:paraId="3494CB69" w14:textId="77777777">
        <w:trPr>
          <w:jc w:val="center"/>
        </w:trPr>
        <w:tc>
          <w:tcPr>
            <w:tcW w:w="3331" w:type="dxa"/>
            <w:tcBorders>
              <w:top w:val="single" w:sz="6" w:space="0" w:color="D7E4DD"/>
              <w:left w:val="single" w:sz="6" w:space="0" w:color="D7E4DD"/>
              <w:bottom w:val="single" w:sz="6" w:space="0" w:color="D7E4DD"/>
              <w:right w:val="single" w:sz="6" w:space="0" w:color="D7E4DD"/>
            </w:tcBorders>
            <w:shd w:val="clear" w:color="auto" w:fill="F4F8F5"/>
            <w:vAlign w:val="center"/>
          </w:tcPr>
          <w:p w14:paraId="2A8F7686" w14:textId="77777777" w:rsidR="00997065" w:rsidRDefault="00497D67">
            <w:pPr>
              <w:spacing w:before="20" w:after="20"/>
            </w:pPr>
            <w:r>
              <w:rPr>
                <w:sz w:val="24"/>
              </w:rPr>
              <w:t>Authorization matrix</w:t>
            </w:r>
          </w:p>
        </w:tc>
        <w:tc>
          <w:tcPr>
            <w:tcW w:w="3331" w:type="dxa"/>
            <w:tcBorders>
              <w:top w:val="single" w:sz="6" w:space="0" w:color="D7E4DD"/>
              <w:left w:val="single" w:sz="6" w:space="0" w:color="D7E4DD"/>
              <w:bottom w:val="single" w:sz="6" w:space="0" w:color="D7E4DD"/>
              <w:right w:val="single" w:sz="6" w:space="0" w:color="D7E4DD"/>
            </w:tcBorders>
            <w:shd w:val="clear" w:color="auto" w:fill="F4F8F5"/>
            <w:vAlign w:val="center"/>
          </w:tcPr>
          <w:p w14:paraId="5CC2B058" w14:textId="77777777" w:rsidR="00997065" w:rsidRDefault="00497D67">
            <w:pPr>
              <w:spacing w:before="20" w:after="20"/>
            </w:pPr>
            <w:r>
              <w:rPr>
                <w:sz w:val="24"/>
              </w:rPr>
              <w:t>60/60 decisions matched; 2026-10-18</w:t>
            </w:r>
          </w:p>
        </w:tc>
        <w:tc>
          <w:tcPr>
            <w:tcW w:w="3331" w:type="dxa"/>
            <w:tcBorders>
              <w:top w:val="single" w:sz="6" w:space="0" w:color="D7E4DD"/>
              <w:left w:val="single" w:sz="6" w:space="0" w:color="D7E4DD"/>
              <w:bottom w:val="single" w:sz="6" w:space="0" w:color="D7E4DD"/>
              <w:right w:val="single" w:sz="6" w:space="0" w:color="D7E4DD"/>
            </w:tcBorders>
            <w:shd w:val="clear" w:color="auto" w:fill="F4F8F5"/>
            <w:vAlign w:val="center"/>
          </w:tcPr>
          <w:p w14:paraId="33F40C9E" w14:textId="77777777" w:rsidR="00997065" w:rsidRDefault="00497D67">
            <w:pPr>
              <w:spacing w:before="20" w:after="20"/>
            </w:pPr>
            <w:r>
              <w:rPr>
                <w:sz w:val="24"/>
              </w:rPr>
              <w:t>Role/action registry checks in evidence/security_eval.md</w:t>
            </w:r>
          </w:p>
        </w:tc>
      </w:tr>
      <w:tr w:rsidR="00997065" w14:paraId="77A3D728" w14:textId="77777777">
        <w:trPr>
          <w:jc w:val="center"/>
        </w:trPr>
        <w:tc>
          <w:tcPr>
            <w:tcW w:w="3331" w:type="dxa"/>
            <w:tcBorders>
              <w:top w:val="single" w:sz="6" w:space="0" w:color="D7E4DD"/>
              <w:left w:val="single" w:sz="6" w:space="0" w:color="D7E4DD"/>
              <w:bottom w:val="single" w:sz="6" w:space="0" w:color="D7E4DD"/>
              <w:right w:val="single" w:sz="6" w:space="0" w:color="D7E4DD"/>
            </w:tcBorders>
            <w:shd w:val="clear" w:color="auto" w:fill="FFFFFF"/>
            <w:vAlign w:val="center"/>
          </w:tcPr>
          <w:p w14:paraId="4B4C55F5" w14:textId="77777777" w:rsidR="00997065" w:rsidRDefault="00497D67">
            <w:pPr>
              <w:spacing w:before="20" w:after="20"/>
            </w:pPr>
            <w:r>
              <w:rPr>
                <w:sz w:val="24"/>
              </w:rPr>
              <w:t>Poisoned-name evidence filtering</w:t>
            </w:r>
          </w:p>
        </w:tc>
        <w:tc>
          <w:tcPr>
            <w:tcW w:w="3331" w:type="dxa"/>
            <w:tcBorders>
              <w:top w:val="single" w:sz="6" w:space="0" w:color="D7E4DD"/>
              <w:left w:val="single" w:sz="6" w:space="0" w:color="D7E4DD"/>
              <w:bottom w:val="single" w:sz="6" w:space="0" w:color="D7E4DD"/>
              <w:right w:val="single" w:sz="6" w:space="0" w:color="D7E4DD"/>
            </w:tcBorders>
            <w:shd w:val="clear" w:color="auto" w:fill="FFFFFF"/>
            <w:vAlign w:val="center"/>
          </w:tcPr>
          <w:p w14:paraId="4A8A778A" w14:textId="77777777" w:rsidR="00997065" w:rsidRDefault="00497D67">
            <w:pPr>
              <w:spacing w:before="20" w:after="20"/>
            </w:pPr>
            <w:r>
              <w:rPr>
                <w:sz w:val="24"/>
              </w:rPr>
              <w:t>10/10 excluded; 2026-10-18</w:t>
            </w:r>
          </w:p>
        </w:tc>
        <w:tc>
          <w:tcPr>
            <w:tcW w:w="3331" w:type="dxa"/>
            <w:tcBorders>
              <w:top w:val="single" w:sz="6" w:space="0" w:color="D7E4DD"/>
              <w:left w:val="single" w:sz="6" w:space="0" w:color="D7E4DD"/>
              <w:bottom w:val="single" w:sz="6" w:space="0" w:color="D7E4DD"/>
              <w:right w:val="single" w:sz="6" w:space="0" w:color="D7E4DD"/>
            </w:tcBorders>
            <w:shd w:val="clear" w:color="auto" w:fill="FFFFFF"/>
            <w:vAlign w:val="center"/>
          </w:tcPr>
          <w:p w14:paraId="3D18B350" w14:textId="77777777" w:rsidR="00997065" w:rsidRDefault="00497D67">
            <w:pPr>
              <w:spacing w:before="20" w:after="20"/>
            </w:pPr>
            <w:r>
              <w:rPr>
                <w:sz w:val="24"/>
              </w:rPr>
              <w:t>Security evaluation fixture, not comprehensive adversarial testing</w:t>
            </w:r>
          </w:p>
        </w:tc>
      </w:tr>
      <w:tr w:rsidR="00997065" w14:paraId="3F38B214" w14:textId="77777777">
        <w:trPr>
          <w:jc w:val="center"/>
        </w:trPr>
        <w:tc>
          <w:tcPr>
            <w:tcW w:w="3331" w:type="dxa"/>
            <w:tcBorders>
              <w:top w:val="single" w:sz="6" w:space="0" w:color="D7E4DD"/>
              <w:left w:val="single" w:sz="6" w:space="0" w:color="D7E4DD"/>
              <w:bottom w:val="single" w:sz="6" w:space="0" w:color="D7E4DD"/>
              <w:right w:val="single" w:sz="6" w:space="0" w:color="D7E4DD"/>
            </w:tcBorders>
            <w:shd w:val="clear" w:color="auto" w:fill="F4F8F5"/>
            <w:vAlign w:val="center"/>
          </w:tcPr>
          <w:p w14:paraId="6382043A" w14:textId="77777777" w:rsidR="00997065" w:rsidRDefault="00497D67">
            <w:pPr>
              <w:spacing w:before="20" w:after="20"/>
            </w:pPr>
            <w:r>
              <w:rPr>
                <w:sz w:val="24"/>
              </w:rPr>
              <w:t>Audit tampering</w:t>
            </w:r>
          </w:p>
        </w:tc>
        <w:tc>
          <w:tcPr>
            <w:tcW w:w="3331" w:type="dxa"/>
            <w:tcBorders>
              <w:top w:val="single" w:sz="6" w:space="0" w:color="D7E4DD"/>
              <w:left w:val="single" w:sz="6" w:space="0" w:color="D7E4DD"/>
              <w:bottom w:val="single" w:sz="6" w:space="0" w:color="D7E4DD"/>
              <w:right w:val="single" w:sz="6" w:space="0" w:color="D7E4DD"/>
            </w:tcBorders>
            <w:shd w:val="clear" w:color="auto" w:fill="F4F8F5"/>
            <w:vAlign w:val="center"/>
          </w:tcPr>
          <w:p w14:paraId="0DE91817" w14:textId="77777777" w:rsidR="00997065" w:rsidRDefault="00497D67">
            <w:pPr>
              <w:spacing w:before="20" w:after="20"/>
            </w:pPr>
            <w:r>
              <w:rPr>
                <w:sz w:val="24"/>
              </w:rPr>
              <w:t>Tamper detected at entry 1</w:t>
            </w:r>
          </w:p>
        </w:tc>
        <w:tc>
          <w:tcPr>
            <w:tcW w:w="3331" w:type="dxa"/>
            <w:tcBorders>
              <w:top w:val="single" w:sz="6" w:space="0" w:color="D7E4DD"/>
              <w:left w:val="single" w:sz="6" w:space="0" w:color="D7E4DD"/>
              <w:bottom w:val="single" w:sz="6" w:space="0" w:color="D7E4DD"/>
              <w:right w:val="single" w:sz="6" w:space="0" w:color="D7E4DD"/>
            </w:tcBorders>
            <w:shd w:val="clear" w:color="auto" w:fill="F4F8F5"/>
            <w:vAlign w:val="center"/>
          </w:tcPr>
          <w:p w14:paraId="424DD6DD" w14:textId="77777777" w:rsidR="00997065" w:rsidRDefault="00497D67">
            <w:pPr>
              <w:spacing w:before="20" w:after="20"/>
            </w:pPr>
            <w:r>
              <w:rPr>
                <w:sz w:val="24"/>
              </w:rPr>
              <w:t>Local chain-verifier test evidence</w:t>
            </w:r>
          </w:p>
        </w:tc>
      </w:tr>
      <w:tr w:rsidR="00997065" w14:paraId="7CFD50C4" w14:textId="77777777">
        <w:trPr>
          <w:jc w:val="center"/>
        </w:trPr>
        <w:tc>
          <w:tcPr>
            <w:tcW w:w="3331" w:type="dxa"/>
            <w:tcBorders>
              <w:top w:val="single" w:sz="6" w:space="0" w:color="D7E4DD"/>
              <w:left w:val="single" w:sz="6" w:space="0" w:color="D7E4DD"/>
              <w:bottom w:val="single" w:sz="6" w:space="0" w:color="D7E4DD"/>
              <w:right w:val="single" w:sz="6" w:space="0" w:color="D7E4DD"/>
            </w:tcBorders>
            <w:shd w:val="clear" w:color="auto" w:fill="FFFFFF"/>
            <w:vAlign w:val="center"/>
          </w:tcPr>
          <w:p w14:paraId="7D148247" w14:textId="77777777" w:rsidR="00997065" w:rsidRDefault="00497D67">
            <w:pPr>
              <w:spacing w:before="20" w:after="20"/>
            </w:pPr>
            <w:r>
              <w:rPr>
                <w:sz w:val="24"/>
              </w:rPr>
              <w:t>Latest quality tooling</w:t>
            </w:r>
          </w:p>
        </w:tc>
        <w:tc>
          <w:tcPr>
            <w:tcW w:w="3331" w:type="dxa"/>
            <w:tcBorders>
              <w:top w:val="single" w:sz="6" w:space="0" w:color="D7E4DD"/>
              <w:left w:val="single" w:sz="6" w:space="0" w:color="D7E4DD"/>
              <w:bottom w:val="single" w:sz="6" w:space="0" w:color="D7E4DD"/>
              <w:right w:val="single" w:sz="6" w:space="0" w:color="D7E4DD"/>
            </w:tcBorders>
            <w:shd w:val="clear" w:color="auto" w:fill="FFFFFF"/>
            <w:vAlign w:val="center"/>
          </w:tcPr>
          <w:p w14:paraId="16D6D5E8" w14:textId="77777777" w:rsidR="00997065" w:rsidRDefault="00497D67">
            <w:pPr>
              <w:spacing w:before="20" w:after="20"/>
            </w:pPr>
            <w:r>
              <w:rPr>
                <w:sz w:val="24"/>
              </w:rPr>
              <w:t>Ruff, health check, secret scan recorded passing</w:t>
            </w:r>
          </w:p>
        </w:tc>
        <w:tc>
          <w:tcPr>
            <w:tcW w:w="3331" w:type="dxa"/>
            <w:tcBorders>
              <w:top w:val="single" w:sz="6" w:space="0" w:color="D7E4DD"/>
              <w:left w:val="single" w:sz="6" w:space="0" w:color="D7E4DD"/>
              <w:bottom w:val="single" w:sz="6" w:space="0" w:color="D7E4DD"/>
              <w:right w:val="single" w:sz="6" w:space="0" w:color="D7E4DD"/>
            </w:tcBorders>
            <w:shd w:val="clear" w:color="auto" w:fill="FFFFFF"/>
            <w:vAlign w:val="center"/>
          </w:tcPr>
          <w:p w14:paraId="4AD8DF5A" w14:textId="77777777" w:rsidR="00997065" w:rsidRDefault="00497D67">
            <w:pPr>
              <w:spacing w:before="20" w:after="20"/>
            </w:pPr>
            <w:r>
              <w:rPr>
                <w:sz w:val="24"/>
              </w:rPr>
              <w:t>Per docs/PROGRESS.md; no claim these were rerun for this report</w:t>
            </w:r>
          </w:p>
        </w:tc>
      </w:tr>
    </w:tbl>
    <w:p w14:paraId="1D105D93" w14:textId="77777777" w:rsidR="00997065" w:rsidRDefault="00997065">
      <w:pPr>
        <w:spacing w:after="0"/>
      </w:pPr>
    </w:p>
    <w:p w14:paraId="17E2994F" w14:textId="77777777" w:rsidR="00997065" w:rsidRDefault="00497D67">
      <w:pPr>
        <w:pStyle w:val="Heading2"/>
      </w:pPr>
      <w:r>
        <w:rPr>
          <w:rFonts w:ascii="Times New Roman" w:eastAsia="Times New Roman" w:hAnsi="Times New Roman"/>
          <w:sz w:val="24"/>
        </w:rPr>
        <w:t>9.2. Synthetic holdout forecast comparison</w:t>
      </w:r>
    </w:p>
    <w:p w14:paraId="6B203B6C" w14:textId="77777777" w:rsidR="00997065" w:rsidRDefault="00497D67">
      <w:pPr>
        <w:spacing w:after="100" w:line="269" w:lineRule="auto"/>
      </w:pPr>
      <w:r>
        <w:rPr>
          <w:sz w:val="24"/>
        </w:rPr>
        <w:t>The checked-in backtest uses 29 training weeks and a 10-week holdout per case, with a 4 May 2026 cutoff. The deterministic model is compared with a naïve average of the last four weeks’ net cash flow. MAE is stated in BDT per week and WAPE as a percentage. In all five cases, the project forecast has higher MAE and WAPE than the naïve baseline. This is a negative result and rules out any claim of demonstrated forecast improvement in this experiment.</w:t>
      </w:r>
    </w:p>
    <w:tbl>
      <w:tblPr>
        <w:tblStyle w:val="TableGrid"/>
        <w:tblW w:w="0" w:type="auto"/>
        <w:jc w:val="center"/>
        <w:tblLook w:val="04A0" w:firstRow="1" w:lastRow="0" w:firstColumn="1" w:lastColumn="0" w:noHBand="0" w:noVBand="1"/>
      </w:tblPr>
      <w:tblGrid>
        <w:gridCol w:w="1999"/>
        <w:gridCol w:w="1999"/>
        <w:gridCol w:w="1999"/>
        <w:gridCol w:w="1999"/>
        <w:gridCol w:w="1999"/>
      </w:tblGrid>
      <w:tr w:rsidR="00997065" w14:paraId="11DB753E" w14:textId="77777777">
        <w:trPr>
          <w:tblHeader/>
          <w:jc w:val="center"/>
        </w:trPr>
        <w:tc>
          <w:tcPr>
            <w:tcW w:w="1999" w:type="dxa"/>
            <w:tcBorders>
              <w:top w:val="single" w:sz="6" w:space="0" w:color="166B52"/>
              <w:left w:val="single" w:sz="6" w:space="0" w:color="166B52"/>
              <w:bottom w:val="single" w:sz="6" w:space="0" w:color="166B52"/>
              <w:right w:val="single" w:sz="6" w:space="0" w:color="166B52"/>
            </w:tcBorders>
            <w:shd w:val="clear" w:color="auto" w:fill="166B52"/>
            <w:vAlign w:val="center"/>
          </w:tcPr>
          <w:p w14:paraId="4E948243" w14:textId="77777777" w:rsidR="00997065" w:rsidRDefault="00497D67">
            <w:pPr>
              <w:spacing w:before="20" w:after="20"/>
            </w:pPr>
            <w:r>
              <w:rPr>
                <w:b/>
                <w:color w:val="FFFFFF"/>
                <w:sz w:val="24"/>
              </w:rPr>
              <w:t>Synthetic case</w:t>
            </w:r>
          </w:p>
        </w:tc>
        <w:tc>
          <w:tcPr>
            <w:tcW w:w="1999" w:type="dxa"/>
            <w:tcBorders>
              <w:top w:val="single" w:sz="6" w:space="0" w:color="166B52"/>
              <w:left w:val="single" w:sz="6" w:space="0" w:color="166B52"/>
              <w:bottom w:val="single" w:sz="6" w:space="0" w:color="166B52"/>
              <w:right w:val="single" w:sz="6" w:space="0" w:color="166B52"/>
            </w:tcBorders>
            <w:shd w:val="clear" w:color="auto" w:fill="166B52"/>
            <w:vAlign w:val="center"/>
          </w:tcPr>
          <w:p w14:paraId="32563110" w14:textId="77777777" w:rsidR="00997065" w:rsidRDefault="00497D67">
            <w:pPr>
              <w:spacing w:before="20" w:after="20"/>
            </w:pPr>
            <w:r>
              <w:rPr>
                <w:b/>
                <w:color w:val="FFFFFF"/>
                <w:sz w:val="24"/>
              </w:rPr>
              <w:t>Model MAE (BDT/wk)</w:t>
            </w:r>
          </w:p>
        </w:tc>
        <w:tc>
          <w:tcPr>
            <w:tcW w:w="1999" w:type="dxa"/>
            <w:tcBorders>
              <w:top w:val="single" w:sz="6" w:space="0" w:color="166B52"/>
              <w:left w:val="single" w:sz="6" w:space="0" w:color="166B52"/>
              <w:bottom w:val="single" w:sz="6" w:space="0" w:color="166B52"/>
              <w:right w:val="single" w:sz="6" w:space="0" w:color="166B52"/>
            </w:tcBorders>
            <w:shd w:val="clear" w:color="auto" w:fill="166B52"/>
            <w:vAlign w:val="center"/>
          </w:tcPr>
          <w:p w14:paraId="2FA4FBCB" w14:textId="77777777" w:rsidR="00997065" w:rsidRDefault="00497D67">
            <w:pPr>
              <w:spacing w:before="20" w:after="20"/>
            </w:pPr>
            <w:r>
              <w:rPr>
                <w:b/>
                <w:color w:val="FFFFFF"/>
                <w:sz w:val="24"/>
              </w:rPr>
              <w:t>Model WAPE</w:t>
            </w:r>
          </w:p>
        </w:tc>
        <w:tc>
          <w:tcPr>
            <w:tcW w:w="1999" w:type="dxa"/>
            <w:tcBorders>
              <w:top w:val="single" w:sz="6" w:space="0" w:color="166B52"/>
              <w:left w:val="single" w:sz="6" w:space="0" w:color="166B52"/>
              <w:bottom w:val="single" w:sz="6" w:space="0" w:color="166B52"/>
              <w:right w:val="single" w:sz="6" w:space="0" w:color="166B52"/>
            </w:tcBorders>
            <w:shd w:val="clear" w:color="auto" w:fill="166B52"/>
            <w:vAlign w:val="center"/>
          </w:tcPr>
          <w:p w14:paraId="675C7170" w14:textId="77777777" w:rsidR="00997065" w:rsidRDefault="00497D67">
            <w:pPr>
              <w:spacing w:before="20" w:after="20"/>
            </w:pPr>
            <w:r>
              <w:rPr>
                <w:b/>
                <w:color w:val="FFFFFF"/>
                <w:sz w:val="24"/>
              </w:rPr>
              <w:t>Naive MAE (BDT/wk)</w:t>
            </w:r>
          </w:p>
        </w:tc>
        <w:tc>
          <w:tcPr>
            <w:tcW w:w="1999" w:type="dxa"/>
            <w:tcBorders>
              <w:top w:val="single" w:sz="6" w:space="0" w:color="166B52"/>
              <w:left w:val="single" w:sz="6" w:space="0" w:color="166B52"/>
              <w:bottom w:val="single" w:sz="6" w:space="0" w:color="166B52"/>
              <w:right w:val="single" w:sz="6" w:space="0" w:color="166B52"/>
            </w:tcBorders>
            <w:shd w:val="clear" w:color="auto" w:fill="166B52"/>
            <w:vAlign w:val="center"/>
          </w:tcPr>
          <w:p w14:paraId="6078B598" w14:textId="77777777" w:rsidR="00997065" w:rsidRDefault="00497D67">
            <w:pPr>
              <w:spacing w:before="20" w:after="20"/>
            </w:pPr>
            <w:r>
              <w:rPr>
                <w:b/>
                <w:color w:val="FFFFFF"/>
                <w:sz w:val="24"/>
              </w:rPr>
              <w:t>Naive WAPE</w:t>
            </w:r>
          </w:p>
        </w:tc>
      </w:tr>
      <w:tr w:rsidR="00997065" w14:paraId="2476F341" w14:textId="77777777">
        <w:trPr>
          <w:jc w:val="center"/>
        </w:trPr>
        <w:tc>
          <w:tcPr>
            <w:tcW w:w="1999" w:type="dxa"/>
            <w:tcBorders>
              <w:top w:val="single" w:sz="6" w:space="0" w:color="D7E4DD"/>
              <w:left w:val="single" w:sz="6" w:space="0" w:color="D7E4DD"/>
              <w:bottom w:val="single" w:sz="6" w:space="0" w:color="D7E4DD"/>
              <w:right w:val="single" w:sz="6" w:space="0" w:color="D7E4DD"/>
            </w:tcBorders>
            <w:shd w:val="clear" w:color="auto" w:fill="F4F8F5"/>
            <w:vAlign w:val="center"/>
          </w:tcPr>
          <w:p w14:paraId="2B2D8A04" w14:textId="77777777" w:rsidR="00997065" w:rsidRDefault="00497D67">
            <w:pPr>
              <w:spacing w:before="20" w:after="20"/>
            </w:pPr>
            <w:r>
              <w:rPr>
                <w:sz w:val="24"/>
              </w:rPr>
              <w:t>Stable healthy</w:t>
            </w:r>
          </w:p>
        </w:tc>
        <w:tc>
          <w:tcPr>
            <w:tcW w:w="1999" w:type="dxa"/>
            <w:tcBorders>
              <w:top w:val="single" w:sz="6" w:space="0" w:color="D7E4DD"/>
              <w:left w:val="single" w:sz="6" w:space="0" w:color="D7E4DD"/>
              <w:bottom w:val="single" w:sz="6" w:space="0" w:color="D7E4DD"/>
              <w:right w:val="single" w:sz="6" w:space="0" w:color="D7E4DD"/>
            </w:tcBorders>
            <w:shd w:val="clear" w:color="auto" w:fill="F4F8F5"/>
            <w:vAlign w:val="center"/>
          </w:tcPr>
          <w:p w14:paraId="0D1481AA" w14:textId="77777777" w:rsidR="00997065" w:rsidRDefault="00497D67">
            <w:pPr>
              <w:spacing w:before="20" w:after="20"/>
            </w:pPr>
            <w:r>
              <w:rPr>
                <w:sz w:val="24"/>
              </w:rPr>
              <w:t>255,371</w:t>
            </w:r>
          </w:p>
        </w:tc>
        <w:tc>
          <w:tcPr>
            <w:tcW w:w="1999" w:type="dxa"/>
            <w:tcBorders>
              <w:top w:val="single" w:sz="6" w:space="0" w:color="D7E4DD"/>
              <w:left w:val="single" w:sz="6" w:space="0" w:color="D7E4DD"/>
              <w:bottom w:val="single" w:sz="6" w:space="0" w:color="D7E4DD"/>
              <w:right w:val="single" w:sz="6" w:space="0" w:color="D7E4DD"/>
            </w:tcBorders>
            <w:shd w:val="clear" w:color="auto" w:fill="F4F8F5"/>
            <w:vAlign w:val="center"/>
          </w:tcPr>
          <w:p w14:paraId="66BF11CD" w14:textId="77777777" w:rsidR="00997065" w:rsidRDefault="00497D67">
            <w:pPr>
              <w:spacing w:before="20" w:after="20"/>
            </w:pPr>
            <w:r>
              <w:rPr>
                <w:sz w:val="24"/>
              </w:rPr>
              <w:t>3.3099 (330.99%)</w:t>
            </w:r>
          </w:p>
        </w:tc>
        <w:tc>
          <w:tcPr>
            <w:tcW w:w="1999" w:type="dxa"/>
            <w:tcBorders>
              <w:top w:val="single" w:sz="6" w:space="0" w:color="D7E4DD"/>
              <w:left w:val="single" w:sz="6" w:space="0" w:color="D7E4DD"/>
              <w:bottom w:val="single" w:sz="6" w:space="0" w:color="D7E4DD"/>
              <w:right w:val="single" w:sz="6" w:space="0" w:color="D7E4DD"/>
            </w:tcBorders>
            <w:shd w:val="clear" w:color="auto" w:fill="F4F8F5"/>
            <w:vAlign w:val="center"/>
          </w:tcPr>
          <w:p w14:paraId="4B1AC468" w14:textId="77777777" w:rsidR="00997065" w:rsidRDefault="00497D67">
            <w:pPr>
              <w:spacing w:before="20" w:after="20"/>
            </w:pPr>
            <w:r>
              <w:rPr>
                <w:sz w:val="24"/>
              </w:rPr>
              <w:t>32,631</w:t>
            </w:r>
          </w:p>
        </w:tc>
        <w:tc>
          <w:tcPr>
            <w:tcW w:w="1999" w:type="dxa"/>
            <w:tcBorders>
              <w:top w:val="single" w:sz="6" w:space="0" w:color="D7E4DD"/>
              <w:left w:val="single" w:sz="6" w:space="0" w:color="D7E4DD"/>
              <w:bottom w:val="single" w:sz="6" w:space="0" w:color="D7E4DD"/>
              <w:right w:val="single" w:sz="6" w:space="0" w:color="D7E4DD"/>
            </w:tcBorders>
            <w:shd w:val="clear" w:color="auto" w:fill="F4F8F5"/>
            <w:vAlign w:val="center"/>
          </w:tcPr>
          <w:p w14:paraId="5CEDA8F0" w14:textId="77777777" w:rsidR="00997065" w:rsidRDefault="00497D67">
            <w:pPr>
              <w:spacing w:before="20" w:after="20"/>
            </w:pPr>
            <w:r>
              <w:rPr>
                <w:sz w:val="24"/>
              </w:rPr>
              <w:t>0.4229 (42.29%)</w:t>
            </w:r>
          </w:p>
        </w:tc>
      </w:tr>
      <w:tr w:rsidR="00997065" w14:paraId="176E2B2C" w14:textId="77777777">
        <w:trPr>
          <w:jc w:val="center"/>
        </w:trPr>
        <w:tc>
          <w:tcPr>
            <w:tcW w:w="1999" w:type="dxa"/>
            <w:tcBorders>
              <w:top w:val="single" w:sz="6" w:space="0" w:color="D7E4DD"/>
              <w:left w:val="single" w:sz="6" w:space="0" w:color="D7E4DD"/>
              <w:bottom w:val="single" w:sz="6" w:space="0" w:color="D7E4DD"/>
              <w:right w:val="single" w:sz="6" w:space="0" w:color="D7E4DD"/>
            </w:tcBorders>
            <w:shd w:val="clear" w:color="auto" w:fill="FFFFFF"/>
            <w:vAlign w:val="center"/>
          </w:tcPr>
          <w:p w14:paraId="025EC5F4" w14:textId="77777777" w:rsidR="00997065" w:rsidRDefault="00497D67">
            <w:pPr>
              <w:spacing w:before="20" w:after="20"/>
            </w:pPr>
            <w:r>
              <w:rPr>
                <w:sz w:val="24"/>
              </w:rPr>
              <w:t>Sales drop / cost rise</w:t>
            </w:r>
          </w:p>
        </w:tc>
        <w:tc>
          <w:tcPr>
            <w:tcW w:w="1999" w:type="dxa"/>
            <w:tcBorders>
              <w:top w:val="single" w:sz="6" w:space="0" w:color="D7E4DD"/>
              <w:left w:val="single" w:sz="6" w:space="0" w:color="D7E4DD"/>
              <w:bottom w:val="single" w:sz="6" w:space="0" w:color="D7E4DD"/>
              <w:right w:val="single" w:sz="6" w:space="0" w:color="D7E4DD"/>
            </w:tcBorders>
            <w:shd w:val="clear" w:color="auto" w:fill="FFFFFF"/>
            <w:vAlign w:val="center"/>
          </w:tcPr>
          <w:p w14:paraId="08DCE41B" w14:textId="77777777" w:rsidR="00997065" w:rsidRDefault="00497D67">
            <w:pPr>
              <w:spacing w:before="20" w:after="20"/>
            </w:pPr>
            <w:r>
              <w:rPr>
                <w:sz w:val="24"/>
              </w:rPr>
              <w:t>166,949</w:t>
            </w:r>
          </w:p>
        </w:tc>
        <w:tc>
          <w:tcPr>
            <w:tcW w:w="1999" w:type="dxa"/>
            <w:tcBorders>
              <w:top w:val="single" w:sz="6" w:space="0" w:color="D7E4DD"/>
              <w:left w:val="single" w:sz="6" w:space="0" w:color="D7E4DD"/>
              <w:bottom w:val="single" w:sz="6" w:space="0" w:color="D7E4DD"/>
              <w:right w:val="single" w:sz="6" w:space="0" w:color="D7E4DD"/>
            </w:tcBorders>
            <w:shd w:val="clear" w:color="auto" w:fill="FFFFFF"/>
            <w:vAlign w:val="center"/>
          </w:tcPr>
          <w:p w14:paraId="1D2797B6" w14:textId="77777777" w:rsidR="00997065" w:rsidRDefault="00497D67">
            <w:pPr>
              <w:spacing w:before="20" w:after="20"/>
            </w:pPr>
            <w:r>
              <w:rPr>
                <w:sz w:val="24"/>
              </w:rPr>
              <w:t>2.3137 (231.37%)</w:t>
            </w:r>
          </w:p>
        </w:tc>
        <w:tc>
          <w:tcPr>
            <w:tcW w:w="1999" w:type="dxa"/>
            <w:tcBorders>
              <w:top w:val="single" w:sz="6" w:space="0" w:color="D7E4DD"/>
              <w:left w:val="single" w:sz="6" w:space="0" w:color="D7E4DD"/>
              <w:bottom w:val="single" w:sz="6" w:space="0" w:color="D7E4DD"/>
              <w:right w:val="single" w:sz="6" w:space="0" w:color="D7E4DD"/>
            </w:tcBorders>
            <w:shd w:val="clear" w:color="auto" w:fill="FFFFFF"/>
            <w:vAlign w:val="center"/>
          </w:tcPr>
          <w:p w14:paraId="12F3D88F" w14:textId="77777777" w:rsidR="00997065" w:rsidRDefault="00497D67">
            <w:pPr>
              <w:spacing w:before="20" w:after="20"/>
            </w:pPr>
            <w:r>
              <w:rPr>
                <w:sz w:val="24"/>
              </w:rPr>
              <w:t>140,806</w:t>
            </w:r>
          </w:p>
        </w:tc>
        <w:tc>
          <w:tcPr>
            <w:tcW w:w="1999" w:type="dxa"/>
            <w:tcBorders>
              <w:top w:val="single" w:sz="6" w:space="0" w:color="D7E4DD"/>
              <w:left w:val="single" w:sz="6" w:space="0" w:color="D7E4DD"/>
              <w:bottom w:val="single" w:sz="6" w:space="0" w:color="D7E4DD"/>
              <w:right w:val="single" w:sz="6" w:space="0" w:color="D7E4DD"/>
            </w:tcBorders>
            <w:shd w:val="clear" w:color="auto" w:fill="FFFFFF"/>
            <w:vAlign w:val="center"/>
          </w:tcPr>
          <w:p w14:paraId="2FC79A10" w14:textId="77777777" w:rsidR="00997065" w:rsidRDefault="00497D67">
            <w:pPr>
              <w:spacing w:before="20" w:after="20"/>
            </w:pPr>
            <w:r>
              <w:rPr>
                <w:sz w:val="24"/>
              </w:rPr>
              <w:t>1.9514 (195.14%)</w:t>
            </w:r>
          </w:p>
        </w:tc>
      </w:tr>
      <w:tr w:rsidR="00997065" w14:paraId="0C201C80" w14:textId="77777777">
        <w:trPr>
          <w:jc w:val="center"/>
        </w:trPr>
        <w:tc>
          <w:tcPr>
            <w:tcW w:w="1999" w:type="dxa"/>
            <w:tcBorders>
              <w:top w:val="single" w:sz="6" w:space="0" w:color="D7E4DD"/>
              <w:left w:val="single" w:sz="6" w:space="0" w:color="D7E4DD"/>
              <w:bottom w:val="single" w:sz="6" w:space="0" w:color="D7E4DD"/>
              <w:right w:val="single" w:sz="6" w:space="0" w:color="D7E4DD"/>
            </w:tcBorders>
            <w:shd w:val="clear" w:color="auto" w:fill="F4F8F5"/>
            <w:vAlign w:val="center"/>
          </w:tcPr>
          <w:p w14:paraId="787B0086" w14:textId="77777777" w:rsidR="00997065" w:rsidRDefault="00497D67">
            <w:pPr>
              <w:spacing w:before="20" w:after="20"/>
            </w:pPr>
            <w:r>
              <w:rPr>
                <w:sz w:val="24"/>
              </w:rPr>
              <w:t>High-expense shortage</w:t>
            </w:r>
          </w:p>
        </w:tc>
        <w:tc>
          <w:tcPr>
            <w:tcW w:w="1999" w:type="dxa"/>
            <w:tcBorders>
              <w:top w:val="single" w:sz="6" w:space="0" w:color="D7E4DD"/>
              <w:left w:val="single" w:sz="6" w:space="0" w:color="D7E4DD"/>
              <w:bottom w:val="single" w:sz="6" w:space="0" w:color="D7E4DD"/>
              <w:right w:val="single" w:sz="6" w:space="0" w:color="D7E4DD"/>
            </w:tcBorders>
            <w:shd w:val="clear" w:color="auto" w:fill="F4F8F5"/>
            <w:vAlign w:val="center"/>
          </w:tcPr>
          <w:p w14:paraId="21D00C74" w14:textId="77777777" w:rsidR="00997065" w:rsidRDefault="00497D67">
            <w:pPr>
              <w:spacing w:before="20" w:after="20"/>
            </w:pPr>
            <w:r>
              <w:rPr>
                <w:sz w:val="24"/>
              </w:rPr>
              <w:t>256,412</w:t>
            </w:r>
          </w:p>
        </w:tc>
        <w:tc>
          <w:tcPr>
            <w:tcW w:w="1999" w:type="dxa"/>
            <w:tcBorders>
              <w:top w:val="single" w:sz="6" w:space="0" w:color="D7E4DD"/>
              <w:left w:val="single" w:sz="6" w:space="0" w:color="D7E4DD"/>
              <w:bottom w:val="single" w:sz="6" w:space="0" w:color="D7E4DD"/>
              <w:right w:val="single" w:sz="6" w:space="0" w:color="D7E4DD"/>
            </w:tcBorders>
            <w:shd w:val="clear" w:color="auto" w:fill="F4F8F5"/>
            <w:vAlign w:val="center"/>
          </w:tcPr>
          <w:p w14:paraId="457A926F" w14:textId="77777777" w:rsidR="00997065" w:rsidRDefault="00497D67">
            <w:pPr>
              <w:spacing w:before="20" w:after="20"/>
            </w:pPr>
            <w:r>
              <w:rPr>
                <w:sz w:val="24"/>
              </w:rPr>
              <w:t>3.7469 (374.69%)</w:t>
            </w:r>
          </w:p>
        </w:tc>
        <w:tc>
          <w:tcPr>
            <w:tcW w:w="1999" w:type="dxa"/>
            <w:tcBorders>
              <w:top w:val="single" w:sz="6" w:space="0" w:color="D7E4DD"/>
              <w:left w:val="single" w:sz="6" w:space="0" w:color="D7E4DD"/>
              <w:bottom w:val="single" w:sz="6" w:space="0" w:color="D7E4DD"/>
              <w:right w:val="single" w:sz="6" w:space="0" w:color="D7E4DD"/>
            </w:tcBorders>
            <w:shd w:val="clear" w:color="auto" w:fill="F4F8F5"/>
            <w:vAlign w:val="center"/>
          </w:tcPr>
          <w:p w14:paraId="0A50936E" w14:textId="77777777" w:rsidR="00997065" w:rsidRDefault="00497D67">
            <w:pPr>
              <w:spacing w:before="20" w:after="20"/>
            </w:pPr>
            <w:r>
              <w:rPr>
                <w:sz w:val="24"/>
              </w:rPr>
              <w:t>26,177</w:t>
            </w:r>
          </w:p>
        </w:tc>
        <w:tc>
          <w:tcPr>
            <w:tcW w:w="1999" w:type="dxa"/>
            <w:tcBorders>
              <w:top w:val="single" w:sz="6" w:space="0" w:color="D7E4DD"/>
              <w:left w:val="single" w:sz="6" w:space="0" w:color="D7E4DD"/>
              <w:bottom w:val="single" w:sz="6" w:space="0" w:color="D7E4DD"/>
              <w:right w:val="single" w:sz="6" w:space="0" w:color="D7E4DD"/>
            </w:tcBorders>
            <w:shd w:val="clear" w:color="auto" w:fill="F4F8F5"/>
            <w:vAlign w:val="center"/>
          </w:tcPr>
          <w:p w14:paraId="5034940A" w14:textId="77777777" w:rsidR="00997065" w:rsidRDefault="00497D67">
            <w:pPr>
              <w:spacing w:before="20" w:after="20"/>
            </w:pPr>
            <w:r>
              <w:rPr>
                <w:sz w:val="24"/>
              </w:rPr>
              <w:t>0.3825 (38.25%)</w:t>
            </w:r>
          </w:p>
        </w:tc>
      </w:tr>
      <w:tr w:rsidR="00997065" w14:paraId="6EBD36CB" w14:textId="77777777">
        <w:trPr>
          <w:jc w:val="center"/>
        </w:trPr>
        <w:tc>
          <w:tcPr>
            <w:tcW w:w="1999" w:type="dxa"/>
            <w:tcBorders>
              <w:top w:val="single" w:sz="6" w:space="0" w:color="D7E4DD"/>
              <w:left w:val="single" w:sz="6" w:space="0" w:color="D7E4DD"/>
              <w:bottom w:val="single" w:sz="6" w:space="0" w:color="D7E4DD"/>
              <w:right w:val="single" w:sz="6" w:space="0" w:color="D7E4DD"/>
            </w:tcBorders>
            <w:shd w:val="clear" w:color="auto" w:fill="FFFFFF"/>
            <w:vAlign w:val="center"/>
          </w:tcPr>
          <w:p w14:paraId="46F21E4F" w14:textId="77777777" w:rsidR="00997065" w:rsidRDefault="00497D67">
            <w:pPr>
              <w:spacing w:before="20" w:after="20"/>
            </w:pPr>
            <w:r>
              <w:rPr>
                <w:sz w:val="24"/>
              </w:rPr>
              <w:t>Delayed customer payments</w:t>
            </w:r>
          </w:p>
        </w:tc>
        <w:tc>
          <w:tcPr>
            <w:tcW w:w="1999" w:type="dxa"/>
            <w:tcBorders>
              <w:top w:val="single" w:sz="6" w:space="0" w:color="D7E4DD"/>
              <w:left w:val="single" w:sz="6" w:space="0" w:color="D7E4DD"/>
              <w:bottom w:val="single" w:sz="6" w:space="0" w:color="D7E4DD"/>
              <w:right w:val="single" w:sz="6" w:space="0" w:color="D7E4DD"/>
            </w:tcBorders>
            <w:shd w:val="clear" w:color="auto" w:fill="FFFFFF"/>
            <w:vAlign w:val="center"/>
          </w:tcPr>
          <w:p w14:paraId="5181A54C" w14:textId="77777777" w:rsidR="00997065" w:rsidRDefault="00497D67">
            <w:pPr>
              <w:spacing w:before="20" w:after="20"/>
            </w:pPr>
            <w:r>
              <w:rPr>
                <w:sz w:val="24"/>
              </w:rPr>
              <w:t>297,374</w:t>
            </w:r>
          </w:p>
        </w:tc>
        <w:tc>
          <w:tcPr>
            <w:tcW w:w="1999" w:type="dxa"/>
            <w:tcBorders>
              <w:top w:val="single" w:sz="6" w:space="0" w:color="D7E4DD"/>
              <w:left w:val="single" w:sz="6" w:space="0" w:color="D7E4DD"/>
              <w:bottom w:val="single" w:sz="6" w:space="0" w:color="D7E4DD"/>
              <w:right w:val="single" w:sz="6" w:space="0" w:color="D7E4DD"/>
            </w:tcBorders>
            <w:shd w:val="clear" w:color="auto" w:fill="FFFFFF"/>
            <w:vAlign w:val="center"/>
          </w:tcPr>
          <w:p w14:paraId="75AF4453" w14:textId="77777777" w:rsidR="00997065" w:rsidRDefault="00497D67">
            <w:pPr>
              <w:spacing w:before="20" w:after="20"/>
            </w:pPr>
            <w:r>
              <w:rPr>
                <w:sz w:val="24"/>
              </w:rPr>
              <w:t>9.8917 (989.17%)</w:t>
            </w:r>
          </w:p>
        </w:tc>
        <w:tc>
          <w:tcPr>
            <w:tcW w:w="1999" w:type="dxa"/>
            <w:tcBorders>
              <w:top w:val="single" w:sz="6" w:space="0" w:color="D7E4DD"/>
              <w:left w:val="single" w:sz="6" w:space="0" w:color="D7E4DD"/>
              <w:bottom w:val="single" w:sz="6" w:space="0" w:color="D7E4DD"/>
              <w:right w:val="single" w:sz="6" w:space="0" w:color="D7E4DD"/>
            </w:tcBorders>
            <w:shd w:val="clear" w:color="auto" w:fill="FFFFFF"/>
            <w:vAlign w:val="center"/>
          </w:tcPr>
          <w:p w14:paraId="5FDD1DAF" w14:textId="77777777" w:rsidR="00997065" w:rsidRDefault="00497D67">
            <w:pPr>
              <w:spacing w:before="20" w:after="20"/>
            </w:pPr>
            <w:r>
              <w:rPr>
                <w:sz w:val="24"/>
              </w:rPr>
              <w:t>18,340</w:t>
            </w:r>
          </w:p>
        </w:tc>
        <w:tc>
          <w:tcPr>
            <w:tcW w:w="1999" w:type="dxa"/>
            <w:tcBorders>
              <w:top w:val="single" w:sz="6" w:space="0" w:color="D7E4DD"/>
              <w:left w:val="single" w:sz="6" w:space="0" w:color="D7E4DD"/>
              <w:bottom w:val="single" w:sz="6" w:space="0" w:color="D7E4DD"/>
              <w:right w:val="single" w:sz="6" w:space="0" w:color="D7E4DD"/>
            </w:tcBorders>
            <w:shd w:val="clear" w:color="auto" w:fill="FFFFFF"/>
            <w:vAlign w:val="center"/>
          </w:tcPr>
          <w:p w14:paraId="40C8B464" w14:textId="77777777" w:rsidR="00997065" w:rsidRDefault="00497D67">
            <w:pPr>
              <w:spacing w:before="20" w:after="20"/>
            </w:pPr>
            <w:r>
              <w:rPr>
                <w:sz w:val="24"/>
              </w:rPr>
              <w:t>0.6101 (61.01%)</w:t>
            </w:r>
          </w:p>
        </w:tc>
      </w:tr>
      <w:tr w:rsidR="00997065" w14:paraId="1F2F0711" w14:textId="77777777">
        <w:trPr>
          <w:jc w:val="center"/>
        </w:trPr>
        <w:tc>
          <w:tcPr>
            <w:tcW w:w="1999" w:type="dxa"/>
            <w:tcBorders>
              <w:top w:val="single" w:sz="6" w:space="0" w:color="D7E4DD"/>
              <w:left w:val="single" w:sz="6" w:space="0" w:color="D7E4DD"/>
              <w:bottom w:val="single" w:sz="6" w:space="0" w:color="D7E4DD"/>
              <w:right w:val="single" w:sz="6" w:space="0" w:color="D7E4DD"/>
            </w:tcBorders>
            <w:shd w:val="clear" w:color="auto" w:fill="F4F8F5"/>
            <w:vAlign w:val="center"/>
          </w:tcPr>
          <w:p w14:paraId="6BEBFB1C" w14:textId="77777777" w:rsidR="00997065" w:rsidRDefault="00497D67">
            <w:pPr>
              <w:spacing w:before="20" w:after="20"/>
            </w:pPr>
            <w:r>
              <w:rPr>
                <w:sz w:val="24"/>
              </w:rPr>
              <w:t>Import financing</w:t>
            </w:r>
          </w:p>
        </w:tc>
        <w:tc>
          <w:tcPr>
            <w:tcW w:w="1999" w:type="dxa"/>
            <w:tcBorders>
              <w:top w:val="single" w:sz="6" w:space="0" w:color="D7E4DD"/>
              <w:left w:val="single" w:sz="6" w:space="0" w:color="D7E4DD"/>
              <w:bottom w:val="single" w:sz="6" w:space="0" w:color="D7E4DD"/>
              <w:right w:val="single" w:sz="6" w:space="0" w:color="D7E4DD"/>
            </w:tcBorders>
            <w:shd w:val="clear" w:color="auto" w:fill="F4F8F5"/>
            <w:vAlign w:val="center"/>
          </w:tcPr>
          <w:p w14:paraId="570D5AA1" w14:textId="77777777" w:rsidR="00997065" w:rsidRDefault="00497D67">
            <w:pPr>
              <w:spacing w:before="20" w:after="20"/>
            </w:pPr>
            <w:r>
              <w:rPr>
                <w:sz w:val="24"/>
              </w:rPr>
              <w:t>299,113</w:t>
            </w:r>
          </w:p>
        </w:tc>
        <w:tc>
          <w:tcPr>
            <w:tcW w:w="1999" w:type="dxa"/>
            <w:tcBorders>
              <w:top w:val="single" w:sz="6" w:space="0" w:color="D7E4DD"/>
              <w:left w:val="single" w:sz="6" w:space="0" w:color="D7E4DD"/>
              <w:bottom w:val="single" w:sz="6" w:space="0" w:color="D7E4DD"/>
              <w:right w:val="single" w:sz="6" w:space="0" w:color="D7E4DD"/>
            </w:tcBorders>
            <w:shd w:val="clear" w:color="auto" w:fill="F4F8F5"/>
            <w:vAlign w:val="center"/>
          </w:tcPr>
          <w:p w14:paraId="365ABD43" w14:textId="77777777" w:rsidR="00997065" w:rsidRDefault="00497D67">
            <w:pPr>
              <w:spacing w:before="20" w:after="20"/>
            </w:pPr>
            <w:r>
              <w:rPr>
                <w:sz w:val="24"/>
              </w:rPr>
              <w:t>5.7699 (576.99%)</w:t>
            </w:r>
          </w:p>
        </w:tc>
        <w:tc>
          <w:tcPr>
            <w:tcW w:w="1999" w:type="dxa"/>
            <w:tcBorders>
              <w:top w:val="single" w:sz="6" w:space="0" w:color="D7E4DD"/>
              <w:left w:val="single" w:sz="6" w:space="0" w:color="D7E4DD"/>
              <w:bottom w:val="single" w:sz="6" w:space="0" w:color="D7E4DD"/>
              <w:right w:val="single" w:sz="6" w:space="0" w:color="D7E4DD"/>
            </w:tcBorders>
            <w:shd w:val="clear" w:color="auto" w:fill="F4F8F5"/>
            <w:vAlign w:val="center"/>
          </w:tcPr>
          <w:p w14:paraId="521B86F6" w14:textId="77777777" w:rsidR="00997065" w:rsidRDefault="00497D67">
            <w:pPr>
              <w:spacing w:before="20" w:after="20"/>
            </w:pPr>
            <w:r>
              <w:rPr>
                <w:sz w:val="24"/>
              </w:rPr>
              <w:t>23,607</w:t>
            </w:r>
          </w:p>
        </w:tc>
        <w:tc>
          <w:tcPr>
            <w:tcW w:w="1999" w:type="dxa"/>
            <w:tcBorders>
              <w:top w:val="single" w:sz="6" w:space="0" w:color="D7E4DD"/>
              <w:left w:val="single" w:sz="6" w:space="0" w:color="D7E4DD"/>
              <w:bottom w:val="single" w:sz="6" w:space="0" w:color="D7E4DD"/>
              <w:right w:val="single" w:sz="6" w:space="0" w:color="D7E4DD"/>
            </w:tcBorders>
            <w:shd w:val="clear" w:color="auto" w:fill="F4F8F5"/>
            <w:vAlign w:val="center"/>
          </w:tcPr>
          <w:p w14:paraId="05155A1F" w14:textId="77777777" w:rsidR="00997065" w:rsidRDefault="00497D67">
            <w:pPr>
              <w:spacing w:before="20" w:after="20"/>
            </w:pPr>
            <w:r>
              <w:rPr>
                <w:sz w:val="24"/>
              </w:rPr>
              <w:t>0.4554 (45.54%)</w:t>
            </w:r>
          </w:p>
        </w:tc>
      </w:tr>
    </w:tbl>
    <w:p w14:paraId="6A2EECAB" w14:textId="77777777" w:rsidR="00997065" w:rsidRDefault="00997065">
      <w:pPr>
        <w:spacing w:after="0"/>
      </w:pPr>
    </w:p>
    <w:p w14:paraId="253A3FA1" w14:textId="77777777" w:rsidR="00997065" w:rsidRDefault="00497D67">
      <w:pPr>
        <w:spacing w:after="160"/>
        <w:jc w:val="center"/>
      </w:pPr>
      <w:r>
        <w:rPr>
          <w:i/>
          <w:color w:val="596963"/>
          <w:sz w:val="24"/>
        </w:rPr>
        <w:t>Table 15. Per-case holdout metrics transcribed from evidence/backtest_results.csv. Lower is better; the model loses to the naïve baseline in every case.</w:t>
      </w:r>
    </w:p>
    <w:p w14:paraId="46A7BF5B" w14:textId="77777777" w:rsidR="00997065" w:rsidRDefault="00497D67">
      <w:pPr>
        <w:pStyle w:val="Heading2"/>
      </w:pPr>
      <w:r>
        <w:rPr>
          <w:rFonts w:ascii="Times New Roman" w:eastAsia="Times New Roman" w:hAnsi="Times New Roman"/>
          <w:sz w:val="24"/>
        </w:rPr>
        <w:t>9.3. Reserve and decision quality</w:t>
      </w:r>
    </w:p>
    <w:tbl>
      <w:tblPr>
        <w:tblStyle w:val="TableGrid"/>
        <w:tblW w:w="0" w:type="auto"/>
        <w:jc w:val="center"/>
        <w:tblLook w:val="04A0" w:firstRow="1" w:lastRow="0" w:firstColumn="1" w:lastColumn="0" w:noHBand="0" w:noVBand="1"/>
      </w:tblPr>
      <w:tblGrid>
        <w:gridCol w:w="3003"/>
        <w:gridCol w:w="1327"/>
        <w:gridCol w:w="1469"/>
        <w:gridCol w:w="1312"/>
        <w:gridCol w:w="1439"/>
        <w:gridCol w:w="1498"/>
      </w:tblGrid>
      <w:tr w:rsidR="00997065" w14:paraId="4884100E" w14:textId="77777777">
        <w:trPr>
          <w:tblHeader/>
          <w:jc w:val="center"/>
        </w:trPr>
        <w:tc>
          <w:tcPr>
            <w:tcW w:w="1666" w:type="dxa"/>
            <w:tcBorders>
              <w:top w:val="single" w:sz="6" w:space="0" w:color="166B52"/>
              <w:left w:val="single" w:sz="6" w:space="0" w:color="166B52"/>
              <w:bottom w:val="single" w:sz="6" w:space="0" w:color="166B52"/>
              <w:right w:val="single" w:sz="6" w:space="0" w:color="166B52"/>
            </w:tcBorders>
            <w:shd w:val="clear" w:color="auto" w:fill="166B52"/>
            <w:vAlign w:val="center"/>
          </w:tcPr>
          <w:p w14:paraId="2C64E4EB" w14:textId="77777777" w:rsidR="00997065" w:rsidRDefault="00497D67">
            <w:pPr>
              <w:spacing w:before="20" w:after="20"/>
            </w:pPr>
            <w:r>
              <w:rPr>
                <w:b/>
                <w:color w:val="FFFFFF"/>
                <w:sz w:val="24"/>
              </w:rPr>
              <w:t>Case</w:t>
            </w:r>
          </w:p>
        </w:tc>
        <w:tc>
          <w:tcPr>
            <w:tcW w:w="1666" w:type="dxa"/>
            <w:tcBorders>
              <w:top w:val="single" w:sz="6" w:space="0" w:color="166B52"/>
              <w:left w:val="single" w:sz="6" w:space="0" w:color="166B52"/>
              <w:bottom w:val="single" w:sz="6" w:space="0" w:color="166B52"/>
              <w:right w:val="single" w:sz="6" w:space="0" w:color="166B52"/>
            </w:tcBorders>
            <w:shd w:val="clear" w:color="auto" w:fill="166B52"/>
            <w:vAlign w:val="center"/>
          </w:tcPr>
          <w:p w14:paraId="35AEE390" w14:textId="77777777" w:rsidR="00997065" w:rsidRDefault="00497D67">
            <w:pPr>
              <w:spacing w:before="20" w:after="20"/>
            </w:pPr>
            <w:r>
              <w:rPr>
                <w:b/>
                <w:color w:val="FFFFFF"/>
                <w:sz w:val="24"/>
              </w:rPr>
              <w:t>Selected plan</w:t>
            </w:r>
          </w:p>
        </w:tc>
        <w:tc>
          <w:tcPr>
            <w:tcW w:w="1666" w:type="dxa"/>
            <w:tcBorders>
              <w:top w:val="single" w:sz="6" w:space="0" w:color="166B52"/>
              <w:left w:val="single" w:sz="6" w:space="0" w:color="166B52"/>
              <w:bottom w:val="single" w:sz="6" w:space="0" w:color="166B52"/>
              <w:right w:val="single" w:sz="6" w:space="0" w:color="166B52"/>
            </w:tcBorders>
            <w:shd w:val="clear" w:color="auto" w:fill="166B52"/>
            <w:vAlign w:val="center"/>
          </w:tcPr>
          <w:p w14:paraId="115CDD23" w14:textId="77777777" w:rsidR="00997065" w:rsidRDefault="00497D67">
            <w:pPr>
              <w:spacing w:before="20" w:after="20"/>
            </w:pPr>
            <w:r>
              <w:rPr>
                <w:b/>
                <w:color w:val="FFFFFF"/>
                <w:sz w:val="24"/>
              </w:rPr>
              <w:t>Minimum balance (BDT)</w:t>
            </w:r>
          </w:p>
        </w:tc>
        <w:tc>
          <w:tcPr>
            <w:tcW w:w="1666" w:type="dxa"/>
            <w:tcBorders>
              <w:top w:val="single" w:sz="6" w:space="0" w:color="166B52"/>
              <w:left w:val="single" w:sz="6" w:space="0" w:color="166B52"/>
              <w:bottom w:val="single" w:sz="6" w:space="0" w:color="166B52"/>
              <w:right w:val="single" w:sz="6" w:space="0" w:color="166B52"/>
            </w:tcBorders>
            <w:shd w:val="clear" w:color="auto" w:fill="166B52"/>
            <w:vAlign w:val="center"/>
          </w:tcPr>
          <w:p w14:paraId="329C48AE" w14:textId="77777777" w:rsidR="00997065" w:rsidRDefault="00497D67">
            <w:pPr>
              <w:spacing w:before="20" w:after="20"/>
            </w:pPr>
            <w:r>
              <w:rPr>
                <w:b/>
                <w:color w:val="FFFFFF"/>
                <w:sz w:val="24"/>
              </w:rPr>
              <w:t>Reserve (BDT)</w:t>
            </w:r>
          </w:p>
        </w:tc>
        <w:tc>
          <w:tcPr>
            <w:tcW w:w="1666" w:type="dxa"/>
            <w:tcBorders>
              <w:top w:val="single" w:sz="6" w:space="0" w:color="166B52"/>
              <w:left w:val="single" w:sz="6" w:space="0" w:color="166B52"/>
              <w:bottom w:val="single" w:sz="6" w:space="0" w:color="166B52"/>
              <w:right w:val="single" w:sz="6" w:space="0" w:color="166B52"/>
            </w:tcBorders>
            <w:shd w:val="clear" w:color="auto" w:fill="166B52"/>
            <w:vAlign w:val="center"/>
          </w:tcPr>
          <w:p w14:paraId="309D0132" w14:textId="77777777" w:rsidR="00997065" w:rsidRDefault="00497D67">
            <w:pPr>
              <w:spacing w:before="20" w:after="20"/>
            </w:pPr>
            <w:r>
              <w:rPr>
                <w:b/>
                <w:color w:val="FFFFFF"/>
                <w:sz w:val="24"/>
              </w:rPr>
              <w:t>Maintains reserve?</w:t>
            </w:r>
          </w:p>
        </w:tc>
        <w:tc>
          <w:tcPr>
            <w:tcW w:w="1666" w:type="dxa"/>
            <w:tcBorders>
              <w:top w:val="single" w:sz="6" w:space="0" w:color="166B52"/>
              <w:left w:val="single" w:sz="6" w:space="0" w:color="166B52"/>
              <w:bottom w:val="single" w:sz="6" w:space="0" w:color="166B52"/>
              <w:right w:val="single" w:sz="6" w:space="0" w:color="166B52"/>
            </w:tcBorders>
            <w:shd w:val="clear" w:color="auto" w:fill="166B52"/>
            <w:vAlign w:val="center"/>
          </w:tcPr>
          <w:p w14:paraId="1243A7AB" w14:textId="77777777" w:rsidR="00997065" w:rsidRDefault="00497D67">
            <w:pPr>
              <w:spacing w:before="20" w:after="20"/>
            </w:pPr>
            <w:r>
              <w:rPr>
                <w:b/>
                <w:color w:val="FFFFFF"/>
                <w:sz w:val="24"/>
              </w:rPr>
              <w:t>Any-breach probability</w:t>
            </w:r>
          </w:p>
        </w:tc>
      </w:tr>
      <w:tr w:rsidR="00997065" w14:paraId="271C89EA" w14:textId="77777777">
        <w:trPr>
          <w:jc w:val="center"/>
        </w:trPr>
        <w:tc>
          <w:tcPr>
            <w:tcW w:w="1666" w:type="dxa"/>
            <w:tcBorders>
              <w:top w:val="single" w:sz="6" w:space="0" w:color="D7E4DD"/>
              <w:left w:val="single" w:sz="6" w:space="0" w:color="D7E4DD"/>
              <w:bottom w:val="single" w:sz="6" w:space="0" w:color="D7E4DD"/>
              <w:right w:val="single" w:sz="6" w:space="0" w:color="D7E4DD"/>
            </w:tcBorders>
            <w:shd w:val="clear" w:color="auto" w:fill="F4F8F5"/>
            <w:vAlign w:val="center"/>
          </w:tcPr>
          <w:p w14:paraId="0D68C720" w14:textId="77777777" w:rsidR="00997065" w:rsidRDefault="00497D67">
            <w:pPr>
              <w:spacing w:before="20" w:after="20"/>
            </w:pPr>
            <w:r>
              <w:rPr>
                <w:sz w:val="24"/>
              </w:rPr>
              <w:t>stable_healthy</w:t>
            </w:r>
          </w:p>
        </w:tc>
        <w:tc>
          <w:tcPr>
            <w:tcW w:w="1666" w:type="dxa"/>
            <w:tcBorders>
              <w:top w:val="single" w:sz="6" w:space="0" w:color="D7E4DD"/>
              <w:left w:val="single" w:sz="6" w:space="0" w:color="D7E4DD"/>
              <w:bottom w:val="single" w:sz="6" w:space="0" w:color="D7E4DD"/>
              <w:right w:val="single" w:sz="6" w:space="0" w:color="D7E4DD"/>
            </w:tcBorders>
            <w:shd w:val="clear" w:color="auto" w:fill="F4F8F5"/>
            <w:vAlign w:val="center"/>
          </w:tcPr>
          <w:p w14:paraId="07ABC888" w14:textId="77777777" w:rsidR="00997065" w:rsidRDefault="00497D67">
            <w:pPr>
              <w:spacing w:before="20" w:after="20"/>
            </w:pPr>
            <w:r>
              <w:rPr>
                <w:sz w:val="24"/>
              </w:rPr>
              <w:t>Option 0</w:t>
            </w:r>
          </w:p>
        </w:tc>
        <w:tc>
          <w:tcPr>
            <w:tcW w:w="1666" w:type="dxa"/>
            <w:tcBorders>
              <w:top w:val="single" w:sz="6" w:space="0" w:color="D7E4DD"/>
              <w:left w:val="single" w:sz="6" w:space="0" w:color="D7E4DD"/>
              <w:bottom w:val="single" w:sz="6" w:space="0" w:color="D7E4DD"/>
              <w:right w:val="single" w:sz="6" w:space="0" w:color="D7E4DD"/>
            </w:tcBorders>
            <w:shd w:val="clear" w:color="auto" w:fill="F4F8F5"/>
            <w:vAlign w:val="center"/>
          </w:tcPr>
          <w:p w14:paraId="6438BBD5" w14:textId="77777777" w:rsidR="00997065" w:rsidRDefault="00497D67">
            <w:pPr>
              <w:spacing w:before="20" w:after="20"/>
            </w:pPr>
            <w:r>
              <w:rPr>
                <w:sz w:val="24"/>
              </w:rPr>
              <w:t>3,246,587</w:t>
            </w:r>
          </w:p>
        </w:tc>
        <w:tc>
          <w:tcPr>
            <w:tcW w:w="1666" w:type="dxa"/>
            <w:tcBorders>
              <w:top w:val="single" w:sz="6" w:space="0" w:color="D7E4DD"/>
              <w:left w:val="single" w:sz="6" w:space="0" w:color="D7E4DD"/>
              <w:bottom w:val="single" w:sz="6" w:space="0" w:color="D7E4DD"/>
              <w:right w:val="single" w:sz="6" w:space="0" w:color="D7E4DD"/>
            </w:tcBorders>
            <w:shd w:val="clear" w:color="auto" w:fill="F4F8F5"/>
            <w:vAlign w:val="center"/>
          </w:tcPr>
          <w:p w14:paraId="6F8ABD95" w14:textId="77777777" w:rsidR="00997065" w:rsidRDefault="00497D67">
            <w:pPr>
              <w:spacing w:before="20" w:after="20"/>
            </w:pPr>
            <w:r>
              <w:rPr>
                <w:sz w:val="24"/>
              </w:rPr>
              <w:t>389,266</w:t>
            </w:r>
          </w:p>
        </w:tc>
        <w:tc>
          <w:tcPr>
            <w:tcW w:w="1666" w:type="dxa"/>
            <w:tcBorders>
              <w:top w:val="single" w:sz="6" w:space="0" w:color="D7E4DD"/>
              <w:left w:val="single" w:sz="6" w:space="0" w:color="D7E4DD"/>
              <w:bottom w:val="single" w:sz="6" w:space="0" w:color="D7E4DD"/>
              <w:right w:val="single" w:sz="6" w:space="0" w:color="D7E4DD"/>
            </w:tcBorders>
            <w:shd w:val="clear" w:color="auto" w:fill="F4F8F5"/>
            <w:vAlign w:val="center"/>
          </w:tcPr>
          <w:p w14:paraId="3897E9DA" w14:textId="77777777" w:rsidR="00997065" w:rsidRDefault="00497D67">
            <w:pPr>
              <w:spacing w:before="20" w:after="20"/>
            </w:pPr>
            <w:r>
              <w:rPr>
                <w:sz w:val="24"/>
              </w:rPr>
              <w:t>Yes</w:t>
            </w:r>
          </w:p>
        </w:tc>
        <w:tc>
          <w:tcPr>
            <w:tcW w:w="1666" w:type="dxa"/>
            <w:tcBorders>
              <w:top w:val="single" w:sz="6" w:space="0" w:color="D7E4DD"/>
              <w:left w:val="single" w:sz="6" w:space="0" w:color="D7E4DD"/>
              <w:bottom w:val="single" w:sz="6" w:space="0" w:color="D7E4DD"/>
              <w:right w:val="single" w:sz="6" w:space="0" w:color="D7E4DD"/>
            </w:tcBorders>
            <w:shd w:val="clear" w:color="auto" w:fill="F4F8F5"/>
            <w:vAlign w:val="center"/>
          </w:tcPr>
          <w:p w14:paraId="36F31940" w14:textId="77777777" w:rsidR="00997065" w:rsidRDefault="00497D67">
            <w:pPr>
              <w:spacing w:before="20" w:after="20"/>
            </w:pPr>
            <w:r>
              <w:rPr>
                <w:sz w:val="24"/>
              </w:rPr>
              <w:t>0.0%</w:t>
            </w:r>
          </w:p>
        </w:tc>
      </w:tr>
      <w:tr w:rsidR="00997065" w14:paraId="0B47B960" w14:textId="77777777">
        <w:trPr>
          <w:jc w:val="center"/>
        </w:trPr>
        <w:tc>
          <w:tcPr>
            <w:tcW w:w="1666" w:type="dxa"/>
            <w:tcBorders>
              <w:top w:val="single" w:sz="6" w:space="0" w:color="D7E4DD"/>
              <w:left w:val="single" w:sz="6" w:space="0" w:color="D7E4DD"/>
              <w:bottom w:val="single" w:sz="6" w:space="0" w:color="D7E4DD"/>
              <w:right w:val="single" w:sz="6" w:space="0" w:color="D7E4DD"/>
            </w:tcBorders>
            <w:shd w:val="clear" w:color="auto" w:fill="FFFFFF"/>
            <w:vAlign w:val="center"/>
          </w:tcPr>
          <w:p w14:paraId="0CE38B6F" w14:textId="77777777" w:rsidR="00997065" w:rsidRDefault="00497D67">
            <w:pPr>
              <w:spacing w:before="20" w:after="20"/>
            </w:pPr>
            <w:r>
              <w:rPr>
                <w:sz w:val="24"/>
              </w:rPr>
              <w:t>sales_drop_cost_rise</w:t>
            </w:r>
          </w:p>
        </w:tc>
        <w:tc>
          <w:tcPr>
            <w:tcW w:w="1666" w:type="dxa"/>
            <w:tcBorders>
              <w:top w:val="single" w:sz="6" w:space="0" w:color="D7E4DD"/>
              <w:left w:val="single" w:sz="6" w:space="0" w:color="D7E4DD"/>
              <w:bottom w:val="single" w:sz="6" w:space="0" w:color="D7E4DD"/>
              <w:right w:val="single" w:sz="6" w:space="0" w:color="D7E4DD"/>
            </w:tcBorders>
            <w:shd w:val="clear" w:color="auto" w:fill="FFFFFF"/>
            <w:vAlign w:val="center"/>
          </w:tcPr>
          <w:p w14:paraId="1068E85C" w14:textId="77777777" w:rsidR="00997065" w:rsidRDefault="00497D67">
            <w:pPr>
              <w:spacing w:before="20" w:after="20"/>
            </w:pPr>
            <w:r>
              <w:rPr>
                <w:sz w:val="24"/>
              </w:rPr>
              <w:t>Option 0</w:t>
            </w:r>
          </w:p>
        </w:tc>
        <w:tc>
          <w:tcPr>
            <w:tcW w:w="1666" w:type="dxa"/>
            <w:tcBorders>
              <w:top w:val="single" w:sz="6" w:space="0" w:color="D7E4DD"/>
              <w:left w:val="single" w:sz="6" w:space="0" w:color="D7E4DD"/>
              <w:bottom w:val="single" w:sz="6" w:space="0" w:color="D7E4DD"/>
              <w:right w:val="single" w:sz="6" w:space="0" w:color="D7E4DD"/>
            </w:tcBorders>
            <w:shd w:val="clear" w:color="auto" w:fill="FFFFFF"/>
            <w:vAlign w:val="center"/>
          </w:tcPr>
          <w:p w14:paraId="23A6CC64" w14:textId="77777777" w:rsidR="00997065" w:rsidRDefault="00497D67">
            <w:pPr>
              <w:spacing w:before="20" w:after="20"/>
            </w:pPr>
            <w:r>
              <w:rPr>
                <w:sz w:val="24"/>
              </w:rPr>
              <w:t>−1,594,784</w:t>
            </w:r>
          </w:p>
        </w:tc>
        <w:tc>
          <w:tcPr>
            <w:tcW w:w="1666" w:type="dxa"/>
            <w:tcBorders>
              <w:top w:val="single" w:sz="6" w:space="0" w:color="D7E4DD"/>
              <w:left w:val="single" w:sz="6" w:space="0" w:color="D7E4DD"/>
              <w:bottom w:val="single" w:sz="6" w:space="0" w:color="D7E4DD"/>
              <w:right w:val="single" w:sz="6" w:space="0" w:color="D7E4DD"/>
            </w:tcBorders>
            <w:shd w:val="clear" w:color="auto" w:fill="FFFFFF"/>
            <w:vAlign w:val="center"/>
          </w:tcPr>
          <w:p w14:paraId="50FBF04B" w14:textId="77777777" w:rsidR="00997065" w:rsidRDefault="00497D67">
            <w:pPr>
              <w:spacing w:before="20" w:after="20"/>
            </w:pPr>
            <w:r>
              <w:rPr>
                <w:sz w:val="24"/>
              </w:rPr>
              <w:t>529,254</w:t>
            </w:r>
          </w:p>
        </w:tc>
        <w:tc>
          <w:tcPr>
            <w:tcW w:w="1666" w:type="dxa"/>
            <w:tcBorders>
              <w:top w:val="single" w:sz="6" w:space="0" w:color="D7E4DD"/>
              <w:left w:val="single" w:sz="6" w:space="0" w:color="D7E4DD"/>
              <w:bottom w:val="single" w:sz="6" w:space="0" w:color="D7E4DD"/>
              <w:right w:val="single" w:sz="6" w:space="0" w:color="D7E4DD"/>
            </w:tcBorders>
            <w:shd w:val="clear" w:color="auto" w:fill="FFFFFF"/>
            <w:vAlign w:val="center"/>
          </w:tcPr>
          <w:p w14:paraId="6C3E5086" w14:textId="77777777" w:rsidR="00997065" w:rsidRDefault="00497D67">
            <w:pPr>
              <w:spacing w:before="20" w:after="20"/>
            </w:pPr>
            <w:r>
              <w:rPr>
                <w:sz w:val="24"/>
              </w:rPr>
              <w:t>No</w:t>
            </w:r>
          </w:p>
        </w:tc>
        <w:tc>
          <w:tcPr>
            <w:tcW w:w="1666" w:type="dxa"/>
            <w:tcBorders>
              <w:top w:val="single" w:sz="6" w:space="0" w:color="D7E4DD"/>
              <w:left w:val="single" w:sz="6" w:space="0" w:color="D7E4DD"/>
              <w:bottom w:val="single" w:sz="6" w:space="0" w:color="D7E4DD"/>
              <w:right w:val="single" w:sz="6" w:space="0" w:color="D7E4DD"/>
            </w:tcBorders>
            <w:shd w:val="clear" w:color="auto" w:fill="FFFFFF"/>
            <w:vAlign w:val="center"/>
          </w:tcPr>
          <w:p w14:paraId="2DA4185F" w14:textId="77777777" w:rsidR="00997065" w:rsidRDefault="00497D67">
            <w:pPr>
              <w:spacing w:before="20" w:after="20"/>
            </w:pPr>
            <w:r>
              <w:rPr>
                <w:sz w:val="24"/>
              </w:rPr>
              <w:t>100.0%</w:t>
            </w:r>
          </w:p>
        </w:tc>
      </w:tr>
      <w:tr w:rsidR="00997065" w14:paraId="6D5CBE64" w14:textId="77777777">
        <w:trPr>
          <w:jc w:val="center"/>
        </w:trPr>
        <w:tc>
          <w:tcPr>
            <w:tcW w:w="1666" w:type="dxa"/>
            <w:tcBorders>
              <w:top w:val="single" w:sz="6" w:space="0" w:color="D7E4DD"/>
              <w:left w:val="single" w:sz="6" w:space="0" w:color="D7E4DD"/>
              <w:bottom w:val="single" w:sz="6" w:space="0" w:color="D7E4DD"/>
              <w:right w:val="single" w:sz="6" w:space="0" w:color="D7E4DD"/>
            </w:tcBorders>
            <w:shd w:val="clear" w:color="auto" w:fill="F4F8F5"/>
            <w:vAlign w:val="center"/>
          </w:tcPr>
          <w:p w14:paraId="599F4894" w14:textId="77777777" w:rsidR="00997065" w:rsidRDefault="00497D67">
            <w:pPr>
              <w:spacing w:before="20" w:after="20"/>
            </w:pPr>
            <w:r>
              <w:rPr>
                <w:sz w:val="24"/>
              </w:rPr>
              <w:t>high_expense_shortage</w:t>
            </w:r>
          </w:p>
        </w:tc>
        <w:tc>
          <w:tcPr>
            <w:tcW w:w="1666" w:type="dxa"/>
            <w:tcBorders>
              <w:top w:val="single" w:sz="6" w:space="0" w:color="D7E4DD"/>
              <w:left w:val="single" w:sz="6" w:space="0" w:color="D7E4DD"/>
              <w:bottom w:val="single" w:sz="6" w:space="0" w:color="D7E4DD"/>
              <w:right w:val="single" w:sz="6" w:space="0" w:color="D7E4DD"/>
            </w:tcBorders>
            <w:shd w:val="clear" w:color="auto" w:fill="F4F8F5"/>
            <w:vAlign w:val="center"/>
          </w:tcPr>
          <w:p w14:paraId="4EB03227" w14:textId="77777777" w:rsidR="00997065" w:rsidRDefault="00497D67">
            <w:pPr>
              <w:spacing w:before="20" w:after="20"/>
            </w:pPr>
            <w:r>
              <w:rPr>
                <w:sz w:val="24"/>
              </w:rPr>
              <w:t>Option A</w:t>
            </w:r>
          </w:p>
        </w:tc>
        <w:tc>
          <w:tcPr>
            <w:tcW w:w="1666" w:type="dxa"/>
            <w:tcBorders>
              <w:top w:val="single" w:sz="6" w:space="0" w:color="D7E4DD"/>
              <w:left w:val="single" w:sz="6" w:space="0" w:color="D7E4DD"/>
              <w:bottom w:val="single" w:sz="6" w:space="0" w:color="D7E4DD"/>
              <w:right w:val="single" w:sz="6" w:space="0" w:color="D7E4DD"/>
            </w:tcBorders>
            <w:shd w:val="clear" w:color="auto" w:fill="F4F8F5"/>
            <w:vAlign w:val="center"/>
          </w:tcPr>
          <w:p w14:paraId="5880DA95" w14:textId="77777777" w:rsidR="00997065" w:rsidRDefault="00497D67">
            <w:pPr>
              <w:spacing w:before="20" w:after="20"/>
            </w:pPr>
            <w:r>
              <w:rPr>
                <w:sz w:val="24"/>
              </w:rPr>
              <w:t>−6,229,560</w:t>
            </w:r>
          </w:p>
        </w:tc>
        <w:tc>
          <w:tcPr>
            <w:tcW w:w="1666" w:type="dxa"/>
            <w:tcBorders>
              <w:top w:val="single" w:sz="6" w:space="0" w:color="D7E4DD"/>
              <w:left w:val="single" w:sz="6" w:space="0" w:color="D7E4DD"/>
              <w:bottom w:val="single" w:sz="6" w:space="0" w:color="D7E4DD"/>
              <w:right w:val="single" w:sz="6" w:space="0" w:color="D7E4DD"/>
            </w:tcBorders>
            <w:shd w:val="clear" w:color="auto" w:fill="F4F8F5"/>
            <w:vAlign w:val="center"/>
          </w:tcPr>
          <w:p w14:paraId="624E6CDB" w14:textId="77777777" w:rsidR="00997065" w:rsidRDefault="00497D67">
            <w:pPr>
              <w:spacing w:before="20" w:after="20"/>
            </w:pPr>
            <w:r>
              <w:rPr>
                <w:sz w:val="24"/>
              </w:rPr>
              <w:t>622,696</w:t>
            </w:r>
          </w:p>
        </w:tc>
        <w:tc>
          <w:tcPr>
            <w:tcW w:w="1666" w:type="dxa"/>
            <w:tcBorders>
              <w:top w:val="single" w:sz="6" w:space="0" w:color="D7E4DD"/>
              <w:left w:val="single" w:sz="6" w:space="0" w:color="D7E4DD"/>
              <w:bottom w:val="single" w:sz="6" w:space="0" w:color="D7E4DD"/>
              <w:right w:val="single" w:sz="6" w:space="0" w:color="D7E4DD"/>
            </w:tcBorders>
            <w:shd w:val="clear" w:color="auto" w:fill="F4F8F5"/>
            <w:vAlign w:val="center"/>
          </w:tcPr>
          <w:p w14:paraId="75B2E885" w14:textId="77777777" w:rsidR="00997065" w:rsidRDefault="00497D67">
            <w:pPr>
              <w:spacing w:before="20" w:after="20"/>
            </w:pPr>
            <w:r>
              <w:rPr>
                <w:sz w:val="24"/>
              </w:rPr>
              <w:t>No</w:t>
            </w:r>
          </w:p>
        </w:tc>
        <w:tc>
          <w:tcPr>
            <w:tcW w:w="1666" w:type="dxa"/>
            <w:tcBorders>
              <w:top w:val="single" w:sz="6" w:space="0" w:color="D7E4DD"/>
              <w:left w:val="single" w:sz="6" w:space="0" w:color="D7E4DD"/>
              <w:bottom w:val="single" w:sz="6" w:space="0" w:color="D7E4DD"/>
              <w:right w:val="single" w:sz="6" w:space="0" w:color="D7E4DD"/>
            </w:tcBorders>
            <w:shd w:val="clear" w:color="auto" w:fill="F4F8F5"/>
            <w:vAlign w:val="center"/>
          </w:tcPr>
          <w:p w14:paraId="6B8F23C9" w14:textId="77777777" w:rsidR="00997065" w:rsidRDefault="00497D67">
            <w:pPr>
              <w:spacing w:before="20" w:after="20"/>
            </w:pPr>
            <w:r>
              <w:rPr>
                <w:sz w:val="24"/>
              </w:rPr>
              <w:t>100.0%</w:t>
            </w:r>
          </w:p>
        </w:tc>
      </w:tr>
      <w:tr w:rsidR="00997065" w14:paraId="3C2B8CAC" w14:textId="77777777">
        <w:trPr>
          <w:jc w:val="center"/>
        </w:trPr>
        <w:tc>
          <w:tcPr>
            <w:tcW w:w="1666" w:type="dxa"/>
            <w:tcBorders>
              <w:top w:val="single" w:sz="6" w:space="0" w:color="D7E4DD"/>
              <w:left w:val="single" w:sz="6" w:space="0" w:color="D7E4DD"/>
              <w:bottom w:val="single" w:sz="6" w:space="0" w:color="D7E4DD"/>
              <w:right w:val="single" w:sz="6" w:space="0" w:color="D7E4DD"/>
            </w:tcBorders>
            <w:shd w:val="clear" w:color="auto" w:fill="FFFFFF"/>
            <w:vAlign w:val="center"/>
          </w:tcPr>
          <w:p w14:paraId="1A010395" w14:textId="77777777" w:rsidR="00997065" w:rsidRDefault="00497D67">
            <w:pPr>
              <w:spacing w:before="20" w:after="20"/>
            </w:pPr>
            <w:r>
              <w:rPr>
                <w:sz w:val="24"/>
              </w:rPr>
              <w:t>delayed_customer_payments</w:t>
            </w:r>
          </w:p>
        </w:tc>
        <w:tc>
          <w:tcPr>
            <w:tcW w:w="1666" w:type="dxa"/>
            <w:tcBorders>
              <w:top w:val="single" w:sz="6" w:space="0" w:color="D7E4DD"/>
              <w:left w:val="single" w:sz="6" w:space="0" w:color="D7E4DD"/>
              <w:bottom w:val="single" w:sz="6" w:space="0" w:color="D7E4DD"/>
              <w:right w:val="single" w:sz="6" w:space="0" w:color="D7E4DD"/>
            </w:tcBorders>
            <w:shd w:val="clear" w:color="auto" w:fill="FFFFFF"/>
            <w:vAlign w:val="center"/>
          </w:tcPr>
          <w:p w14:paraId="33F32B58" w14:textId="77777777" w:rsidR="00997065" w:rsidRDefault="00497D67">
            <w:pPr>
              <w:spacing w:before="20" w:after="20"/>
            </w:pPr>
            <w:r>
              <w:rPr>
                <w:sz w:val="24"/>
              </w:rPr>
              <w:t>Option 0</w:t>
            </w:r>
          </w:p>
        </w:tc>
        <w:tc>
          <w:tcPr>
            <w:tcW w:w="1666" w:type="dxa"/>
            <w:tcBorders>
              <w:top w:val="single" w:sz="6" w:space="0" w:color="D7E4DD"/>
              <w:left w:val="single" w:sz="6" w:space="0" w:color="D7E4DD"/>
              <w:bottom w:val="single" w:sz="6" w:space="0" w:color="D7E4DD"/>
              <w:right w:val="single" w:sz="6" w:space="0" w:color="D7E4DD"/>
            </w:tcBorders>
            <w:shd w:val="clear" w:color="auto" w:fill="FFFFFF"/>
            <w:vAlign w:val="center"/>
          </w:tcPr>
          <w:p w14:paraId="12D29C00" w14:textId="77777777" w:rsidR="00997065" w:rsidRDefault="00497D67">
            <w:pPr>
              <w:spacing w:before="20" w:after="20"/>
            </w:pPr>
            <w:r>
              <w:rPr>
                <w:sz w:val="24"/>
              </w:rPr>
              <w:t>−188,551</w:t>
            </w:r>
          </w:p>
        </w:tc>
        <w:tc>
          <w:tcPr>
            <w:tcW w:w="1666" w:type="dxa"/>
            <w:tcBorders>
              <w:top w:val="single" w:sz="6" w:space="0" w:color="D7E4DD"/>
              <w:left w:val="single" w:sz="6" w:space="0" w:color="D7E4DD"/>
              <w:bottom w:val="single" w:sz="6" w:space="0" w:color="D7E4DD"/>
              <w:right w:val="single" w:sz="6" w:space="0" w:color="D7E4DD"/>
            </w:tcBorders>
            <w:shd w:val="clear" w:color="auto" w:fill="FFFFFF"/>
            <w:vAlign w:val="center"/>
          </w:tcPr>
          <w:p w14:paraId="34B754FD" w14:textId="77777777" w:rsidR="00997065" w:rsidRDefault="00497D67">
            <w:pPr>
              <w:spacing w:before="20" w:after="20"/>
            </w:pPr>
            <w:r>
              <w:rPr>
                <w:sz w:val="24"/>
              </w:rPr>
              <w:t>452,786</w:t>
            </w:r>
          </w:p>
        </w:tc>
        <w:tc>
          <w:tcPr>
            <w:tcW w:w="1666" w:type="dxa"/>
            <w:tcBorders>
              <w:top w:val="single" w:sz="6" w:space="0" w:color="D7E4DD"/>
              <w:left w:val="single" w:sz="6" w:space="0" w:color="D7E4DD"/>
              <w:bottom w:val="single" w:sz="6" w:space="0" w:color="D7E4DD"/>
              <w:right w:val="single" w:sz="6" w:space="0" w:color="D7E4DD"/>
            </w:tcBorders>
            <w:shd w:val="clear" w:color="auto" w:fill="FFFFFF"/>
            <w:vAlign w:val="center"/>
          </w:tcPr>
          <w:p w14:paraId="78442F18" w14:textId="77777777" w:rsidR="00997065" w:rsidRDefault="00497D67">
            <w:pPr>
              <w:spacing w:before="20" w:after="20"/>
            </w:pPr>
            <w:r>
              <w:rPr>
                <w:sz w:val="24"/>
              </w:rPr>
              <w:t>No</w:t>
            </w:r>
          </w:p>
        </w:tc>
        <w:tc>
          <w:tcPr>
            <w:tcW w:w="1666" w:type="dxa"/>
            <w:tcBorders>
              <w:top w:val="single" w:sz="6" w:space="0" w:color="D7E4DD"/>
              <w:left w:val="single" w:sz="6" w:space="0" w:color="D7E4DD"/>
              <w:bottom w:val="single" w:sz="6" w:space="0" w:color="D7E4DD"/>
              <w:right w:val="single" w:sz="6" w:space="0" w:color="D7E4DD"/>
            </w:tcBorders>
            <w:shd w:val="clear" w:color="auto" w:fill="FFFFFF"/>
            <w:vAlign w:val="center"/>
          </w:tcPr>
          <w:p w14:paraId="6ACFACF8" w14:textId="77777777" w:rsidR="00997065" w:rsidRDefault="00497D67">
            <w:pPr>
              <w:spacing w:before="20" w:after="20"/>
            </w:pPr>
            <w:r>
              <w:rPr>
                <w:sz w:val="24"/>
              </w:rPr>
              <w:t>100.0%</w:t>
            </w:r>
          </w:p>
        </w:tc>
      </w:tr>
      <w:tr w:rsidR="00997065" w14:paraId="47FA0218" w14:textId="77777777">
        <w:trPr>
          <w:jc w:val="center"/>
        </w:trPr>
        <w:tc>
          <w:tcPr>
            <w:tcW w:w="1666" w:type="dxa"/>
            <w:tcBorders>
              <w:top w:val="single" w:sz="6" w:space="0" w:color="D7E4DD"/>
              <w:left w:val="single" w:sz="6" w:space="0" w:color="D7E4DD"/>
              <w:bottom w:val="single" w:sz="6" w:space="0" w:color="D7E4DD"/>
              <w:right w:val="single" w:sz="6" w:space="0" w:color="D7E4DD"/>
            </w:tcBorders>
            <w:shd w:val="clear" w:color="auto" w:fill="F4F8F5"/>
            <w:vAlign w:val="center"/>
          </w:tcPr>
          <w:p w14:paraId="6DC06F95" w14:textId="77777777" w:rsidR="00997065" w:rsidRDefault="00497D67">
            <w:pPr>
              <w:spacing w:before="20" w:after="20"/>
            </w:pPr>
            <w:r>
              <w:rPr>
                <w:sz w:val="24"/>
              </w:rPr>
              <w:t>import_financing</w:t>
            </w:r>
          </w:p>
        </w:tc>
        <w:tc>
          <w:tcPr>
            <w:tcW w:w="1666" w:type="dxa"/>
            <w:tcBorders>
              <w:top w:val="single" w:sz="6" w:space="0" w:color="D7E4DD"/>
              <w:left w:val="single" w:sz="6" w:space="0" w:color="D7E4DD"/>
              <w:bottom w:val="single" w:sz="6" w:space="0" w:color="D7E4DD"/>
              <w:right w:val="single" w:sz="6" w:space="0" w:color="D7E4DD"/>
            </w:tcBorders>
            <w:shd w:val="clear" w:color="auto" w:fill="F4F8F5"/>
            <w:vAlign w:val="center"/>
          </w:tcPr>
          <w:p w14:paraId="0A85A3D0" w14:textId="77777777" w:rsidR="00997065" w:rsidRDefault="00497D67">
            <w:pPr>
              <w:spacing w:before="20" w:after="20"/>
            </w:pPr>
            <w:r>
              <w:rPr>
                <w:sz w:val="24"/>
              </w:rPr>
              <w:t>Option A</w:t>
            </w:r>
          </w:p>
        </w:tc>
        <w:tc>
          <w:tcPr>
            <w:tcW w:w="1666" w:type="dxa"/>
            <w:tcBorders>
              <w:top w:val="single" w:sz="6" w:space="0" w:color="D7E4DD"/>
              <w:left w:val="single" w:sz="6" w:space="0" w:color="D7E4DD"/>
              <w:bottom w:val="single" w:sz="6" w:space="0" w:color="D7E4DD"/>
              <w:right w:val="single" w:sz="6" w:space="0" w:color="D7E4DD"/>
            </w:tcBorders>
            <w:shd w:val="clear" w:color="auto" w:fill="F4F8F5"/>
            <w:vAlign w:val="center"/>
          </w:tcPr>
          <w:p w14:paraId="43EA1FA1" w14:textId="77777777" w:rsidR="00997065" w:rsidRDefault="00497D67">
            <w:pPr>
              <w:spacing w:before="20" w:after="20"/>
            </w:pPr>
            <w:r>
              <w:rPr>
                <w:sz w:val="24"/>
              </w:rPr>
              <w:t>253,079</w:t>
            </w:r>
          </w:p>
        </w:tc>
        <w:tc>
          <w:tcPr>
            <w:tcW w:w="1666" w:type="dxa"/>
            <w:tcBorders>
              <w:top w:val="single" w:sz="6" w:space="0" w:color="D7E4DD"/>
              <w:left w:val="single" w:sz="6" w:space="0" w:color="D7E4DD"/>
              <w:bottom w:val="single" w:sz="6" w:space="0" w:color="D7E4DD"/>
              <w:right w:val="single" w:sz="6" w:space="0" w:color="D7E4DD"/>
            </w:tcBorders>
            <w:shd w:val="clear" w:color="auto" w:fill="F4F8F5"/>
            <w:vAlign w:val="center"/>
          </w:tcPr>
          <w:p w14:paraId="07CC3EC1" w14:textId="77777777" w:rsidR="00997065" w:rsidRDefault="00497D67">
            <w:pPr>
              <w:spacing w:before="20" w:after="20"/>
            </w:pPr>
            <w:r>
              <w:rPr>
                <w:sz w:val="24"/>
              </w:rPr>
              <w:t>420,887</w:t>
            </w:r>
          </w:p>
        </w:tc>
        <w:tc>
          <w:tcPr>
            <w:tcW w:w="1666" w:type="dxa"/>
            <w:tcBorders>
              <w:top w:val="single" w:sz="6" w:space="0" w:color="D7E4DD"/>
              <w:left w:val="single" w:sz="6" w:space="0" w:color="D7E4DD"/>
              <w:bottom w:val="single" w:sz="6" w:space="0" w:color="D7E4DD"/>
              <w:right w:val="single" w:sz="6" w:space="0" w:color="D7E4DD"/>
            </w:tcBorders>
            <w:shd w:val="clear" w:color="auto" w:fill="F4F8F5"/>
            <w:vAlign w:val="center"/>
          </w:tcPr>
          <w:p w14:paraId="41902EBB" w14:textId="77777777" w:rsidR="00997065" w:rsidRDefault="00497D67">
            <w:pPr>
              <w:spacing w:before="20" w:after="20"/>
            </w:pPr>
            <w:r>
              <w:rPr>
                <w:sz w:val="24"/>
              </w:rPr>
              <w:t>No</w:t>
            </w:r>
          </w:p>
        </w:tc>
        <w:tc>
          <w:tcPr>
            <w:tcW w:w="1666" w:type="dxa"/>
            <w:tcBorders>
              <w:top w:val="single" w:sz="6" w:space="0" w:color="D7E4DD"/>
              <w:left w:val="single" w:sz="6" w:space="0" w:color="D7E4DD"/>
              <w:bottom w:val="single" w:sz="6" w:space="0" w:color="D7E4DD"/>
              <w:right w:val="single" w:sz="6" w:space="0" w:color="D7E4DD"/>
            </w:tcBorders>
            <w:shd w:val="clear" w:color="auto" w:fill="F4F8F5"/>
            <w:vAlign w:val="center"/>
          </w:tcPr>
          <w:p w14:paraId="535D93C0" w14:textId="77777777" w:rsidR="00997065" w:rsidRDefault="00497D67">
            <w:pPr>
              <w:spacing w:before="20" w:after="20"/>
            </w:pPr>
            <w:r>
              <w:rPr>
                <w:sz w:val="24"/>
              </w:rPr>
              <w:t>98.45%</w:t>
            </w:r>
          </w:p>
        </w:tc>
      </w:tr>
    </w:tbl>
    <w:p w14:paraId="5D2F2849" w14:textId="77777777" w:rsidR="00997065" w:rsidRDefault="00997065">
      <w:pPr>
        <w:spacing w:after="0"/>
      </w:pPr>
    </w:p>
    <w:p w14:paraId="752962FD" w14:textId="77777777" w:rsidR="00997065" w:rsidRDefault="00497D67">
      <w:pPr>
        <w:spacing w:after="160"/>
        <w:jc w:val="center"/>
      </w:pPr>
      <w:r>
        <w:rPr>
          <w:i/>
          <w:color w:val="596963"/>
          <w:sz w:val="24"/>
        </w:rPr>
        <w:lastRenderedPageBreak/>
        <w:t>Table 16. Decision-quality evidence from evidence/decision_quality.json. Only one of five selected plans maintained the reserve; breach probabilities are simulation outputs under the configured model.</w:t>
      </w:r>
    </w:p>
    <w:p w14:paraId="4FC78862" w14:textId="77777777" w:rsidR="00997065" w:rsidRDefault="00497D67">
      <w:pPr>
        <w:spacing w:after="100" w:line="269" w:lineRule="auto"/>
      </w:pPr>
      <w:r>
        <w:rPr>
          <w:sz w:val="24"/>
        </w:rPr>
        <w:t>The simulator’s 100% probabilities in several fixtures are outcomes for the configured synthetic assumptions and 2,000-run simulation. They should not be interpreted as empirical default or insolvency probabilities. Four cases have no selected plan that keeps reserve under the deterministic path. The report therefore emphasizes transparent shortfall disclosure rather than success rates.</w:t>
      </w:r>
    </w:p>
    <w:p w14:paraId="34C7F6D6" w14:textId="77777777" w:rsidR="00997065" w:rsidRDefault="00497D67">
      <w:pPr>
        <w:spacing w:after="120" w:line="269" w:lineRule="auto"/>
      </w:pPr>
      <w:r>
        <w:rPr>
          <w:sz w:val="24"/>
        </w:rPr>
        <w:t>MAE is the average absolute weekly error in net cash flow. WAPE is total absolute error divided by the total absolute observed flow over the holdout; it is reported as a ratio and percent. Smaller is better for both. The model loses to the selected baseline on each case, including the delayed-payment case where WAPE is especially large. The baseline is intentionally simple, but this adverse result is still evidence against claiming the current rules are accurate.</w:t>
      </w:r>
    </w:p>
    <w:tbl>
      <w:tblPr>
        <w:tblStyle w:val="TableGrid"/>
        <w:tblW w:w="0" w:type="auto"/>
        <w:jc w:val="center"/>
        <w:tblLook w:val="04A0" w:firstRow="1" w:lastRow="0" w:firstColumn="1" w:lastColumn="0" w:noHBand="0" w:noVBand="1"/>
      </w:tblPr>
      <w:tblGrid>
        <w:gridCol w:w="3331"/>
        <w:gridCol w:w="3331"/>
        <w:gridCol w:w="3331"/>
      </w:tblGrid>
      <w:tr w:rsidR="00997065" w14:paraId="05945565" w14:textId="77777777">
        <w:trPr>
          <w:tblHeader/>
          <w:jc w:val="center"/>
        </w:trPr>
        <w:tc>
          <w:tcPr>
            <w:tcW w:w="3331" w:type="dxa"/>
            <w:tcBorders>
              <w:top w:val="single" w:sz="5" w:space="0" w:color="D7E4DD"/>
              <w:left w:val="single" w:sz="5" w:space="0" w:color="D7E4DD"/>
              <w:bottom w:val="single" w:sz="5" w:space="0" w:color="D7E4DD"/>
              <w:right w:val="single" w:sz="5" w:space="0" w:color="D7E4DD"/>
            </w:tcBorders>
            <w:shd w:val="clear" w:color="auto" w:fill="166B52"/>
            <w:vAlign w:val="center"/>
          </w:tcPr>
          <w:p w14:paraId="76554468" w14:textId="77777777" w:rsidR="00997065" w:rsidRDefault="00497D67">
            <w:pPr>
              <w:spacing w:before="20" w:after="20"/>
            </w:pPr>
            <w:r>
              <w:rPr>
                <w:b/>
                <w:color w:val="FFFFFF"/>
                <w:sz w:val="24"/>
              </w:rPr>
              <w:t>Case result</w:t>
            </w:r>
          </w:p>
        </w:tc>
        <w:tc>
          <w:tcPr>
            <w:tcW w:w="3331" w:type="dxa"/>
            <w:tcBorders>
              <w:top w:val="single" w:sz="5" w:space="0" w:color="D7E4DD"/>
              <w:left w:val="single" w:sz="5" w:space="0" w:color="D7E4DD"/>
              <w:bottom w:val="single" w:sz="5" w:space="0" w:color="D7E4DD"/>
              <w:right w:val="single" w:sz="5" w:space="0" w:color="D7E4DD"/>
            </w:tcBorders>
            <w:shd w:val="clear" w:color="auto" w:fill="166B52"/>
            <w:vAlign w:val="center"/>
          </w:tcPr>
          <w:p w14:paraId="402E53B9" w14:textId="77777777" w:rsidR="00997065" w:rsidRDefault="00497D67">
            <w:pPr>
              <w:spacing w:before="20" w:after="20"/>
            </w:pPr>
            <w:r>
              <w:rPr>
                <w:b/>
                <w:color w:val="FFFFFF"/>
                <w:sz w:val="24"/>
              </w:rPr>
              <w:t>What the observed row tells us</w:t>
            </w:r>
          </w:p>
        </w:tc>
        <w:tc>
          <w:tcPr>
            <w:tcW w:w="3331" w:type="dxa"/>
            <w:tcBorders>
              <w:top w:val="single" w:sz="5" w:space="0" w:color="D7E4DD"/>
              <w:left w:val="single" w:sz="5" w:space="0" w:color="D7E4DD"/>
              <w:bottom w:val="single" w:sz="5" w:space="0" w:color="D7E4DD"/>
              <w:right w:val="single" w:sz="5" w:space="0" w:color="D7E4DD"/>
            </w:tcBorders>
            <w:shd w:val="clear" w:color="auto" w:fill="166B52"/>
            <w:vAlign w:val="center"/>
          </w:tcPr>
          <w:p w14:paraId="4C4EC97B" w14:textId="77777777" w:rsidR="00997065" w:rsidRDefault="00497D67">
            <w:pPr>
              <w:spacing w:before="20" w:after="20"/>
            </w:pPr>
            <w:r>
              <w:rPr>
                <w:b/>
                <w:color w:val="FFFFFF"/>
                <w:sz w:val="24"/>
              </w:rPr>
              <w:t>Interpretive boundary</w:t>
            </w:r>
          </w:p>
        </w:tc>
      </w:tr>
      <w:tr w:rsidR="00997065" w14:paraId="1550D8D8" w14:textId="77777777">
        <w:trPr>
          <w:jc w:val="center"/>
        </w:trPr>
        <w:tc>
          <w:tcPr>
            <w:tcW w:w="3331" w:type="dxa"/>
            <w:tcBorders>
              <w:top w:val="single" w:sz="5" w:space="0" w:color="D7E4DD"/>
              <w:left w:val="single" w:sz="5" w:space="0" w:color="D7E4DD"/>
              <w:bottom w:val="single" w:sz="5" w:space="0" w:color="D7E4DD"/>
              <w:right w:val="single" w:sz="5" w:space="0" w:color="D7E4DD"/>
            </w:tcBorders>
            <w:shd w:val="clear" w:color="auto" w:fill="F4F8F5"/>
            <w:vAlign w:val="center"/>
          </w:tcPr>
          <w:p w14:paraId="269CB1C6" w14:textId="77777777" w:rsidR="00997065" w:rsidRDefault="00497D67">
            <w:pPr>
              <w:spacing w:before="20" w:after="20"/>
            </w:pPr>
            <w:r>
              <w:rPr>
                <w:sz w:val="24"/>
              </w:rPr>
              <w:t>stable_healthy: model MAE BDT 255,371; baseline BDT 32,631</w:t>
            </w:r>
          </w:p>
        </w:tc>
        <w:tc>
          <w:tcPr>
            <w:tcW w:w="3331" w:type="dxa"/>
            <w:tcBorders>
              <w:top w:val="single" w:sz="5" w:space="0" w:color="D7E4DD"/>
              <w:left w:val="single" w:sz="5" w:space="0" w:color="D7E4DD"/>
              <w:bottom w:val="single" w:sz="5" w:space="0" w:color="D7E4DD"/>
              <w:right w:val="single" w:sz="5" w:space="0" w:color="D7E4DD"/>
            </w:tcBorders>
            <w:shd w:val="clear" w:color="auto" w:fill="F4F8F5"/>
            <w:vAlign w:val="center"/>
          </w:tcPr>
          <w:p w14:paraId="645CC79A" w14:textId="77777777" w:rsidR="00997065" w:rsidRDefault="00497D67">
            <w:pPr>
              <w:spacing w:before="20" w:after="20"/>
            </w:pPr>
            <w:r>
              <w:rPr>
                <w:sz w:val="24"/>
              </w:rPr>
              <w:t>Baseline errors are substantially smaller on this holdout</w:t>
            </w:r>
          </w:p>
        </w:tc>
        <w:tc>
          <w:tcPr>
            <w:tcW w:w="3331" w:type="dxa"/>
            <w:tcBorders>
              <w:top w:val="single" w:sz="5" w:space="0" w:color="D7E4DD"/>
              <w:left w:val="single" w:sz="5" w:space="0" w:color="D7E4DD"/>
              <w:bottom w:val="single" w:sz="5" w:space="0" w:color="D7E4DD"/>
              <w:right w:val="single" w:sz="5" w:space="0" w:color="D7E4DD"/>
            </w:tcBorders>
            <w:shd w:val="clear" w:color="auto" w:fill="F4F8F5"/>
            <w:vAlign w:val="center"/>
          </w:tcPr>
          <w:p w14:paraId="56625482" w14:textId="77777777" w:rsidR="00997065" w:rsidRDefault="00497D67">
            <w:pPr>
              <w:spacing w:before="20" w:after="20"/>
            </w:pPr>
            <w:r>
              <w:rPr>
                <w:sz w:val="24"/>
              </w:rPr>
              <w:t>Does not establish which method generalizes beyond the fixture</w:t>
            </w:r>
          </w:p>
        </w:tc>
      </w:tr>
      <w:tr w:rsidR="00997065" w14:paraId="3D68D678" w14:textId="77777777">
        <w:trPr>
          <w:jc w:val="center"/>
        </w:trPr>
        <w:tc>
          <w:tcPr>
            <w:tcW w:w="3331" w:type="dxa"/>
            <w:tcBorders>
              <w:top w:val="single" w:sz="5" w:space="0" w:color="D7E4DD"/>
              <w:left w:val="single" w:sz="5" w:space="0" w:color="D7E4DD"/>
              <w:bottom w:val="single" w:sz="5" w:space="0" w:color="D7E4DD"/>
              <w:right w:val="single" w:sz="5" w:space="0" w:color="D7E4DD"/>
            </w:tcBorders>
            <w:shd w:val="clear" w:color="auto" w:fill="FFFFFF"/>
            <w:vAlign w:val="center"/>
          </w:tcPr>
          <w:p w14:paraId="599B933C" w14:textId="77777777" w:rsidR="00997065" w:rsidRDefault="00497D67">
            <w:pPr>
              <w:spacing w:before="20" w:after="20"/>
            </w:pPr>
            <w:r>
              <w:rPr>
                <w:sz w:val="24"/>
              </w:rPr>
              <w:t>sales_drop_cost_rise: model BDT 166,949; baseline BDT 140,806</w:t>
            </w:r>
          </w:p>
        </w:tc>
        <w:tc>
          <w:tcPr>
            <w:tcW w:w="3331" w:type="dxa"/>
            <w:tcBorders>
              <w:top w:val="single" w:sz="5" w:space="0" w:color="D7E4DD"/>
              <w:left w:val="single" w:sz="5" w:space="0" w:color="D7E4DD"/>
              <w:bottom w:val="single" w:sz="5" w:space="0" w:color="D7E4DD"/>
              <w:right w:val="single" w:sz="5" w:space="0" w:color="D7E4DD"/>
            </w:tcBorders>
            <w:shd w:val="clear" w:color="auto" w:fill="FFFFFF"/>
            <w:vAlign w:val="center"/>
          </w:tcPr>
          <w:p w14:paraId="406C4A8D" w14:textId="77777777" w:rsidR="00997065" w:rsidRDefault="00497D67">
            <w:pPr>
              <w:spacing w:before="20" w:after="20"/>
            </w:pPr>
            <w:r>
              <w:rPr>
                <w:sz w:val="24"/>
              </w:rPr>
              <w:t>Model error is higher, though the gap is smaller than in other cases</w:t>
            </w:r>
          </w:p>
        </w:tc>
        <w:tc>
          <w:tcPr>
            <w:tcW w:w="3331" w:type="dxa"/>
            <w:tcBorders>
              <w:top w:val="single" w:sz="5" w:space="0" w:color="D7E4DD"/>
              <w:left w:val="single" w:sz="5" w:space="0" w:color="D7E4DD"/>
              <w:bottom w:val="single" w:sz="5" w:space="0" w:color="D7E4DD"/>
              <w:right w:val="single" w:sz="5" w:space="0" w:color="D7E4DD"/>
            </w:tcBorders>
            <w:shd w:val="clear" w:color="auto" w:fill="FFFFFF"/>
            <w:vAlign w:val="center"/>
          </w:tcPr>
          <w:p w14:paraId="1574D054" w14:textId="77777777" w:rsidR="00997065" w:rsidRDefault="00497D67">
            <w:pPr>
              <w:spacing w:before="20" w:after="20"/>
            </w:pPr>
            <w:r>
              <w:rPr>
                <w:sz w:val="24"/>
              </w:rPr>
              <w:t>No statistical significance test or independent test population</w:t>
            </w:r>
          </w:p>
        </w:tc>
      </w:tr>
      <w:tr w:rsidR="00997065" w14:paraId="49E1AE77" w14:textId="77777777">
        <w:trPr>
          <w:jc w:val="center"/>
        </w:trPr>
        <w:tc>
          <w:tcPr>
            <w:tcW w:w="3331" w:type="dxa"/>
            <w:tcBorders>
              <w:top w:val="single" w:sz="5" w:space="0" w:color="D7E4DD"/>
              <w:left w:val="single" w:sz="5" w:space="0" w:color="D7E4DD"/>
              <w:bottom w:val="single" w:sz="5" w:space="0" w:color="D7E4DD"/>
              <w:right w:val="single" w:sz="5" w:space="0" w:color="D7E4DD"/>
            </w:tcBorders>
            <w:shd w:val="clear" w:color="auto" w:fill="F4F8F5"/>
            <w:vAlign w:val="center"/>
          </w:tcPr>
          <w:p w14:paraId="79F89D05" w14:textId="77777777" w:rsidR="00997065" w:rsidRDefault="00497D67">
            <w:pPr>
              <w:spacing w:before="20" w:after="20"/>
            </w:pPr>
            <w:r>
              <w:rPr>
                <w:sz w:val="24"/>
              </w:rPr>
              <w:t>high_expense_shortage: model BDT 256,412; baseline BDT 26,177</w:t>
            </w:r>
          </w:p>
        </w:tc>
        <w:tc>
          <w:tcPr>
            <w:tcW w:w="3331" w:type="dxa"/>
            <w:tcBorders>
              <w:top w:val="single" w:sz="5" w:space="0" w:color="D7E4DD"/>
              <w:left w:val="single" w:sz="5" w:space="0" w:color="D7E4DD"/>
              <w:bottom w:val="single" w:sz="5" w:space="0" w:color="D7E4DD"/>
              <w:right w:val="single" w:sz="5" w:space="0" w:color="D7E4DD"/>
            </w:tcBorders>
            <w:shd w:val="clear" w:color="auto" w:fill="F4F8F5"/>
            <w:vAlign w:val="center"/>
          </w:tcPr>
          <w:p w14:paraId="51ACCA71" w14:textId="77777777" w:rsidR="00997065" w:rsidRDefault="00497D67">
            <w:pPr>
              <w:spacing w:before="20" w:after="20"/>
            </w:pPr>
            <w:r>
              <w:rPr>
                <w:sz w:val="24"/>
              </w:rPr>
              <w:t>The modeled run rate does not track this holdout well</w:t>
            </w:r>
          </w:p>
        </w:tc>
        <w:tc>
          <w:tcPr>
            <w:tcW w:w="3331" w:type="dxa"/>
            <w:tcBorders>
              <w:top w:val="single" w:sz="5" w:space="0" w:color="D7E4DD"/>
              <w:left w:val="single" w:sz="5" w:space="0" w:color="D7E4DD"/>
              <w:bottom w:val="single" w:sz="5" w:space="0" w:color="D7E4DD"/>
              <w:right w:val="single" w:sz="5" w:space="0" w:color="D7E4DD"/>
            </w:tcBorders>
            <w:shd w:val="clear" w:color="auto" w:fill="F4F8F5"/>
            <w:vAlign w:val="center"/>
          </w:tcPr>
          <w:p w14:paraId="6CDF342E" w14:textId="77777777" w:rsidR="00997065" w:rsidRDefault="00497D67">
            <w:pPr>
              <w:spacing w:before="20" w:after="20"/>
            </w:pPr>
            <w:r>
              <w:rPr>
                <w:sz w:val="24"/>
              </w:rPr>
              <w:t>Do not rely on the alert as a calibrated forecast</w:t>
            </w:r>
          </w:p>
        </w:tc>
      </w:tr>
      <w:tr w:rsidR="00997065" w14:paraId="2E94E2B4" w14:textId="77777777">
        <w:trPr>
          <w:jc w:val="center"/>
        </w:trPr>
        <w:tc>
          <w:tcPr>
            <w:tcW w:w="3331" w:type="dxa"/>
            <w:tcBorders>
              <w:top w:val="single" w:sz="5" w:space="0" w:color="D7E4DD"/>
              <w:left w:val="single" w:sz="5" w:space="0" w:color="D7E4DD"/>
              <w:bottom w:val="single" w:sz="5" w:space="0" w:color="D7E4DD"/>
              <w:right w:val="single" w:sz="5" w:space="0" w:color="D7E4DD"/>
            </w:tcBorders>
            <w:shd w:val="clear" w:color="auto" w:fill="FFFFFF"/>
            <w:vAlign w:val="center"/>
          </w:tcPr>
          <w:p w14:paraId="71EED87B" w14:textId="77777777" w:rsidR="00997065" w:rsidRDefault="00497D67">
            <w:pPr>
              <w:spacing w:before="20" w:after="20"/>
            </w:pPr>
            <w:r>
              <w:rPr>
                <w:sz w:val="24"/>
              </w:rPr>
              <w:t>delayed_customer_payments: model BDT 297,374; baseline BDT 18,340</w:t>
            </w:r>
          </w:p>
        </w:tc>
        <w:tc>
          <w:tcPr>
            <w:tcW w:w="3331" w:type="dxa"/>
            <w:tcBorders>
              <w:top w:val="single" w:sz="5" w:space="0" w:color="D7E4DD"/>
              <w:left w:val="single" w:sz="5" w:space="0" w:color="D7E4DD"/>
              <w:bottom w:val="single" w:sz="5" w:space="0" w:color="D7E4DD"/>
              <w:right w:val="single" w:sz="5" w:space="0" w:color="D7E4DD"/>
            </w:tcBorders>
            <w:shd w:val="clear" w:color="auto" w:fill="FFFFFF"/>
            <w:vAlign w:val="center"/>
          </w:tcPr>
          <w:p w14:paraId="72F3CAEF" w14:textId="77777777" w:rsidR="00997065" w:rsidRDefault="00497D67">
            <w:pPr>
              <w:spacing w:before="20" w:after="20"/>
            </w:pPr>
            <w:r>
              <w:rPr>
                <w:sz w:val="24"/>
              </w:rPr>
              <w:t>Payment-delay timing heuristic misses much of the observed pattern</w:t>
            </w:r>
          </w:p>
        </w:tc>
        <w:tc>
          <w:tcPr>
            <w:tcW w:w="3331" w:type="dxa"/>
            <w:tcBorders>
              <w:top w:val="single" w:sz="5" w:space="0" w:color="D7E4DD"/>
              <w:left w:val="single" w:sz="5" w:space="0" w:color="D7E4DD"/>
              <w:bottom w:val="single" w:sz="5" w:space="0" w:color="D7E4DD"/>
              <w:right w:val="single" w:sz="5" w:space="0" w:color="D7E4DD"/>
            </w:tcBorders>
            <w:shd w:val="clear" w:color="auto" w:fill="FFFFFF"/>
            <w:vAlign w:val="center"/>
          </w:tcPr>
          <w:p w14:paraId="0DBD3487" w14:textId="77777777" w:rsidR="00997065" w:rsidRDefault="00497D67">
            <w:pPr>
              <w:spacing w:before="20" w:after="20"/>
            </w:pPr>
            <w:r>
              <w:rPr>
                <w:sz w:val="24"/>
              </w:rPr>
              <w:t>Need richer payment history and better timing model</w:t>
            </w:r>
          </w:p>
        </w:tc>
      </w:tr>
      <w:tr w:rsidR="00997065" w14:paraId="2B5D67FC" w14:textId="77777777">
        <w:trPr>
          <w:jc w:val="center"/>
        </w:trPr>
        <w:tc>
          <w:tcPr>
            <w:tcW w:w="3331" w:type="dxa"/>
            <w:tcBorders>
              <w:top w:val="single" w:sz="5" w:space="0" w:color="D7E4DD"/>
              <w:left w:val="single" w:sz="5" w:space="0" w:color="D7E4DD"/>
              <w:bottom w:val="single" w:sz="5" w:space="0" w:color="D7E4DD"/>
              <w:right w:val="single" w:sz="5" w:space="0" w:color="D7E4DD"/>
            </w:tcBorders>
            <w:shd w:val="clear" w:color="auto" w:fill="F4F8F5"/>
            <w:vAlign w:val="center"/>
          </w:tcPr>
          <w:p w14:paraId="20C9EE0E" w14:textId="77777777" w:rsidR="00997065" w:rsidRDefault="00497D67">
            <w:pPr>
              <w:spacing w:before="20" w:after="20"/>
            </w:pPr>
            <w:r>
              <w:rPr>
                <w:sz w:val="24"/>
              </w:rPr>
              <w:t>import_financing: model BDT 299,113; baseline BDT 23,607</w:t>
            </w:r>
          </w:p>
        </w:tc>
        <w:tc>
          <w:tcPr>
            <w:tcW w:w="3331" w:type="dxa"/>
            <w:tcBorders>
              <w:top w:val="single" w:sz="5" w:space="0" w:color="D7E4DD"/>
              <w:left w:val="single" w:sz="5" w:space="0" w:color="D7E4DD"/>
              <w:bottom w:val="single" w:sz="5" w:space="0" w:color="D7E4DD"/>
              <w:right w:val="single" w:sz="5" w:space="0" w:color="D7E4DD"/>
            </w:tcBorders>
            <w:shd w:val="clear" w:color="auto" w:fill="F4F8F5"/>
            <w:vAlign w:val="center"/>
          </w:tcPr>
          <w:p w14:paraId="7DBE60AE" w14:textId="77777777" w:rsidR="00997065" w:rsidRDefault="00497D67">
            <w:pPr>
              <w:spacing w:before="20" w:after="20"/>
            </w:pPr>
            <w:r>
              <w:rPr>
                <w:sz w:val="24"/>
              </w:rPr>
              <w:t>Editable import assumptions do not imply forecasting accuracy</w:t>
            </w:r>
          </w:p>
        </w:tc>
        <w:tc>
          <w:tcPr>
            <w:tcW w:w="3331" w:type="dxa"/>
            <w:tcBorders>
              <w:top w:val="single" w:sz="5" w:space="0" w:color="D7E4DD"/>
              <w:left w:val="single" w:sz="5" w:space="0" w:color="D7E4DD"/>
              <w:bottom w:val="single" w:sz="5" w:space="0" w:color="D7E4DD"/>
              <w:right w:val="single" w:sz="5" w:space="0" w:color="D7E4DD"/>
            </w:tcBorders>
            <w:shd w:val="clear" w:color="auto" w:fill="F4F8F5"/>
            <w:vAlign w:val="center"/>
          </w:tcPr>
          <w:p w14:paraId="0B8FEC00" w14:textId="77777777" w:rsidR="00997065" w:rsidRDefault="00497D67">
            <w:pPr>
              <w:spacing w:before="20" w:after="20"/>
            </w:pPr>
            <w:r>
              <w:rPr>
                <w:sz w:val="24"/>
              </w:rPr>
              <w:t>FX, deposit, lead-time and sales ramp remain assumptions</w:t>
            </w:r>
          </w:p>
        </w:tc>
      </w:tr>
    </w:tbl>
    <w:p w14:paraId="396AF9ED" w14:textId="77777777" w:rsidR="00997065" w:rsidRDefault="00497D67">
      <w:pPr>
        <w:spacing w:after="160"/>
        <w:jc w:val="center"/>
      </w:pPr>
      <w:r>
        <w:rPr>
          <w:i/>
          <w:color w:val="596963"/>
          <w:sz w:val="24"/>
        </w:rPr>
        <w:t>Table 14. Per-case interpretation of the holdout errors. Values are from the checked-in CSV, rounded to the nearest BDT.</w:t>
      </w:r>
    </w:p>
    <w:p w14:paraId="5802C898" w14:textId="77777777" w:rsidR="00997065" w:rsidRDefault="00497D67">
      <w:pPr>
        <w:spacing w:after="120" w:line="269" w:lineRule="auto"/>
      </w:pPr>
      <w:r>
        <w:rPr>
          <w:sz w:val="24"/>
        </w:rPr>
        <w:t>The decision-quality table is distinct from forecast accuracy. One of five selected plans kept the reserve in the recorded scenario output; in four cases, the system reported that no selected option fully maintained the reserve. This is useful functional behavior only if the shortfall is communicated plainly; it is not evidence the recommendations improve outcomes.</w:t>
      </w:r>
    </w:p>
    <w:p w14:paraId="7DD664B4" w14:textId="77777777" w:rsidR="00997065" w:rsidRDefault="00497D67">
      <w:pPr>
        <w:pStyle w:val="Heading2"/>
      </w:pPr>
      <w:r>
        <w:rPr>
          <w:rFonts w:ascii="Times New Roman" w:eastAsia="Times New Roman" w:hAnsi="Times New Roman"/>
          <w:sz w:val="24"/>
        </w:rPr>
        <w:t>9.4. Evaluation limitations</w:t>
      </w:r>
    </w:p>
    <w:p w14:paraId="24E24667" w14:textId="77777777" w:rsidR="00997065" w:rsidRDefault="00497D67">
      <w:pPr>
        <w:spacing w:after="100" w:line="269" w:lineRule="auto"/>
      </w:pPr>
      <w:r>
        <w:rPr>
          <w:sz w:val="24"/>
        </w:rPr>
        <w:t>There are only five synthetic cases and a single holdout arrangement. The forecasting system is rule-based, uses short recent run rates, and shows poor performance against the selected naïve baseline. The task suite checks expected workflow behavior, not user comprehension, operational savings, accessibility, or field deployment. Security checks cover enumerated controls and fixtures, not a full penetration test. The latest 205-test count is a progress-record result rather than an archived stdout file in the evidence directory. Before external presentation, the team should preserve a fresh dated test transcript and capture the requested signed-in screenshots.</w:t>
      </w:r>
    </w:p>
    <w:p w14:paraId="17B39E62" w14:textId="77777777" w:rsidR="00997065" w:rsidRDefault="00497D67">
      <w:pPr>
        <w:pStyle w:val="Heading1"/>
      </w:pPr>
      <w:r>
        <w:rPr>
          <w:rFonts w:ascii="Times New Roman" w:eastAsia="Times New Roman" w:hAnsi="Times New Roman"/>
          <w:sz w:val="24"/>
        </w:rPr>
        <w:lastRenderedPageBreak/>
        <w:t>10. Discussion, limitations and validity</w:t>
      </w:r>
    </w:p>
    <w:p w14:paraId="60CFDB95" w14:textId="77777777" w:rsidR="00997065" w:rsidRDefault="00497D67">
      <w:pPr>
        <w:pStyle w:val="Heading2"/>
      </w:pPr>
      <w:r>
        <w:rPr>
          <w:rFonts w:ascii="Times New Roman" w:eastAsia="Times New Roman" w:hAnsi="Times New Roman"/>
          <w:sz w:val="24"/>
        </w:rPr>
        <w:t>10.1. What the results support</w:t>
      </w:r>
    </w:p>
    <w:p w14:paraId="2127D5FF" w14:textId="77777777" w:rsidR="00997065" w:rsidRDefault="00497D67">
      <w:pPr>
        <w:spacing w:after="100" w:line="269" w:lineRule="auto"/>
      </w:pPr>
      <w:r>
        <w:rPr>
          <w:sz w:val="24"/>
        </w:rPr>
        <w:t>The implementation evidence supports that the tested workflows can be exercised end-to-end in the local synthetic prototype; service permissions matched the tested matrix; the audit verifier detected the tested tamper operation; and the answer validator is wired to computed evidence. It also supports that this particular forecast configuration did not outperform the chosen simple baseline in any of five synthetic cases and that the Lab often cannot maintain the configured reserve. Both findings are material to interpreting the system.</w:t>
      </w:r>
    </w:p>
    <w:p w14:paraId="10495C93" w14:textId="77777777" w:rsidR="00997065" w:rsidRDefault="00497D67">
      <w:pPr>
        <w:pStyle w:val="Heading2"/>
      </w:pPr>
      <w:r>
        <w:rPr>
          <w:rFonts w:ascii="Times New Roman" w:eastAsia="Times New Roman" w:hAnsi="Times New Roman"/>
          <w:sz w:val="24"/>
        </w:rPr>
        <w:t>10.2. What the results do not support</w:t>
      </w:r>
    </w:p>
    <w:p w14:paraId="69712B12" w14:textId="77777777" w:rsidR="00997065" w:rsidRDefault="00497D67">
      <w:pPr>
        <w:spacing w:after="100" w:line="269" w:lineRule="auto"/>
      </w:pPr>
      <w:r>
        <w:rPr>
          <w:sz w:val="24"/>
        </w:rPr>
        <w:t>The evidence does not establish forecast accuracy for real firms, a causal improvement in financial decisions, better access to finance, model calibration, fairness across populations, or deployment-grade security. Five generated cases cannot represent sector, geography, accounting practice, seasonal variation, or customer behavior. The backtest is short and synthetic, and the baseline is one comparator. Consequently, conclusions are limited to design and test behavior under the specified fixtures.</w:t>
      </w:r>
    </w:p>
    <w:p w14:paraId="358E502B" w14:textId="77777777" w:rsidR="00997065" w:rsidRDefault="00497D67">
      <w:pPr>
        <w:pStyle w:val="Heading2"/>
      </w:pPr>
      <w:r>
        <w:rPr>
          <w:rFonts w:ascii="Times New Roman" w:eastAsia="Times New Roman" w:hAnsi="Times New Roman"/>
          <w:sz w:val="24"/>
        </w:rPr>
        <w:t>10.3. Ethical and operational boundaries</w:t>
      </w:r>
    </w:p>
    <w:p w14:paraId="2FA65A6A" w14:textId="77777777" w:rsidR="00997065" w:rsidRDefault="00497D67">
      <w:pPr>
        <w:spacing w:after="100" w:line="269" w:lineRule="auto"/>
      </w:pPr>
      <w:r>
        <w:rPr>
          <w:sz w:val="24"/>
        </w:rPr>
        <w:t>All data and financing terms are synthetic or illustrative. Readiness is not an approval prediction; the interface must not be used to make credit decisions. The prototype has no real bank/lender/customer integrations or payments. Optional LLM mode transfers the question and masked numeric evidence to the operator-selected endpoint; offline mode should be retained unless data handling has been reviewed. Seeded demo identities, single-process operation, local databases, no rate limiter, no tenant isolation, and no independent audit replication make the current build unsuitable for public production deployment.</w:t>
      </w:r>
    </w:p>
    <w:p w14:paraId="1BE7515A" w14:textId="77777777" w:rsidR="00997065" w:rsidRDefault="00497D67">
      <w:pPr>
        <w:pStyle w:val="Heading2"/>
      </w:pPr>
      <w:r>
        <w:rPr>
          <w:rFonts w:ascii="Times New Roman" w:eastAsia="Times New Roman" w:hAnsi="Times New Roman"/>
          <w:sz w:val="24"/>
        </w:rPr>
        <w:t>10.4. Threats to validity</w:t>
      </w:r>
    </w:p>
    <w:tbl>
      <w:tblPr>
        <w:tblStyle w:val="TableGrid"/>
        <w:tblW w:w="0" w:type="auto"/>
        <w:jc w:val="center"/>
        <w:tblLook w:val="04A0" w:firstRow="1" w:lastRow="0" w:firstColumn="1" w:lastColumn="0" w:noHBand="0" w:noVBand="1"/>
      </w:tblPr>
      <w:tblGrid>
        <w:gridCol w:w="3331"/>
        <w:gridCol w:w="3331"/>
        <w:gridCol w:w="3331"/>
      </w:tblGrid>
      <w:tr w:rsidR="00997065" w14:paraId="5025A0A2" w14:textId="77777777">
        <w:trPr>
          <w:tblHeader/>
          <w:jc w:val="center"/>
        </w:trPr>
        <w:tc>
          <w:tcPr>
            <w:tcW w:w="3331" w:type="dxa"/>
            <w:tcBorders>
              <w:top w:val="single" w:sz="6" w:space="0" w:color="166B52"/>
              <w:left w:val="single" w:sz="6" w:space="0" w:color="166B52"/>
              <w:bottom w:val="single" w:sz="6" w:space="0" w:color="166B52"/>
              <w:right w:val="single" w:sz="6" w:space="0" w:color="166B52"/>
            </w:tcBorders>
            <w:shd w:val="clear" w:color="auto" w:fill="166B52"/>
            <w:vAlign w:val="center"/>
          </w:tcPr>
          <w:p w14:paraId="1428B00E" w14:textId="77777777" w:rsidR="00997065" w:rsidRDefault="00497D67">
            <w:pPr>
              <w:spacing w:before="20" w:after="20"/>
            </w:pPr>
            <w:r>
              <w:rPr>
                <w:b/>
                <w:color w:val="FFFFFF"/>
                <w:sz w:val="24"/>
              </w:rPr>
              <w:t>Validity dimension</w:t>
            </w:r>
          </w:p>
        </w:tc>
        <w:tc>
          <w:tcPr>
            <w:tcW w:w="3331" w:type="dxa"/>
            <w:tcBorders>
              <w:top w:val="single" w:sz="6" w:space="0" w:color="166B52"/>
              <w:left w:val="single" w:sz="6" w:space="0" w:color="166B52"/>
              <w:bottom w:val="single" w:sz="6" w:space="0" w:color="166B52"/>
              <w:right w:val="single" w:sz="6" w:space="0" w:color="166B52"/>
            </w:tcBorders>
            <w:shd w:val="clear" w:color="auto" w:fill="166B52"/>
            <w:vAlign w:val="center"/>
          </w:tcPr>
          <w:p w14:paraId="77F6D210" w14:textId="77777777" w:rsidR="00997065" w:rsidRDefault="00497D67">
            <w:pPr>
              <w:spacing w:before="20" w:after="20"/>
            </w:pPr>
            <w:r>
              <w:rPr>
                <w:b/>
                <w:color w:val="FFFFFF"/>
                <w:sz w:val="24"/>
              </w:rPr>
              <w:t>Risk</w:t>
            </w:r>
          </w:p>
        </w:tc>
        <w:tc>
          <w:tcPr>
            <w:tcW w:w="3331" w:type="dxa"/>
            <w:tcBorders>
              <w:top w:val="single" w:sz="6" w:space="0" w:color="166B52"/>
              <w:left w:val="single" w:sz="6" w:space="0" w:color="166B52"/>
              <w:bottom w:val="single" w:sz="6" w:space="0" w:color="166B52"/>
              <w:right w:val="single" w:sz="6" w:space="0" w:color="166B52"/>
            </w:tcBorders>
            <w:shd w:val="clear" w:color="auto" w:fill="166B52"/>
            <w:vAlign w:val="center"/>
          </w:tcPr>
          <w:p w14:paraId="52E5ACDE" w14:textId="77777777" w:rsidR="00997065" w:rsidRDefault="00497D67">
            <w:pPr>
              <w:spacing w:before="20" w:after="20"/>
            </w:pPr>
            <w:r>
              <w:rPr>
                <w:b/>
                <w:color w:val="FFFFFF"/>
                <w:sz w:val="24"/>
              </w:rPr>
              <w:t>Mitigation / current status</w:t>
            </w:r>
          </w:p>
        </w:tc>
      </w:tr>
      <w:tr w:rsidR="00997065" w14:paraId="15D4B602" w14:textId="77777777">
        <w:trPr>
          <w:jc w:val="center"/>
        </w:trPr>
        <w:tc>
          <w:tcPr>
            <w:tcW w:w="3331" w:type="dxa"/>
            <w:tcBorders>
              <w:top w:val="single" w:sz="6" w:space="0" w:color="D7E4DD"/>
              <w:left w:val="single" w:sz="6" w:space="0" w:color="D7E4DD"/>
              <w:bottom w:val="single" w:sz="6" w:space="0" w:color="D7E4DD"/>
              <w:right w:val="single" w:sz="6" w:space="0" w:color="D7E4DD"/>
            </w:tcBorders>
            <w:shd w:val="clear" w:color="auto" w:fill="F4F8F5"/>
            <w:vAlign w:val="center"/>
          </w:tcPr>
          <w:p w14:paraId="4E90347A" w14:textId="77777777" w:rsidR="00997065" w:rsidRDefault="00497D67">
            <w:pPr>
              <w:spacing w:before="20" w:after="20"/>
            </w:pPr>
            <w:r>
              <w:rPr>
                <w:sz w:val="24"/>
              </w:rPr>
              <w:t>Construct</w:t>
            </w:r>
          </w:p>
        </w:tc>
        <w:tc>
          <w:tcPr>
            <w:tcW w:w="3331" w:type="dxa"/>
            <w:tcBorders>
              <w:top w:val="single" w:sz="6" w:space="0" w:color="D7E4DD"/>
              <w:left w:val="single" w:sz="6" w:space="0" w:color="D7E4DD"/>
              <w:bottom w:val="single" w:sz="6" w:space="0" w:color="D7E4DD"/>
              <w:right w:val="single" w:sz="6" w:space="0" w:color="D7E4DD"/>
            </w:tcBorders>
            <w:shd w:val="clear" w:color="auto" w:fill="F4F8F5"/>
            <w:vAlign w:val="center"/>
          </w:tcPr>
          <w:p w14:paraId="0D3A0D0E" w14:textId="77777777" w:rsidR="00997065" w:rsidRDefault="00497D67">
            <w:pPr>
              <w:spacing w:before="20" w:after="20"/>
            </w:pPr>
            <w:r>
              <w:rPr>
                <w:sz w:val="24"/>
              </w:rPr>
              <w:t>Reserve breach is a narrow proxy for liquidity health</w:t>
            </w:r>
          </w:p>
        </w:tc>
        <w:tc>
          <w:tcPr>
            <w:tcW w:w="3331" w:type="dxa"/>
            <w:tcBorders>
              <w:top w:val="single" w:sz="6" w:space="0" w:color="D7E4DD"/>
              <w:left w:val="single" w:sz="6" w:space="0" w:color="D7E4DD"/>
              <w:bottom w:val="single" w:sz="6" w:space="0" w:color="D7E4DD"/>
              <w:right w:val="single" w:sz="6" w:space="0" w:color="D7E4DD"/>
            </w:tcBorders>
            <w:shd w:val="clear" w:color="auto" w:fill="F4F8F5"/>
            <w:vAlign w:val="center"/>
          </w:tcPr>
          <w:p w14:paraId="071398AC" w14:textId="77777777" w:rsidR="00997065" w:rsidRDefault="00497D67">
            <w:pPr>
              <w:spacing w:before="20" w:after="20"/>
            </w:pPr>
            <w:r>
              <w:rPr>
                <w:sz w:val="24"/>
              </w:rPr>
              <w:t>Report computed thresholds and assumptions; no general financial-health claim</w:t>
            </w:r>
          </w:p>
        </w:tc>
      </w:tr>
      <w:tr w:rsidR="00997065" w14:paraId="36410076" w14:textId="77777777">
        <w:trPr>
          <w:jc w:val="center"/>
        </w:trPr>
        <w:tc>
          <w:tcPr>
            <w:tcW w:w="3331" w:type="dxa"/>
            <w:tcBorders>
              <w:top w:val="single" w:sz="6" w:space="0" w:color="D7E4DD"/>
              <w:left w:val="single" w:sz="6" w:space="0" w:color="D7E4DD"/>
              <w:bottom w:val="single" w:sz="6" w:space="0" w:color="D7E4DD"/>
              <w:right w:val="single" w:sz="6" w:space="0" w:color="D7E4DD"/>
            </w:tcBorders>
            <w:shd w:val="clear" w:color="auto" w:fill="FFFFFF"/>
            <w:vAlign w:val="center"/>
          </w:tcPr>
          <w:p w14:paraId="1C57350F" w14:textId="77777777" w:rsidR="00997065" w:rsidRDefault="00497D67">
            <w:pPr>
              <w:spacing w:before="20" w:after="20"/>
            </w:pPr>
            <w:r>
              <w:rPr>
                <w:sz w:val="24"/>
              </w:rPr>
              <w:t>Internal</w:t>
            </w:r>
          </w:p>
        </w:tc>
        <w:tc>
          <w:tcPr>
            <w:tcW w:w="3331" w:type="dxa"/>
            <w:tcBorders>
              <w:top w:val="single" w:sz="6" w:space="0" w:color="D7E4DD"/>
              <w:left w:val="single" w:sz="6" w:space="0" w:color="D7E4DD"/>
              <w:bottom w:val="single" w:sz="6" w:space="0" w:color="D7E4DD"/>
              <w:right w:val="single" w:sz="6" w:space="0" w:color="D7E4DD"/>
            </w:tcBorders>
            <w:shd w:val="clear" w:color="auto" w:fill="FFFFFF"/>
            <w:vAlign w:val="center"/>
          </w:tcPr>
          <w:p w14:paraId="589B3B1E" w14:textId="77777777" w:rsidR="00997065" w:rsidRDefault="00497D67">
            <w:pPr>
              <w:spacing w:before="20" w:after="20"/>
            </w:pPr>
            <w:r>
              <w:rPr>
                <w:sz w:val="24"/>
              </w:rPr>
              <w:t>Short synthetic holdout and heuristic event rules</w:t>
            </w:r>
          </w:p>
        </w:tc>
        <w:tc>
          <w:tcPr>
            <w:tcW w:w="3331" w:type="dxa"/>
            <w:tcBorders>
              <w:top w:val="single" w:sz="6" w:space="0" w:color="D7E4DD"/>
              <w:left w:val="single" w:sz="6" w:space="0" w:color="D7E4DD"/>
              <w:bottom w:val="single" w:sz="6" w:space="0" w:color="D7E4DD"/>
              <w:right w:val="single" w:sz="6" w:space="0" w:color="D7E4DD"/>
            </w:tcBorders>
            <w:shd w:val="clear" w:color="auto" w:fill="FFFFFF"/>
            <w:vAlign w:val="center"/>
          </w:tcPr>
          <w:p w14:paraId="5637D05A" w14:textId="77777777" w:rsidR="00997065" w:rsidRDefault="00497D67">
            <w:pPr>
              <w:spacing w:before="20" w:after="20"/>
            </w:pPr>
            <w:r>
              <w:rPr>
                <w:sz w:val="24"/>
              </w:rPr>
              <w:t>Publish per-case metrics and adverse result; no accuracy superiority claim</w:t>
            </w:r>
          </w:p>
        </w:tc>
      </w:tr>
      <w:tr w:rsidR="00997065" w14:paraId="6B179916" w14:textId="77777777">
        <w:trPr>
          <w:jc w:val="center"/>
        </w:trPr>
        <w:tc>
          <w:tcPr>
            <w:tcW w:w="3331" w:type="dxa"/>
            <w:tcBorders>
              <w:top w:val="single" w:sz="6" w:space="0" w:color="D7E4DD"/>
              <w:left w:val="single" w:sz="6" w:space="0" w:color="D7E4DD"/>
              <w:bottom w:val="single" w:sz="6" w:space="0" w:color="D7E4DD"/>
              <w:right w:val="single" w:sz="6" w:space="0" w:color="D7E4DD"/>
            </w:tcBorders>
            <w:shd w:val="clear" w:color="auto" w:fill="F4F8F5"/>
            <w:vAlign w:val="center"/>
          </w:tcPr>
          <w:p w14:paraId="76BB7AB1" w14:textId="77777777" w:rsidR="00997065" w:rsidRDefault="00497D67">
            <w:pPr>
              <w:spacing w:before="20" w:after="20"/>
            </w:pPr>
            <w:r>
              <w:rPr>
                <w:sz w:val="24"/>
              </w:rPr>
              <w:t>External</w:t>
            </w:r>
          </w:p>
        </w:tc>
        <w:tc>
          <w:tcPr>
            <w:tcW w:w="3331" w:type="dxa"/>
            <w:tcBorders>
              <w:top w:val="single" w:sz="6" w:space="0" w:color="D7E4DD"/>
              <w:left w:val="single" w:sz="6" w:space="0" w:color="D7E4DD"/>
              <w:bottom w:val="single" w:sz="6" w:space="0" w:color="D7E4DD"/>
              <w:right w:val="single" w:sz="6" w:space="0" w:color="D7E4DD"/>
            </w:tcBorders>
            <w:shd w:val="clear" w:color="auto" w:fill="F4F8F5"/>
            <w:vAlign w:val="center"/>
          </w:tcPr>
          <w:p w14:paraId="115ED19D" w14:textId="77777777" w:rsidR="00997065" w:rsidRDefault="00497D67">
            <w:pPr>
              <w:spacing w:before="20" w:after="20"/>
            </w:pPr>
            <w:r>
              <w:rPr>
                <w:sz w:val="24"/>
              </w:rPr>
              <w:t>Five generated cases do not represent SMEs</w:t>
            </w:r>
          </w:p>
        </w:tc>
        <w:tc>
          <w:tcPr>
            <w:tcW w:w="3331" w:type="dxa"/>
            <w:tcBorders>
              <w:top w:val="single" w:sz="6" w:space="0" w:color="D7E4DD"/>
              <w:left w:val="single" w:sz="6" w:space="0" w:color="D7E4DD"/>
              <w:bottom w:val="single" w:sz="6" w:space="0" w:color="D7E4DD"/>
              <w:right w:val="single" w:sz="6" w:space="0" w:color="D7E4DD"/>
            </w:tcBorders>
            <w:shd w:val="clear" w:color="auto" w:fill="F4F8F5"/>
            <w:vAlign w:val="center"/>
          </w:tcPr>
          <w:p w14:paraId="7D9C2A81" w14:textId="77777777" w:rsidR="00997065" w:rsidRDefault="00497D67">
            <w:pPr>
              <w:spacing w:before="20" w:after="20"/>
            </w:pPr>
            <w:r>
              <w:rPr>
                <w:sz w:val="24"/>
              </w:rPr>
              <w:t>No population inference; real consented, governed data needed for future research</w:t>
            </w:r>
          </w:p>
        </w:tc>
      </w:tr>
      <w:tr w:rsidR="00997065" w14:paraId="36D43BD7" w14:textId="77777777">
        <w:trPr>
          <w:jc w:val="center"/>
        </w:trPr>
        <w:tc>
          <w:tcPr>
            <w:tcW w:w="3331" w:type="dxa"/>
            <w:tcBorders>
              <w:top w:val="single" w:sz="6" w:space="0" w:color="D7E4DD"/>
              <w:left w:val="single" w:sz="6" w:space="0" w:color="D7E4DD"/>
              <w:bottom w:val="single" w:sz="6" w:space="0" w:color="D7E4DD"/>
              <w:right w:val="single" w:sz="6" w:space="0" w:color="D7E4DD"/>
            </w:tcBorders>
            <w:shd w:val="clear" w:color="auto" w:fill="FFFFFF"/>
            <w:vAlign w:val="center"/>
          </w:tcPr>
          <w:p w14:paraId="0358D582" w14:textId="77777777" w:rsidR="00997065" w:rsidRDefault="00497D67">
            <w:pPr>
              <w:spacing w:before="20" w:after="20"/>
            </w:pPr>
            <w:r>
              <w:rPr>
                <w:sz w:val="24"/>
              </w:rPr>
              <w:t>Measurement</w:t>
            </w:r>
          </w:p>
        </w:tc>
        <w:tc>
          <w:tcPr>
            <w:tcW w:w="3331" w:type="dxa"/>
            <w:tcBorders>
              <w:top w:val="single" w:sz="6" w:space="0" w:color="D7E4DD"/>
              <w:left w:val="single" w:sz="6" w:space="0" w:color="D7E4DD"/>
              <w:bottom w:val="single" w:sz="6" w:space="0" w:color="D7E4DD"/>
              <w:right w:val="single" w:sz="6" w:space="0" w:color="D7E4DD"/>
            </w:tcBorders>
            <w:shd w:val="clear" w:color="auto" w:fill="FFFFFF"/>
            <w:vAlign w:val="center"/>
          </w:tcPr>
          <w:p w14:paraId="0203A117" w14:textId="77777777" w:rsidR="00997065" w:rsidRDefault="00497D67">
            <w:pPr>
              <w:spacing w:before="20" w:after="20"/>
            </w:pPr>
            <w:r>
              <w:rPr>
                <w:sz w:val="24"/>
              </w:rPr>
              <w:t>Task scripts encode expected outcomes selected by developers</w:t>
            </w:r>
          </w:p>
        </w:tc>
        <w:tc>
          <w:tcPr>
            <w:tcW w:w="3331" w:type="dxa"/>
            <w:tcBorders>
              <w:top w:val="single" w:sz="6" w:space="0" w:color="D7E4DD"/>
              <w:left w:val="single" w:sz="6" w:space="0" w:color="D7E4DD"/>
              <w:bottom w:val="single" w:sz="6" w:space="0" w:color="D7E4DD"/>
              <w:right w:val="single" w:sz="6" w:space="0" w:color="D7E4DD"/>
            </w:tcBorders>
            <w:shd w:val="clear" w:color="auto" w:fill="FFFFFF"/>
            <w:vAlign w:val="center"/>
          </w:tcPr>
          <w:p w14:paraId="6047A00F" w14:textId="77777777" w:rsidR="00997065" w:rsidRDefault="00497D67">
            <w:pPr>
              <w:spacing w:before="20" w:after="20"/>
            </w:pPr>
            <w:r>
              <w:rPr>
                <w:sz w:val="24"/>
              </w:rPr>
              <w:t>Treat as functional acceptance evidence, not independent user evaluation</w:t>
            </w:r>
          </w:p>
        </w:tc>
      </w:tr>
      <w:tr w:rsidR="00997065" w14:paraId="5AC4A2E8" w14:textId="77777777">
        <w:trPr>
          <w:jc w:val="center"/>
        </w:trPr>
        <w:tc>
          <w:tcPr>
            <w:tcW w:w="3331" w:type="dxa"/>
            <w:tcBorders>
              <w:top w:val="single" w:sz="6" w:space="0" w:color="D7E4DD"/>
              <w:left w:val="single" w:sz="6" w:space="0" w:color="D7E4DD"/>
              <w:bottom w:val="single" w:sz="6" w:space="0" w:color="D7E4DD"/>
              <w:right w:val="single" w:sz="6" w:space="0" w:color="D7E4DD"/>
            </w:tcBorders>
            <w:shd w:val="clear" w:color="auto" w:fill="F4F8F5"/>
            <w:vAlign w:val="center"/>
          </w:tcPr>
          <w:p w14:paraId="0708702A" w14:textId="77777777" w:rsidR="00997065" w:rsidRDefault="00497D67">
            <w:pPr>
              <w:spacing w:before="20" w:after="20"/>
            </w:pPr>
            <w:r>
              <w:rPr>
                <w:sz w:val="24"/>
              </w:rPr>
              <w:t>Security</w:t>
            </w:r>
          </w:p>
        </w:tc>
        <w:tc>
          <w:tcPr>
            <w:tcW w:w="3331" w:type="dxa"/>
            <w:tcBorders>
              <w:top w:val="single" w:sz="6" w:space="0" w:color="D7E4DD"/>
              <w:left w:val="single" w:sz="6" w:space="0" w:color="D7E4DD"/>
              <w:bottom w:val="single" w:sz="6" w:space="0" w:color="D7E4DD"/>
              <w:right w:val="single" w:sz="6" w:space="0" w:color="D7E4DD"/>
            </w:tcBorders>
            <w:shd w:val="clear" w:color="auto" w:fill="F4F8F5"/>
            <w:vAlign w:val="center"/>
          </w:tcPr>
          <w:p w14:paraId="69C3B28D" w14:textId="77777777" w:rsidR="00997065" w:rsidRDefault="00497D67">
            <w:pPr>
              <w:spacing w:before="20" w:after="20"/>
            </w:pPr>
            <w:r>
              <w:rPr>
                <w:sz w:val="24"/>
              </w:rPr>
              <w:t>Local checks and tests are not independent adversarial review</w:t>
            </w:r>
          </w:p>
        </w:tc>
        <w:tc>
          <w:tcPr>
            <w:tcW w:w="3331" w:type="dxa"/>
            <w:tcBorders>
              <w:top w:val="single" w:sz="6" w:space="0" w:color="D7E4DD"/>
              <w:left w:val="single" w:sz="6" w:space="0" w:color="D7E4DD"/>
              <w:bottom w:val="single" w:sz="6" w:space="0" w:color="D7E4DD"/>
              <w:right w:val="single" w:sz="6" w:space="0" w:color="D7E4DD"/>
            </w:tcBorders>
            <w:shd w:val="clear" w:color="auto" w:fill="F4F8F5"/>
            <w:vAlign w:val="center"/>
          </w:tcPr>
          <w:p w14:paraId="13A5CD60" w14:textId="77777777" w:rsidR="00997065" w:rsidRDefault="00497D67">
            <w:pPr>
              <w:spacing w:before="20" w:after="20"/>
            </w:pPr>
            <w:r>
              <w:rPr>
                <w:sz w:val="24"/>
              </w:rPr>
              <w:t>Self-assessment only; residual risks and missing controls disclosed</w:t>
            </w:r>
          </w:p>
        </w:tc>
      </w:tr>
      <w:tr w:rsidR="00997065" w14:paraId="1AB6207C" w14:textId="77777777">
        <w:trPr>
          <w:jc w:val="center"/>
        </w:trPr>
        <w:tc>
          <w:tcPr>
            <w:tcW w:w="3331" w:type="dxa"/>
            <w:tcBorders>
              <w:top w:val="single" w:sz="6" w:space="0" w:color="D7E4DD"/>
              <w:left w:val="single" w:sz="6" w:space="0" w:color="D7E4DD"/>
              <w:bottom w:val="single" w:sz="6" w:space="0" w:color="D7E4DD"/>
              <w:right w:val="single" w:sz="6" w:space="0" w:color="D7E4DD"/>
            </w:tcBorders>
            <w:shd w:val="clear" w:color="auto" w:fill="FFFFFF"/>
            <w:vAlign w:val="center"/>
          </w:tcPr>
          <w:p w14:paraId="44AA7F9D" w14:textId="77777777" w:rsidR="00997065" w:rsidRDefault="00497D67">
            <w:pPr>
              <w:spacing w:before="20" w:after="20"/>
            </w:pPr>
            <w:r>
              <w:rPr>
                <w:sz w:val="24"/>
              </w:rPr>
              <w:t>Reproducibility</w:t>
            </w:r>
          </w:p>
        </w:tc>
        <w:tc>
          <w:tcPr>
            <w:tcW w:w="3331" w:type="dxa"/>
            <w:tcBorders>
              <w:top w:val="single" w:sz="6" w:space="0" w:color="D7E4DD"/>
              <w:left w:val="single" w:sz="6" w:space="0" w:color="D7E4DD"/>
              <w:bottom w:val="single" w:sz="6" w:space="0" w:color="D7E4DD"/>
              <w:right w:val="single" w:sz="6" w:space="0" w:color="D7E4DD"/>
            </w:tcBorders>
            <w:shd w:val="clear" w:color="auto" w:fill="FFFFFF"/>
            <w:vAlign w:val="center"/>
          </w:tcPr>
          <w:p w14:paraId="5BEE8200" w14:textId="77777777" w:rsidR="00997065" w:rsidRDefault="00497D67">
            <w:pPr>
              <w:spacing w:before="20" w:after="20"/>
            </w:pPr>
            <w:r>
              <w:rPr>
                <w:sz w:val="24"/>
              </w:rPr>
              <w:t>Full-suite and evaluation artifacts are from different dates/builds</w:t>
            </w:r>
          </w:p>
        </w:tc>
        <w:tc>
          <w:tcPr>
            <w:tcW w:w="3331" w:type="dxa"/>
            <w:tcBorders>
              <w:top w:val="single" w:sz="6" w:space="0" w:color="D7E4DD"/>
              <w:left w:val="single" w:sz="6" w:space="0" w:color="D7E4DD"/>
              <w:bottom w:val="single" w:sz="6" w:space="0" w:color="D7E4DD"/>
              <w:right w:val="single" w:sz="6" w:space="0" w:color="D7E4DD"/>
            </w:tcBorders>
            <w:shd w:val="clear" w:color="auto" w:fill="FFFFFF"/>
            <w:vAlign w:val="center"/>
          </w:tcPr>
          <w:p w14:paraId="67FE1D47" w14:textId="77777777" w:rsidR="00997065" w:rsidRDefault="00497D67">
            <w:pPr>
              <w:spacing w:before="20" w:after="20"/>
            </w:pPr>
            <w:r>
              <w:rPr>
                <w:sz w:val="24"/>
              </w:rPr>
              <w:t>Keep timestamps and count provenance separate; preserve fresh outputs before submission</w:t>
            </w:r>
          </w:p>
        </w:tc>
      </w:tr>
    </w:tbl>
    <w:p w14:paraId="5808F9E8" w14:textId="77777777" w:rsidR="00997065" w:rsidRDefault="00997065">
      <w:pPr>
        <w:spacing w:after="0"/>
      </w:pPr>
    </w:p>
    <w:p w14:paraId="6B681058" w14:textId="77777777" w:rsidR="00997065" w:rsidRDefault="00497D67">
      <w:pPr>
        <w:pStyle w:val="Heading1"/>
      </w:pPr>
      <w:r>
        <w:rPr>
          <w:rFonts w:ascii="Times New Roman" w:eastAsia="Times New Roman" w:hAnsi="Times New Roman"/>
          <w:sz w:val="24"/>
        </w:rPr>
        <w:lastRenderedPageBreak/>
        <w:t>11. Conclusion and future work</w:t>
      </w:r>
    </w:p>
    <w:p w14:paraId="124802B9" w14:textId="77777777" w:rsidR="00997065" w:rsidRDefault="00497D67">
      <w:pPr>
        <w:spacing w:after="100" w:line="269" w:lineRule="auto"/>
      </w:pPr>
      <w:r>
        <w:rPr>
          <w:sz w:val="24"/>
        </w:rPr>
        <w:t>StratifyAI demonstrates a local synthetic-data workflow that connects weekly cash projections, scenario comparisons, illustrative financing math, business-analysis indicators, evidence-grounded explanations, role-based services, owner approval, and local audit evidence. Its principal design choice is to keep financial arithmetic deterministic and to make the distinction between recorded, forecast, hypothetical, and owner-confirmed information visible. The evaluation is deliberately mixed: functional and security checks passed in their recorded runs, but the model underperformed a simple baseline in all five holdouts and only one of five recommended plans maintained reserve. These results position the application as a transparent engineering prototype for further study, not a validated financial decision system.</w:t>
      </w:r>
    </w:p>
    <w:p w14:paraId="6F9D2555" w14:textId="77777777" w:rsidR="00997065" w:rsidRDefault="00497D67">
      <w:pPr>
        <w:pStyle w:val="Heading2"/>
      </w:pPr>
      <w:r>
        <w:rPr>
          <w:rFonts w:ascii="Times New Roman" w:eastAsia="Times New Roman" w:hAnsi="Times New Roman"/>
          <w:sz w:val="24"/>
        </w:rPr>
        <w:t>Future work</w:t>
      </w:r>
    </w:p>
    <w:p w14:paraId="7AAE1B92" w14:textId="77777777" w:rsidR="00997065" w:rsidRDefault="00497D67">
      <w:pPr>
        <w:pStyle w:val="ListBullet"/>
        <w:spacing w:after="60"/>
      </w:pPr>
      <w:r>
        <w:rPr>
          <w:sz w:val="24"/>
        </w:rPr>
        <w:t>Replace synthetic fixtures with a consented, anonymized, and legally governed SME dataset; preserve a time-aware holdout and compare against multiple simple baselines.</w:t>
      </w:r>
    </w:p>
    <w:p w14:paraId="0464AD40" w14:textId="77777777" w:rsidR="00997065" w:rsidRDefault="00497D67">
      <w:pPr>
        <w:pStyle w:val="ListBullet"/>
        <w:spacing w:after="60"/>
      </w:pPr>
      <w:r>
        <w:rPr>
          <w:sz w:val="24"/>
        </w:rPr>
        <w:t>Revisit forecast event handling and calibrate uncertainty with more observations; report confidence intervals and subgroup behavior only when sample size supports them.</w:t>
      </w:r>
    </w:p>
    <w:p w14:paraId="25571172" w14:textId="77777777" w:rsidR="00997065" w:rsidRDefault="00497D67">
      <w:pPr>
        <w:pStyle w:val="ListBullet"/>
        <w:spacing w:after="60"/>
      </w:pPr>
      <w:r>
        <w:rPr>
          <w:sz w:val="24"/>
        </w:rPr>
        <w:t>Conduct moderated usability testing with SME owners and measure comprehension of scenario labels, uncertainty, and financing assumptions.</w:t>
      </w:r>
    </w:p>
    <w:p w14:paraId="184507CD" w14:textId="77777777" w:rsidR="00997065" w:rsidRDefault="00497D67">
      <w:pPr>
        <w:pStyle w:val="ListBullet"/>
        <w:spacing w:after="60"/>
      </w:pPr>
      <w:r>
        <w:rPr>
          <w:sz w:val="24"/>
        </w:rPr>
        <w:t>Commission independent security testing; add production identity, tenant isolation, rate limiting, managed secrets, dependency scanning, backups, and externally controlled audit retention before any production use.</w:t>
      </w:r>
    </w:p>
    <w:p w14:paraId="2B48FE98" w14:textId="77777777" w:rsidR="00997065" w:rsidRDefault="00497D67">
      <w:pPr>
        <w:pStyle w:val="ListBullet"/>
        <w:spacing w:after="60"/>
      </w:pPr>
      <w:r>
        <w:rPr>
          <w:sz w:val="24"/>
        </w:rPr>
        <w:t>Reconcile the OWASP edition reference, refresh test evidence, and capture remaining signed-in page screenshots before final submission.</w:t>
      </w:r>
    </w:p>
    <w:p w14:paraId="2A5BCCC2" w14:textId="77777777" w:rsidR="00997065" w:rsidRDefault="00497D67">
      <w:pPr>
        <w:pStyle w:val="Heading1"/>
      </w:pPr>
      <w:r>
        <w:rPr>
          <w:rFonts w:ascii="Times New Roman" w:eastAsia="Times New Roman" w:hAnsi="Times New Roman"/>
          <w:sz w:val="24"/>
        </w:rPr>
        <w:t>References</w:t>
      </w:r>
    </w:p>
    <w:p w14:paraId="1ECB0984" w14:textId="77777777" w:rsidR="00997065" w:rsidRDefault="00497D67">
      <w:pPr>
        <w:spacing w:after="80"/>
        <w:ind w:left="259" w:hanging="259"/>
      </w:pPr>
      <w:r>
        <w:rPr>
          <w:sz w:val="24"/>
        </w:rPr>
        <w:t>[1] M. Deloof, “Does Working Capital Management Affect Profitability of Belgian Firms?,” Journal of Business Finance &amp; Accounting, vol. 30, no. 3–4, pp. 573–588, 2003. https://doi.org/10.1111/1468-5957.00008</w:t>
      </w:r>
    </w:p>
    <w:p w14:paraId="6E38DB07" w14:textId="77777777" w:rsidR="00997065" w:rsidRDefault="00497D67">
      <w:pPr>
        <w:spacing w:after="80"/>
        <w:ind w:left="259" w:hanging="259"/>
      </w:pPr>
      <w:r>
        <w:rPr>
          <w:sz w:val="24"/>
        </w:rPr>
        <w:t>[2] S. Baños-Caballero, P. J. García-Teruel, and P. Martínez-Solano, “How does working capital management affect the profitability of Spanish SMEs?,” Small Business Economics, vol. 39, pp. 517–529, 2012. https://doi.org/10.1007/s11187-011-9317-8</w:t>
      </w:r>
    </w:p>
    <w:p w14:paraId="16377FBA" w14:textId="77777777" w:rsidR="00997065" w:rsidRDefault="00497D67">
      <w:pPr>
        <w:spacing w:after="80"/>
        <w:ind w:left="259" w:hanging="259"/>
      </w:pPr>
      <w:r>
        <w:rPr>
          <w:sz w:val="24"/>
        </w:rPr>
        <w:t>[3] A. N. Berger and G. F. Udell, “The economics of small business finance: The roles of private equity and debt markets in the financial growth cycle,” Journal of Banking &amp; Finance, vol. 22, no. 6–8, pp. 613–673, 1998. https://doi.org/10.1016/S0378-4266(98)00038-7</w:t>
      </w:r>
    </w:p>
    <w:p w14:paraId="6A2BB080" w14:textId="77777777" w:rsidR="00997065" w:rsidRDefault="00497D67">
      <w:pPr>
        <w:spacing w:after="80"/>
        <w:ind w:left="259" w:hanging="259"/>
      </w:pPr>
      <w:r>
        <w:rPr>
          <w:sz w:val="24"/>
        </w:rPr>
        <w:t>[4] W. H. Beaver, “Financial Ratios as Predictors of Failure,” Journal of Accounting Research, vol. 4, pp. 71–111, 1966. https://doi.org/10.2307/2490171</w:t>
      </w:r>
    </w:p>
    <w:p w14:paraId="291F059A" w14:textId="77777777" w:rsidR="00997065" w:rsidRDefault="00497D67">
      <w:pPr>
        <w:spacing w:after="80"/>
        <w:ind w:left="259" w:hanging="259"/>
      </w:pPr>
      <w:r>
        <w:rPr>
          <w:sz w:val="24"/>
        </w:rPr>
        <w:t>[5] P. Lewis et al., “Retrieval-Augmented Generation for Knowledge-Intensive NLP Tasks,” Advances in Neural Information Processing Systems 33, 2020. https://arxiv.org/abs/2005.11401</w:t>
      </w:r>
    </w:p>
    <w:p w14:paraId="2626BC63" w14:textId="77777777" w:rsidR="00997065" w:rsidRDefault="00497D67">
      <w:pPr>
        <w:spacing w:after="80"/>
        <w:ind w:left="259" w:hanging="259"/>
      </w:pPr>
      <w:r>
        <w:rPr>
          <w:sz w:val="24"/>
        </w:rPr>
        <w:t>[6] A. Asai, Z. Wu, Y. Wang, A. Sil, and H. Hajishirzi, “Self-RAG: Learning to Retrieve, Generate, and Critique through Self-Reflection,” arXiv:2310.11511, 2023. https://arxiv.org/abs/2310.11511</w:t>
      </w:r>
    </w:p>
    <w:p w14:paraId="3715FAD5" w14:textId="77777777" w:rsidR="00997065" w:rsidRDefault="00497D67">
      <w:pPr>
        <w:spacing w:after="80"/>
        <w:ind w:left="259" w:hanging="259"/>
      </w:pPr>
      <w:r>
        <w:rPr>
          <w:sz w:val="24"/>
        </w:rPr>
        <w:t>[7] OWASP GenAI Security Project, “Top 10 Risk &amp; Mitigations for LLMs and Gen AI Apps (2025),” official project archive. https://genai.owasp.org/llm-top-10/</w:t>
      </w:r>
    </w:p>
    <w:p w14:paraId="61448130" w14:textId="77777777" w:rsidR="00997065" w:rsidRDefault="00497D67">
      <w:pPr>
        <w:spacing w:after="80"/>
        <w:ind w:left="259" w:hanging="259"/>
      </w:pPr>
      <w:r>
        <w:rPr>
          <w:sz w:val="24"/>
        </w:rPr>
        <w:t>[8] E. Tabassi, “Artificial Intelligence Risk Management Framework (AI RMF 1.0),” NIST AI 100-1, 2023. https://doi.org/10.6028/NIST.AI.100-1</w:t>
      </w:r>
    </w:p>
    <w:p w14:paraId="1C1CF70A" w14:textId="77777777" w:rsidR="00997065" w:rsidRDefault="00497D67">
      <w:pPr>
        <w:spacing w:after="80"/>
        <w:ind w:left="259" w:hanging="259"/>
      </w:pPr>
      <w:r>
        <w:rPr>
          <w:sz w:val="24"/>
        </w:rPr>
        <w:lastRenderedPageBreak/>
        <w:t>[9] NIST, “Artificial Intelligence Risk Management Framework: Generative Artificial Intelligence Profile,” NIST AI 600-1, 2024. https://doi.org/10.6028/NIST.AI.600-1</w:t>
      </w:r>
    </w:p>
    <w:p w14:paraId="1E3E03FD" w14:textId="77777777" w:rsidR="00997065" w:rsidRDefault="00497D67">
      <w:pPr>
        <w:spacing w:after="80"/>
        <w:ind w:left="259" w:hanging="259"/>
      </w:pPr>
      <w:r>
        <w:rPr>
          <w:sz w:val="24"/>
        </w:rPr>
        <w:t>[10] Streamlit, “Streamlit Documentation and API Reference,” accessed 20 October 2026. https://docs.streamlit.io/</w:t>
      </w:r>
    </w:p>
    <w:p w14:paraId="4C2BD415" w14:textId="77777777" w:rsidR="00997065" w:rsidRDefault="00497D67">
      <w:pPr>
        <w:spacing w:after="80"/>
        <w:ind w:left="259" w:hanging="259"/>
      </w:pPr>
      <w:r>
        <w:rPr>
          <w:sz w:val="24"/>
        </w:rPr>
        <w:t>[11] pandas Development Team, “pandas User Guide,” project documentation. https://pandas.pydata.org/docs/user_guide/</w:t>
      </w:r>
    </w:p>
    <w:p w14:paraId="4873F4EF" w14:textId="77777777" w:rsidR="00997065" w:rsidRDefault="00497D67">
      <w:pPr>
        <w:spacing w:after="80"/>
        <w:ind w:left="259" w:hanging="259"/>
      </w:pPr>
      <w:r>
        <w:rPr>
          <w:sz w:val="24"/>
        </w:rPr>
        <w:t>[12] Plotly Technologies Inc., “Getting Started with Plotly for Python,” project documentation. https://plotly.com/python/getting-started/</w:t>
      </w:r>
    </w:p>
    <w:p w14:paraId="23883D5B" w14:textId="77777777" w:rsidR="00997065" w:rsidRDefault="00497D67">
      <w:pPr>
        <w:spacing w:after="80"/>
        <w:ind w:left="259" w:hanging="259"/>
      </w:pPr>
      <w:r>
        <w:rPr>
          <w:sz w:val="24"/>
        </w:rPr>
        <w:t>[13] 2026 Shenzhen International FinTech Competition (FinTechathon), International Track brief, Topic E: SME Finance Copilot. Project summary in docs/COMPETITION.md; official brief supplied with the project.</w:t>
      </w:r>
    </w:p>
    <w:p w14:paraId="3CA69F4E" w14:textId="77777777" w:rsidR="00997065" w:rsidRDefault="00497D67">
      <w:pPr>
        <w:spacing w:after="120" w:line="269" w:lineRule="auto"/>
      </w:pPr>
      <w:r>
        <w:rPr>
          <w:sz w:val="24"/>
        </w:rPr>
        <w:t>To keep the narrative connected to the implementation, the source and project-document references below identify where a reviewer can inspect details beyond the report. They are a technical reading list, not a submission map.</w:t>
      </w:r>
    </w:p>
    <w:tbl>
      <w:tblPr>
        <w:tblStyle w:val="TableGrid"/>
        <w:tblW w:w="0" w:type="auto"/>
        <w:jc w:val="center"/>
        <w:tblLook w:val="04A0" w:firstRow="1" w:lastRow="0" w:firstColumn="1" w:lastColumn="0" w:noHBand="0" w:noVBand="1"/>
      </w:tblPr>
      <w:tblGrid>
        <w:gridCol w:w="4997"/>
        <w:gridCol w:w="4997"/>
      </w:tblGrid>
      <w:tr w:rsidR="00997065" w14:paraId="19609740" w14:textId="77777777">
        <w:trPr>
          <w:tblHeader/>
          <w:jc w:val="center"/>
        </w:trPr>
        <w:tc>
          <w:tcPr>
            <w:tcW w:w="4997" w:type="dxa"/>
            <w:tcBorders>
              <w:top w:val="single" w:sz="5" w:space="0" w:color="D7E4DD"/>
              <w:left w:val="single" w:sz="5" w:space="0" w:color="D7E4DD"/>
              <w:bottom w:val="single" w:sz="5" w:space="0" w:color="D7E4DD"/>
              <w:right w:val="single" w:sz="5" w:space="0" w:color="D7E4DD"/>
            </w:tcBorders>
            <w:shd w:val="clear" w:color="auto" w:fill="166B52"/>
            <w:vAlign w:val="center"/>
          </w:tcPr>
          <w:p w14:paraId="5F3A459B" w14:textId="77777777" w:rsidR="00997065" w:rsidRDefault="00497D67">
            <w:pPr>
              <w:spacing w:before="20" w:after="20"/>
            </w:pPr>
            <w:r>
              <w:rPr>
                <w:b/>
                <w:color w:val="FFFFFF"/>
                <w:sz w:val="24"/>
              </w:rPr>
              <w:t>Project source/document</w:t>
            </w:r>
          </w:p>
        </w:tc>
        <w:tc>
          <w:tcPr>
            <w:tcW w:w="4997" w:type="dxa"/>
            <w:tcBorders>
              <w:top w:val="single" w:sz="5" w:space="0" w:color="D7E4DD"/>
              <w:left w:val="single" w:sz="5" w:space="0" w:color="D7E4DD"/>
              <w:bottom w:val="single" w:sz="5" w:space="0" w:color="D7E4DD"/>
              <w:right w:val="single" w:sz="5" w:space="0" w:color="D7E4DD"/>
            </w:tcBorders>
            <w:shd w:val="clear" w:color="auto" w:fill="166B52"/>
            <w:vAlign w:val="center"/>
          </w:tcPr>
          <w:p w14:paraId="598D3615" w14:textId="77777777" w:rsidR="00997065" w:rsidRDefault="00497D67">
            <w:pPr>
              <w:spacing w:before="20" w:after="20"/>
            </w:pPr>
            <w:r>
              <w:rPr>
                <w:b/>
                <w:color w:val="FFFFFF"/>
                <w:sz w:val="24"/>
              </w:rPr>
              <w:t>What it documents</w:t>
            </w:r>
          </w:p>
        </w:tc>
      </w:tr>
      <w:tr w:rsidR="00997065" w14:paraId="28400E1E" w14:textId="77777777">
        <w:trPr>
          <w:jc w:val="center"/>
        </w:trPr>
        <w:tc>
          <w:tcPr>
            <w:tcW w:w="4997" w:type="dxa"/>
            <w:tcBorders>
              <w:top w:val="single" w:sz="5" w:space="0" w:color="D7E4DD"/>
              <w:left w:val="single" w:sz="5" w:space="0" w:color="D7E4DD"/>
              <w:bottom w:val="single" w:sz="5" w:space="0" w:color="D7E4DD"/>
              <w:right w:val="single" w:sz="5" w:space="0" w:color="D7E4DD"/>
            </w:tcBorders>
            <w:shd w:val="clear" w:color="auto" w:fill="F4F8F5"/>
            <w:vAlign w:val="center"/>
          </w:tcPr>
          <w:p w14:paraId="29974100" w14:textId="77777777" w:rsidR="00997065" w:rsidRDefault="00497D67">
            <w:pPr>
              <w:spacing w:before="20" w:after="20"/>
            </w:pPr>
            <w:r>
              <w:rPr>
                <w:sz w:val="24"/>
              </w:rPr>
              <w:t>README.md</w:t>
            </w:r>
          </w:p>
        </w:tc>
        <w:tc>
          <w:tcPr>
            <w:tcW w:w="4997" w:type="dxa"/>
            <w:tcBorders>
              <w:top w:val="single" w:sz="5" w:space="0" w:color="D7E4DD"/>
              <w:left w:val="single" w:sz="5" w:space="0" w:color="D7E4DD"/>
              <w:bottom w:val="single" w:sz="5" w:space="0" w:color="D7E4DD"/>
              <w:right w:val="single" w:sz="5" w:space="0" w:color="D7E4DD"/>
            </w:tcBorders>
            <w:shd w:val="clear" w:color="auto" w:fill="F4F8F5"/>
            <w:vAlign w:val="center"/>
          </w:tcPr>
          <w:p w14:paraId="2AA5732B" w14:textId="77777777" w:rsidR="00997065" w:rsidRDefault="00497D67">
            <w:pPr>
              <w:spacing w:before="20" w:after="20"/>
            </w:pPr>
            <w:r>
              <w:rPr>
                <w:sz w:val="24"/>
              </w:rPr>
              <w:t>Quick start, user questions, architecture, features, security boundary, evaluation results, scope and project-doc links</w:t>
            </w:r>
          </w:p>
        </w:tc>
      </w:tr>
      <w:tr w:rsidR="00997065" w14:paraId="2DD19C25" w14:textId="77777777">
        <w:trPr>
          <w:jc w:val="center"/>
        </w:trPr>
        <w:tc>
          <w:tcPr>
            <w:tcW w:w="4997" w:type="dxa"/>
            <w:tcBorders>
              <w:top w:val="single" w:sz="5" w:space="0" w:color="D7E4DD"/>
              <w:left w:val="single" w:sz="5" w:space="0" w:color="D7E4DD"/>
              <w:bottom w:val="single" w:sz="5" w:space="0" w:color="D7E4DD"/>
              <w:right w:val="single" w:sz="5" w:space="0" w:color="D7E4DD"/>
            </w:tcBorders>
            <w:shd w:val="clear" w:color="auto" w:fill="FFFFFF"/>
            <w:vAlign w:val="center"/>
          </w:tcPr>
          <w:p w14:paraId="3C6A520A" w14:textId="77777777" w:rsidR="00997065" w:rsidRDefault="00497D67">
            <w:pPr>
              <w:spacing w:before="20" w:after="20"/>
            </w:pPr>
            <w:r>
              <w:rPr>
                <w:sz w:val="24"/>
              </w:rPr>
              <w:t>docs/TECHNICAL_DOC.md</w:t>
            </w:r>
          </w:p>
        </w:tc>
        <w:tc>
          <w:tcPr>
            <w:tcW w:w="4997" w:type="dxa"/>
            <w:tcBorders>
              <w:top w:val="single" w:sz="5" w:space="0" w:color="D7E4DD"/>
              <w:left w:val="single" w:sz="5" w:space="0" w:color="D7E4DD"/>
              <w:bottom w:val="single" w:sz="5" w:space="0" w:color="D7E4DD"/>
              <w:right w:val="single" w:sz="5" w:space="0" w:color="D7E4DD"/>
            </w:tcBorders>
            <w:shd w:val="clear" w:color="auto" w:fill="FFFFFF"/>
            <w:vAlign w:val="center"/>
          </w:tcPr>
          <w:p w14:paraId="55DA2BDD" w14:textId="77777777" w:rsidR="00997065" w:rsidRDefault="00497D67">
            <w:pPr>
              <w:spacing w:before="20" w:after="20"/>
            </w:pPr>
            <w:r>
              <w:rPr>
                <w:sz w:val="24"/>
              </w:rPr>
              <w:t>Mermaid architecture, data flow, Lab and Copilot sequences, action state machine, formulas</w:t>
            </w:r>
          </w:p>
        </w:tc>
      </w:tr>
      <w:tr w:rsidR="00997065" w14:paraId="65AF2CCF" w14:textId="77777777">
        <w:trPr>
          <w:jc w:val="center"/>
        </w:trPr>
        <w:tc>
          <w:tcPr>
            <w:tcW w:w="4997" w:type="dxa"/>
            <w:tcBorders>
              <w:top w:val="single" w:sz="5" w:space="0" w:color="D7E4DD"/>
              <w:left w:val="single" w:sz="5" w:space="0" w:color="D7E4DD"/>
              <w:bottom w:val="single" w:sz="5" w:space="0" w:color="D7E4DD"/>
              <w:right w:val="single" w:sz="5" w:space="0" w:color="D7E4DD"/>
            </w:tcBorders>
            <w:shd w:val="clear" w:color="auto" w:fill="F4F8F5"/>
            <w:vAlign w:val="center"/>
          </w:tcPr>
          <w:p w14:paraId="5D600FA1" w14:textId="77777777" w:rsidR="00997065" w:rsidRDefault="00497D67">
            <w:pPr>
              <w:spacing w:before="20" w:after="20"/>
            </w:pPr>
            <w:r>
              <w:rPr>
                <w:sz w:val="24"/>
              </w:rPr>
              <w:t>docs/BRIEF.md and docs/DECISIONS.md</w:t>
            </w:r>
          </w:p>
        </w:tc>
        <w:tc>
          <w:tcPr>
            <w:tcW w:w="4997" w:type="dxa"/>
            <w:tcBorders>
              <w:top w:val="single" w:sz="5" w:space="0" w:color="D7E4DD"/>
              <w:left w:val="single" w:sz="5" w:space="0" w:color="D7E4DD"/>
              <w:bottom w:val="single" w:sz="5" w:space="0" w:color="D7E4DD"/>
              <w:right w:val="single" w:sz="5" w:space="0" w:color="D7E4DD"/>
            </w:tcBorders>
            <w:shd w:val="clear" w:color="auto" w:fill="F4F8F5"/>
            <w:vAlign w:val="center"/>
          </w:tcPr>
          <w:p w14:paraId="49448BAC" w14:textId="77777777" w:rsidR="00997065" w:rsidRDefault="00497D67">
            <w:pPr>
              <w:spacing w:before="20" w:after="20"/>
            </w:pPr>
            <w:r>
              <w:rPr>
                <w:sz w:val="24"/>
              </w:rPr>
              <w:t>Requirements, product scope, defaults, assumptions and equations</w:t>
            </w:r>
          </w:p>
        </w:tc>
      </w:tr>
      <w:tr w:rsidR="00997065" w14:paraId="2A2314B9" w14:textId="77777777">
        <w:trPr>
          <w:jc w:val="center"/>
        </w:trPr>
        <w:tc>
          <w:tcPr>
            <w:tcW w:w="4997" w:type="dxa"/>
            <w:tcBorders>
              <w:top w:val="single" w:sz="5" w:space="0" w:color="D7E4DD"/>
              <w:left w:val="single" w:sz="5" w:space="0" w:color="D7E4DD"/>
              <w:bottom w:val="single" w:sz="5" w:space="0" w:color="D7E4DD"/>
              <w:right w:val="single" w:sz="5" w:space="0" w:color="D7E4DD"/>
            </w:tcBorders>
            <w:shd w:val="clear" w:color="auto" w:fill="FFFFFF"/>
            <w:vAlign w:val="center"/>
          </w:tcPr>
          <w:p w14:paraId="0C56ED8D" w14:textId="77777777" w:rsidR="00997065" w:rsidRDefault="00497D67">
            <w:pPr>
              <w:spacing w:before="20" w:after="20"/>
            </w:pPr>
            <w:r>
              <w:rPr>
                <w:sz w:val="24"/>
              </w:rPr>
              <w:t>docs/SECURITY_SELF_ASSESSMENT.md and docs/SECURITY.md</w:t>
            </w:r>
          </w:p>
        </w:tc>
        <w:tc>
          <w:tcPr>
            <w:tcW w:w="4997" w:type="dxa"/>
            <w:tcBorders>
              <w:top w:val="single" w:sz="5" w:space="0" w:color="D7E4DD"/>
              <w:left w:val="single" w:sz="5" w:space="0" w:color="D7E4DD"/>
              <w:bottom w:val="single" w:sz="5" w:space="0" w:color="D7E4DD"/>
              <w:right w:val="single" w:sz="5" w:space="0" w:color="D7E4DD"/>
            </w:tcBorders>
            <w:shd w:val="clear" w:color="auto" w:fill="FFFFFF"/>
            <w:vAlign w:val="center"/>
          </w:tcPr>
          <w:p w14:paraId="7DE3E05C" w14:textId="77777777" w:rsidR="00997065" w:rsidRDefault="00497D67">
            <w:pPr>
              <w:spacing w:before="20" w:after="20"/>
            </w:pPr>
            <w:r>
              <w:rPr>
                <w:sz w:val="24"/>
              </w:rPr>
              <w:t>Permission tiers, roles, STRIDE controls, OWASP risk mapping and known gaps</w:t>
            </w:r>
          </w:p>
        </w:tc>
      </w:tr>
      <w:tr w:rsidR="00997065" w14:paraId="5816A327" w14:textId="77777777">
        <w:trPr>
          <w:jc w:val="center"/>
        </w:trPr>
        <w:tc>
          <w:tcPr>
            <w:tcW w:w="4997" w:type="dxa"/>
            <w:tcBorders>
              <w:top w:val="single" w:sz="5" w:space="0" w:color="D7E4DD"/>
              <w:left w:val="single" w:sz="5" w:space="0" w:color="D7E4DD"/>
              <w:bottom w:val="single" w:sz="5" w:space="0" w:color="D7E4DD"/>
              <w:right w:val="single" w:sz="5" w:space="0" w:color="D7E4DD"/>
            </w:tcBorders>
            <w:shd w:val="clear" w:color="auto" w:fill="F4F8F5"/>
            <w:vAlign w:val="center"/>
          </w:tcPr>
          <w:p w14:paraId="1EDEB4E2" w14:textId="77777777" w:rsidR="00997065" w:rsidRDefault="00497D67">
            <w:pPr>
              <w:spacing w:before="20" w:after="20"/>
            </w:pPr>
            <w:r>
              <w:rPr>
                <w:sz w:val="24"/>
              </w:rPr>
              <w:t>evidence/backtest_results.md / .csv</w:t>
            </w:r>
          </w:p>
        </w:tc>
        <w:tc>
          <w:tcPr>
            <w:tcW w:w="4997" w:type="dxa"/>
            <w:tcBorders>
              <w:top w:val="single" w:sz="5" w:space="0" w:color="D7E4DD"/>
              <w:left w:val="single" w:sz="5" w:space="0" w:color="D7E4DD"/>
              <w:bottom w:val="single" w:sz="5" w:space="0" w:color="D7E4DD"/>
              <w:right w:val="single" w:sz="5" w:space="0" w:color="D7E4DD"/>
            </w:tcBorders>
            <w:shd w:val="clear" w:color="auto" w:fill="F4F8F5"/>
            <w:vAlign w:val="center"/>
          </w:tcPr>
          <w:p w14:paraId="60CDF401" w14:textId="77777777" w:rsidR="00997065" w:rsidRDefault="00497D67">
            <w:pPr>
              <w:spacing w:before="20" w:after="20"/>
            </w:pPr>
            <w:r>
              <w:rPr>
                <w:sz w:val="24"/>
              </w:rPr>
              <w:t>Holdout method and per-case forecast error</w:t>
            </w:r>
          </w:p>
        </w:tc>
      </w:tr>
      <w:tr w:rsidR="00997065" w14:paraId="5796ADDA" w14:textId="77777777">
        <w:trPr>
          <w:jc w:val="center"/>
        </w:trPr>
        <w:tc>
          <w:tcPr>
            <w:tcW w:w="4997" w:type="dxa"/>
            <w:tcBorders>
              <w:top w:val="single" w:sz="5" w:space="0" w:color="D7E4DD"/>
              <w:left w:val="single" w:sz="5" w:space="0" w:color="D7E4DD"/>
              <w:bottom w:val="single" w:sz="5" w:space="0" w:color="D7E4DD"/>
              <w:right w:val="single" w:sz="5" w:space="0" w:color="D7E4DD"/>
            </w:tcBorders>
            <w:shd w:val="clear" w:color="auto" w:fill="FFFFFF"/>
            <w:vAlign w:val="center"/>
          </w:tcPr>
          <w:p w14:paraId="777DF25F" w14:textId="77777777" w:rsidR="00997065" w:rsidRDefault="00497D67">
            <w:pPr>
              <w:spacing w:before="20" w:after="20"/>
            </w:pPr>
            <w:r>
              <w:rPr>
                <w:sz w:val="24"/>
              </w:rPr>
              <w:t>evidence/decision_quality.json</w:t>
            </w:r>
          </w:p>
        </w:tc>
        <w:tc>
          <w:tcPr>
            <w:tcW w:w="4997" w:type="dxa"/>
            <w:tcBorders>
              <w:top w:val="single" w:sz="5" w:space="0" w:color="D7E4DD"/>
              <w:left w:val="single" w:sz="5" w:space="0" w:color="D7E4DD"/>
              <w:bottom w:val="single" w:sz="5" w:space="0" w:color="D7E4DD"/>
              <w:right w:val="single" w:sz="5" w:space="0" w:color="D7E4DD"/>
            </w:tcBorders>
            <w:shd w:val="clear" w:color="auto" w:fill="FFFFFF"/>
            <w:vAlign w:val="center"/>
          </w:tcPr>
          <w:p w14:paraId="35C8133C" w14:textId="77777777" w:rsidR="00997065" w:rsidRDefault="00497D67">
            <w:pPr>
              <w:spacing w:before="20" w:after="20"/>
            </w:pPr>
            <w:r>
              <w:rPr>
                <w:sz w:val="24"/>
              </w:rPr>
              <w:t>Selected plans, balances, reserve comparisons and simulated breach probabilities</w:t>
            </w:r>
          </w:p>
        </w:tc>
      </w:tr>
      <w:tr w:rsidR="00997065" w14:paraId="32A11F5D" w14:textId="77777777">
        <w:trPr>
          <w:jc w:val="center"/>
        </w:trPr>
        <w:tc>
          <w:tcPr>
            <w:tcW w:w="4997" w:type="dxa"/>
            <w:tcBorders>
              <w:top w:val="single" w:sz="5" w:space="0" w:color="D7E4DD"/>
              <w:left w:val="single" w:sz="5" w:space="0" w:color="D7E4DD"/>
              <w:bottom w:val="single" w:sz="5" w:space="0" w:color="D7E4DD"/>
              <w:right w:val="single" w:sz="5" w:space="0" w:color="D7E4DD"/>
            </w:tcBorders>
            <w:shd w:val="clear" w:color="auto" w:fill="F4F8F5"/>
            <w:vAlign w:val="center"/>
          </w:tcPr>
          <w:p w14:paraId="4A9861DB" w14:textId="77777777" w:rsidR="00997065" w:rsidRDefault="00497D67">
            <w:pPr>
              <w:spacing w:before="20" w:after="20"/>
            </w:pPr>
            <w:r>
              <w:rPr>
                <w:sz w:val="24"/>
              </w:rPr>
              <w:t>evidence/task_suite_results.md and evidence/security_eval.md</w:t>
            </w:r>
          </w:p>
        </w:tc>
        <w:tc>
          <w:tcPr>
            <w:tcW w:w="4997" w:type="dxa"/>
            <w:tcBorders>
              <w:top w:val="single" w:sz="5" w:space="0" w:color="D7E4DD"/>
              <w:left w:val="single" w:sz="5" w:space="0" w:color="D7E4DD"/>
              <w:bottom w:val="single" w:sz="5" w:space="0" w:color="D7E4DD"/>
              <w:right w:val="single" w:sz="5" w:space="0" w:color="D7E4DD"/>
            </w:tcBorders>
            <w:shd w:val="clear" w:color="auto" w:fill="F4F8F5"/>
            <w:vAlign w:val="center"/>
          </w:tcPr>
          <w:p w14:paraId="52EEEA58" w14:textId="77777777" w:rsidR="00997065" w:rsidRDefault="00497D67">
            <w:pPr>
              <w:spacing w:before="20" w:after="20"/>
            </w:pPr>
            <w:r>
              <w:rPr>
                <w:sz w:val="24"/>
              </w:rPr>
              <w:t>Scripted workflows, role/action decisions, injection masking and tamper checks</w:t>
            </w:r>
          </w:p>
        </w:tc>
      </w:tr>
      <w:tr w:rsidR="00997065" w14:paraId="70F6F390" w14:textId="77777777">
        <w:trPr>
          <w:jc w:val="center"/>
        </w:trPr>
        <w:tc>
          <w:tcPr>
            <w:tcW w:w="4997" w:type="dxa"/>
            <w:tcBorders>
              <w:top w:val="single" w:sz="5" w:space="0" w:color="D7E4DD"/>
              <w:left w:val="single" w:sz="5" w:space="0" w:color="D7E4DD"/>
              <w:bottom w:val="single" w:sz="5" w:space="0" w:color="D7E4DD"/>
              <w:right w:val="single" w:sz="5" w:space="0" w:color="D7E4DD"/>
            </w:tcBorders>
            <w:shd w:val="clear" w:color="auto" w:fill="FFFFFF"/>
            <w:vAlign w:val="center"/>
          </w:tcPr>
          <w:p w14:paraId="6A3D141D" w14:textId="77777777" w:rsidR="00997065" w:rsidRDefault="00497D67">
            <w:pPr>
              <w:spacing w:before="20" w:after="20"/>
            </w:pPr>
            <w:r>
              <w:rPr>
                <w:sz w:val="24"/>
              </w:rPr>
              <w:t>docs/EXECUTION_EVIDENCE.md</w:t>
            </w:r>
          </w:p>
        </w:tc>
        <w:tc>
          <w:tcPr>
            <w:tcW w:w="4997" w:type="dxa"/>
            <w:tcBorders>
              <w:top w:val="single" w:sz="5" w:space="0" w:color="D7E4DD"/>
              <w:left w:val="single" w:sz="5" w:space="0" w:color="D7E4DD"/>
              <w:bottom w:val="single" w:sz="5" w:space="0" w:color="D7E4DD"/>
              <w:right w:val="single" w:sz="5" w:space="0" w:color="D7E4DD"/>
            </w:tcBorders>
            <w:shd w:val="clear" w:color="auto" w:fill="FFFFFF"/>
            <w:vAlign w:val="center"/>
          </w:tcPr>
          <w:p w14:paraId="44399ADD" w14:textId="77777777" w:rsidR="00997065" w:rsidRDefault="00497D67">
            <w:pPr>
              <w:spacing w:before="20" w:after="20"/>
            </w:pPr>
            <w:r>
              <w:rPr>
                <w:sz w:val="24"/>
              </w:rPr>
              <w:t>Artifact-by-artifact evidence status and remaining screenshot requests</w:t>
            </w:r>
          </w:p>
        </w:tc>
      </w:tr>
      <w:tr w:rsidR="00997065" w14:paraId="09D847C7" w14:textId="77777777">
        <w:trPr>
          <w:jc w:val="center"/>
        </w:trPr>
        <w:tc>
          <w:tcPr>
            <w:tcW w:w="4997" w:type="dxa"/>
            <w:tcBorders>
              <w:top w:val="single" w:sz="5" w:space="0" w:color="D7E4DD"/>
              <w:left w:val="single" w:sz="5" w:space="0" w:color="D7E4DD"/>
              <w:bottom w:val="single" w:sz="5" w:space="0" w:color="D7E4DD"/>
              <w:right w:val="single" w:sz="5" w:space="0" w:color="D7E4DD"/>
            </w:tcBorders>
            <w:shd w:val="clear" w:color="auto" w:fill="F4F8F5"/>
            <w:vAlign w:val="center"/>
          </w:tcPr>
          <w:p w14:paraId="4CEACF00" w14:textId="77777777" w:rsidR="00997065" w:rsidRDefault="00497D67">
            <w:pPr>
              <w:spacing w:before="20" w:after="20"/>
            </w:pPr>
            <w:r>
              <w:rPr>
                <w:sz w:val="24"/>
              </w:rPr>
              <w:t>docs/DECK_OUTLINE.md, docs/DEMO_SCRIPT.md, demo/</w:t>
            </w:r>
          </w:p>
        </w:tc>
        <w:tc>
          <w:tcPr>
            <w:tcW w:w="4997" w:type="dxa"/>
            <w:tcBorders>
              <w:top w:val="single" w:sz="5" w:space="0" w:color="D7E4DD"/>
              <w:left w:val="single" w:sz="5" w:space="0" w:color="D7E4DD"/>
              <w:bottom w:val="single" w:sz="5" w:space="0" w:color="D7E4DD"/>
              <w:right w:val="single" w:sz="5" w:space="0" w:color="D7E4DD"/>
            </w:tcBorders>
            <w:shd w:val="clear" w:color="auto" w:fill="F4F8F5"/>
            <w:vAlign w:val="center"/>
          </w:tcPr>
          <w:p w14:paraId="67141E38" w14:textId="77777777" w:rsidR="00997065" w:rsidRDefault="00497D67">
            <w:pPr>
              <w:spacing w:before="20" w:after="20"/>
            </w:pPr>
            <w:r>
              <w:rPr>
                <w:sz w:val="24"/>
              </w:rPr>
              <w:t>Timed presentation, demo path, expected fixtures and judging questions</w:t>
            </w:r>
          </w:p>
        </w:tc>
      </w:tr>
    </w:tbl>
    <w:p w14:paraId="49465351" w14:textId="77777777" w:rsidR="00997065" w:rsidRDefault="00497D67">
      <w:pPr>
        <w:spacing w:after="160"/>
        <w:jc w:val="center"/>
      </w:pPr>
      <w:r>
        <w:rPr>
          <w:i/>
          <w:color w:val="596963"/>
          <w:sz w:val="24"/>
        </w:rPr>
        <w:t>Table 17. Project materials referenced while preparing this technical report.</w:t>
      </w:r>
    </w:p>
    <w:p w14:paraId="29F722D8" w14:textId="77777777" w:rsidR="00997065" w:rsidRDefault="00497D67">
      <w:pPr>
        <w:pStyle w:val="Heading1"/>
      </w:pPr>
      <w:r>
        <w:rPr>
          <w:rFonts w:ascii="Times New Roman" w:eastAsia="Times New Roman" w:hAnsi="Times New Roman"/>
          <w:sz w:val="24"/>
        </w:rPr>
        <w:t>Appendix A. Threat model and trust boundaries</w:t>
      </w:r>
    </w:p>
    <w:p w14:paraId="090078D6" w14:textId="77777777" w:rsidR="00997065" w:rsidRDefault="00497D67">
      <w:pPr>
        <w:spacing w:after="100" w:line="269" w:lineRule="auto"/>
      </w:pPr>
      <w:r>
        <w:rPr>
          <w:sz w:val="24"/>
        </w:rPr>
        <w:t>Assets: synthetic business records, local credentials, session identity, scenario assumptions, drafts, audit events, optional LLM credentials, and generated outputs. Trust boundaries: uploaded files to parser; UI to service authorization; service to local SQLite/JSONL; and application to optional external LLM endpoint. Adversarial inputs include malformed spreadsheets, formula-like fields, forged UI state, oversized requests, malicious customer text, and unsupported/copied numeric claims. Primary controls and known limitations are summarized in §7 and docs/SECURITY_SELF_ASSESSMENT.md.</w:t>
      </w:r>
    </w:p>
    <w:p w14:paraId="72285E57" w14:textId="77777777" w:rsidR="00997065" w:rsidRDefault="00497D67">
      <w:pPr>
        <w:pStyle w:val="Heading1"/>
      </w:pPr>
      <w:r>
        <w:rPr>
          <w:rFonts w:ascii="Times New Roman" w:eastAsia="Times New Roman" w:hAnsi="Times New Roman"/>
          <w:sz w:val="24"/>
        </w:rPr>
        <w:lastRenderedPageBreak/>
        <w:t>Appendix B. Permission matrix</w:t>
      </w:r>
    </w:p>
    <w:p w14:paraId="11B81D14" w14:textId="77777777" w:rsidR="00997065" w:rsidRDefault="00497D67">
      <w:pPr>
        <w:spacing w:after="100" w:line="269" w:lineRule="auto"/>
      </w:pPr>
      <w:r>
        <w:rPr>
          <w:sz w:val="24"/>
        </w:rPr>
        <w:t>The concise action matrix appears in Table 4 (§7.1). The implementation source of truth is services/permissions.py, including its action registry. This appendix does not replace service-layer authorization checks.</w:t>
      </w:r>
    </w:p>
    <w:p w14:paraId="5F404A47" w14:textId="77777777" w:rsidR="00997065" w:rsidRDefault="00497D67">
      <w:pPr>
        <w:pStyle w:val="Heading1"/>
      </w:pPr>
      <w:r>
        <w:rPr>
          <w:rFonts w:ascii="Times New Roman" w:eastAsia="Times New Roman" w:hAnsi="Times New Roman"/>
          <w:sz w:val="24"/>
        </w:rPr>
        <w:t>Appendix C. Reproduction commands</w:t>
      </w:r>
    </w:p>
    <w:p w14:paraId="406E609B" w14:textId="77777777" w:rsidR="00997065" w:rsidRDefault="00497D67">
      <w:pPr>
        <w:spacing w:after="100" w:line="269" w:lineRule="auto"/>
      </w:pPr>
      <w:r>
        <w:rPr>
          <w:sz w:val="24"/>
        </w:rPr>
        <w:t>Run from the repository root with Python 3.11 and the pinned project environment. These commands reproduce the application and documented quality checks; current output may differ if code or dependencies change.</w:t>
      </w:r>
    </w:p>
    <w:p w14:paraId="657CF9D7" w14:textId="77777777" w:rsidR="00997065" w:rsidRDefault="00497D67">
      <w:pPr>
        <w:spacing w:after="20"/>
        <w:ind w:left="360"/>
      </w:pPr>
      <w:r>
        <w:rPr>
          <w:color w:val="166B52"/>
          <w:sz w:val="24"/>
        </w:rPr>
        <w:t>python run.py setup</w:t>
      </w:r>
    </w:p>
    <w:p w14:paraId="06899DA7" w14:textId="77777777" w:rsidR="00997065" w:rsidRDefault="00497D67">
      <w:pPr>
        <w:spacing w:after="20"/>
        <w:ind w:left="360"/>
      </w:pPr>
      <w:r>
        <w:rPr>
          <w:color w:val="166B52"/>
          <w:sz w:val="24"/>
        </w:rPr>
        <w:t>python run.py demo</w:t>
      </w:r>
    </w:p>
    <w:p w14:paraId="6871BC66" w14:textId="77777777" w:rsidR="00997065" w:rsidRDefault="00497D67">
      <w:pPr>
        <w:spacing w:after="20"/>
        <w:ind w:left="360"/>
      </w:pPr>
      <w:r>
        <w:rPr>
          <w:color w:val="166B52"/>
          <w:sz w:val="24"/>
        </w:rPr>
        <w:t>python run.py test</w:t>
      </w:r>
    </w:p>
    <w:p w14:paraId="6E557FC0" w14:textId="77777777" w:rsidR="00997065" w:rsidRDefault="00497D67">
      <w:pPr>
        <w:spacing w:after="20"/>
        <w:ind w:left="360"/>
      </w:pPr>
      <w:r>
        <w:rPr>
          <w:color w:val="166B52"/>
          <w:sz w:val="24"/>
        </w:rPr>
        <w:t>python run.py eval</w:t>
      </w:r>
    </w:p>
    <w:p w14:paraId="6112DBC3" w14:textId="77777777" w:rsidR="00997065" w:rsidRDefault="00497D67">
      <w:pPr>
        <w:spacing w:after="20"/>
        <w:ind w:left="360"/>
      </w:pPr>
      <w:r>
        <w:rPr>
          <w:color w:val="166B52"/>
          <w:sz w:val="24"/>
        </w:rPr>
        <w:t>python run.py check</w:t>
      </w:r>
    </w:p>
    <w:p w14:paraId="2B85C126" w14:textId="77777777" w:rsidR="00997065" w:rsidRDefault="00497D67">
      <w:pPr>
        <w:spacing w:after="20"/>
        <w:ind w:left="360"/>
      </w:pPr>
      <w:r>
        <w:rPr>
          <w:color w:val="166B52"/>
          <w:sz w:val="24"/>
        </w:rPr>
        <w:t>python run.py report</w:t>
      </w:r>
    </w:p>
    <w:p w14:paraId="454FAB91" w14:textId="77777777" w:rsidR="00997065" w:rsidRDefault="00497D67">
      <w:pPr>
        <w:spacing w:after="20"/>
        <w:ind w:left="360"/>
      </w:pPr>
      <w:r>
        <w:rPr>
          <w:color w:val="166B52"/>
          <w:sz w:val="24"/>
        </w:rPr>
        <w:t>python scripts/run_tasks.py</w:t>
      </w:r>
    </w:p>
    <w:p w14:paraId="1C75AE92" w14:textId="77777777" w:rsidR="00997065" w:rsidRDefault="00497D67">
      <w:pPr>
        <w:spacing w:after="20"/>
        <w:ind w:left="360"/>
      </w:pPr>
      <w:r>
        <w:rPr>
          <w:color w:val="166B52"/>
          <w:sz w:val="24"/>
        </w:rPr>
        <w:t>python scripts/check_secrets.py</w:t>
      </w:r>
    </w:p>
    <w:p w14:paraId="69B6E929" w14:textId="77777777" w:rsidR="00997065" w:rsidRDefault="00497D67">
      <w:pPr>
        <w:spacing w:after="100" w:line="269" w:lineRule="auto"/>
      </w:pPr>
      <w:r>
        <w:rPr>
          <w:sz w:val="24"/>
        </w:rPr>
        <w:t>Use synthetic demo accounts only. The checked-in evidence files identify the historical runs described in §9; commands do not imply that those results were freshly rerun during report generation.</w:t>
      </w:r>
    </w:p>
    <w:p w14:paraId="291BA6BB" w14:textId="77777777" w:rsidR="00997065" w:rsidRDefault="00497D67">
      <w:pPr>
        <w:pStyle w:val="Heading1"/>
      </w:pPr>
      <w:r>
        <w:rPr>
          <w:rFonts w:ascii="Times New Roman" w:eastAsia="Times New Roman" w:hAnsi="Times New Roman"/>
          <w:sz w:val="24"/>
        </w:rPr>
        <w:t>Appendix D. Copilot receipt example</w:t>
      </w:r>
    </w:p>
    <w:p w14:paraId="24D82FCC" w14:textId="77777777" w:rsidR="00997065" w:rsidRDefault="00497D67">
      <w:pPr>
        <w:spacing w:after="100" w:line="269" w:lineRule="auto"/>
      </w:pPr>
      <w:r>
        <w:rPr>
          <w:sz w:val="24"/>
        </w:rPr>
        <w:t>The receipt is a structured record, not an independent proof that a business fact is true. A representative schema (field names as implemented) is shown below; values are intentionally schematic and should not be presented as a captured production answer.</w:t>
      </w:r>
    </w:p>
    <w:tbl>
      <w:tblPr>
        <w:tblStyle w:val="TableGrid"/>
        <w:tblW w:w="0" w:type="auto"/>
        <w:jc w:val="center"/>
        <w:tblLook w:val="04A0" w:firstRow="1" w:lastRow="0" w:firstColumn="1" w:lastColumn="0" w:noHBand="0" w:noVBand="1"/>
      </w:tblPr>
      <w:tblGrid>
        <w:gridCol w:w="3331"/>
        <w:gridCol w:w="3331"/>
        <w:gridCol w:w="3331"/>
      </w:tblGrid>
      <w:tr w:rsidR="00997065" w14:paraId="0DF30E50" w14:textId="77777777">
        <w:trPr>
          <w:tblHeader/>
          <w:jc w:val="center"/>
        </w:trPr>
        <w:tc>
          <w:tcPr>
            <w:tcW w:w="3331" w:type="dxa"/>
            <w:tcBorders>
              <w:top w:val="single" w:sz="6" w:space="0" w:color="166B52"/>
              <w:left w:val="single" w:sz="6" w:space="0" w:color="166B52"/>
              <w:bottom w:val="single" w:sz="6" w:space="0" w:color="166B52"/>
              <w:right w:val="single" w:sz="6" w:space="0" w:color="166B52"/>
            </w:tcBorders>
            <w:shd w:val="clear" w:color="auto" w:fill="166B52"/>
            <w:vAlign w:val="center"/>
          </w:tcPr>
          <w:p w14:paraId="14AE731D" w14:textId="77777777" w:rsidR="00997065" w:rsidRDefault="00497D67">
            <w:pPr>
              <w:spacing w:before="20" w:after="20"/>
            </w:pPr>
            <w:r>
              <w:rPr>
                <w:b/>
                <w:color w:val="FFFFFF"/>
                <w:sz w:val="24"/>
              </w:rPr>
              <w:t>Field</w:t>
            </w:r>
          </w:p>
        </w:tc>
        <w:tc>
          <w:tcPr>
            <w:tcW w:w="3331" w:type="dxa"/>
            <w:tcBorders>
              <w:top w:val="single" w:sz="6" w:space="0" w:color="166B52"/>
              <w:left w:val="single" w:sz="6" w:space="0" w:color="166B52"/>
              <w:bottom w:val="single" w:sz="6" w:space="0" w:color="166B52"/>
              <w:right w:val="single" w:sz="6" w:space="0" w:color="166B52"/>
            </w:tcBorders>
            <w:shd w:val="clear" w:color="auto" w:fill="166B52"/>
            <w:vAlign w:val="center"/>
          </w:tcPr>
          <w:p w14:paraId="0382D663" w14:textId="77777777" w:rsidR="00997065" w:rsidRDefault="00497D67">
            <w:pPr>
              <w:spacing w:before="20" w:after="20"/>
            </w:pPr>
            <w:r>
              <w:rPr>
                <w:b/>
                <w:color w:val="FFFFFF"/>
                <w:sz w:val="24"/>
              </w:rPr>
              <w:t>Representative value</w:t>
            </w:r>
          </w:p>
        </w:tc>
        <w:tc>
          <w:tcPr>
            <w:tcW w:w="3331" w:type="dxa"/>
            <w:tcBorders>
              <w:top w:val="single" w:sz="6" w:space="0" w:color="166B52"/>
              <w:left w:val="single" w:sz="6" w:space="0" w:color="166B52"/>
              <w:bottom w:val="single" w:sz="6" w:space="0" w:color="166B52"/>
              <w:right w:val="single" w:sz="6" w:space="0" w:color="166B52"/>
            </w:tcBorders>
            <w:shd w:val="clear" w:color="auto" w:fill="166B52"/>
            <w:vAlign w:val="center"/>
          </w:tcPr>
          <w:p w14:paraId="4D6745F1" w14:textId="77777777" w:rsidR="00997065" w:rsidRDefault="00497D67">
            <w:pPr>
              <w:spacing w:before="20" w:after="20"/>
            </w:pPr>
            <w:r>
              <w:rPr>
                <w:b/>
                <w:color w:val="FFFFFF"/>
                <w:sz w:val="24"/>
              </w:rPr>
              <w:t>Meaning</w:t>
            </w:r>
          </w:p>
        </w:tc>
      </w:tr>
      <w:tr w:rsidR="00997065" w14:paraId="7640DA90" w14:textId="77777777">
        <w:trPr>
          <w:jc w:val="center"/>
        </w:trPr>
        <w:tc>
          <w:tcPr>
            <w:tcW w:w="3331" w:type="dxa"/>
            <w:tcBorders>
              <w:top w:val="single" w:sz="6" w:space="0" w:color="D7E4DD"/>
              <w:left w:val="single" w:sz="6" w:space="0" w:color="D7E4DD"/>
              <w:bottom w:val="single" w:sz="6" w:space="0" w:color="D7E4DD"/>
              <w:right w:val="single" w:sz="6" w:space="0" w:color="D7E4DD"/>
            </w:tcBorders>
            <w:shd w:val="clear" w:color="auto" w:fill="F4F8F5"/>
            <w:vAlign w:val="center"/>
          </w:tcPr>
          <w:p w14:paraId="4078CBC9" w14:textId="77777777" w:rsidR="00997065" w:rsidRDefault="00497D67">
            <w:pPr>
              <w:spacing w:before="20" w:after="20"/>
            </w:pPr>
            <w:r>
              <w:rPr>
                <w:sz w:val="24"/>
              </w:rPr>
              <w:t>mode</w:t>
            </w:r>
          </w:p>
        </w:tc>
        <w:tc>
          <w:tcPr>
            <w:tcW w:w="3331" w:type="dxa"/>
            <w:tcBorders>
              <w:top w:val="single" w:sz="6" w:space="0" w:color="D7E4DD"/>
              <w:left w:val="single" w:sz="6" w:space="0" w:color="D7E4DD"/>
              <w:bottom w:val="single" w:sz="6" w:space="0" w:color="D7E4DD"/>
              <w:right w:val="single" w:sz="6" w:space="0" w:color="D7E4DD"/>
            </w:tcBorders>
            <w:shd w:val="clear" w:color="auto" w:fill="F4F8F5"/>
            <w:vAlign w:val="center"/>
          </w:tcPr>
          <w:p w14:paraId="752EA4C0" w14:textId="77777777" w:rsidR="00997065" w:rsidRDefault="00497D67">
            <w:pPr>
              <w:spacing w:before="20" w:after="20"/>
            </w:pPr>
            <w:r>
              <w:rPr>
                <w:sz w:val="24"/>
              </w:rPr>
              <w:t>offline</w:t>
            </w:r>
          </w:p>
        </w:tc>
        <w:tc>
          <w:tcPr>
            <w:tcW w:w="3331" w:type="dxa"/>
            <w:tcBorders>
              <w:top w:val="single" w:sz="6" w:space="0" w:color="D7E4DD"/>
              <w:left w:val="single" w:sz="6" w:space="0" w:color="D7E4DD"/>
              <w:bottom w:val="single" w:sz="6" w:space="0" w:color="D7E4DD"/>
              <w:right w:val="single" w:sz="6" w:space="0" w:color="D7E4DD"/>
            </w:tcBorders>
            <w:shd w:val="clear" w:color="auto" w:fill="F4F8F5"/>
            <w:vAlign w:val="center"/>
          </w:tcPr>
          <w:p w14:paraId="19734593" w14:textId="77777777" w:rsidR="00997065" w:rsidRDefault="00497D67">
            <w:pPr>
              <w:spacing w:before="20" w:after="20"/>
            </w:pPr>
            <w:r>
              <w:rPr>
                <w:sz w:val="24"/>
              </w:rPr>
              <w:t>Deterministic default path</w:t>
            </w:r>
          </w:p>
        </w:tc>
      </w:tr>
      <w:tr w:rsidR="00997065" w14:paraId="319400A5" w14:textId="77777777">
        <w:trPr>
          <w:jc w:val="center"/>
        </w:trPr>
        <w:tc>
          <w:tcPr>
            <w:tcW w:w="3331" w:type="dxa"/>
            <w:tcBorders>
              <w:top w:val="single" w:sz="6" w:space="0" w:color="D7E4DD"/>
              <w:left w:val="single" w:sz="6" w:space="0" w:color="D7E4DD"/>
              <w:bottom w:val="single" w:sz="6" w:space="0" w:color="D7E4DD"/>
              <w:right w:val="single" w:sz="6" w:space="0" w:color="D7E4DD"/>
            </w:tcBorders>
            <w:shd w:val="clear" w:color="auto" w:fill="FFFFFF"/>
            <w:vAlign w:val="center"/>
          </w:tcPr>
          <w:p w14:paraId="310DAF10" w14:textId="77777777" w:rsidR="00997065" w:rsidRDefault="00497D67">
            <w:pPr>
              <w:spacing w:before="20" w:after="20"/>
            </w:pPr>
            <w:r>
              <w:rPr>
                <w:sz w:val="24"/>
              </w:rPr>
              <w:t>evidence_ids</w:t>
            </w:r>
          </w:p>
        </w:tc>
        <w:tc>
          <w:tcPr>
            <w:tcW w:w="3331" w:type="dxa"/>
            <w:tcBorders>
              <w:top w:val="single" w:sz="6" w:space="0" w:color="D7E4DD"/>
              <w:left w:val="single" w:sz="6" w:space="0" w:color="D7E4DD"/>
              <w:bottom w:val="single" w:sz="6" w:space="0" w:color="D7E4DD"/>
              <w:right w:val="single" w:sz="6" w:space="0" w:color="D7E4DD"/>
            </w:tcBorders>
            <w:shd w:val="clear" w:color="auto" w:fill="FFFFFF"/>
            <w:vAlign w:val="center"/>
          </w:tcPr>
          <w:p w14:paraId="7501D040" w14:textId="77777777" w:rsidR="00997065" w:rsidRDefault="00497D67">
            <w:pPr>
              <w:spacing w:before="20" w:after="20"/>
            </w:pPr>
            <w:r>
              <w:rPr>
                <w:sz w:val="24"/>
              </w:rPr>
              <w:t>[E1, E2, E4]</w:t>
            </w:r>
          </w:p>
        </w:tc>
        <w:tc>
          <w:tcPr>
            <w:tcW w:w="3331" w:type="dxa"/>
            <w:tcBorders>
              <w:top w:val="single" w:sz="6" w:space="0" w:color="D7E4DD"/>
              <w:left w:val="single" w:sz="6" w:space="0" w:color="D7E4DD"/>
              <w:bottom w:val="single" w:sz="6" w:space="0" w:color="D7E4DD"/>
              <w:right w:val="single" w:sz="6" w:space="0" w:color="D7E4DD"/>
            </w:tcBorders>
            <w:shd w:val="clear" w:color="auto" w:fill="FFFFFF"/>
            <w:vAlign w:val="center"/>
          </w:tcPr>
          <w:p w14:paraId="619F267A" w14:textId="77777777" w:rsidR="00997065" w:rsidRDefault="00497D67">
            <w:pPr>
              <w:spacing w:before="20" w:after="20"/>
            </w:pPr>
            <w:r>
              <w:rPr>
                <w:sz w:val="24"/>
              </w:rPr>
              <w:t>IDs from the computed evidence pack</w:t>
            </w:r>
          </w:p>
        </w:tc>
      </w:tr>
      <w:tr w:rsidR="00997065" w14:paraId="4394F45A" w14:textId="77777777">
        <w:trPr>
          <w:jc w:val="center"/>
        </w:trPr>
        <w:tc>
          <w:tcPr>
            <w:tcW w:w="3331" w:type="dxa"/>
            <w:tcBorders>
              <w:top w:val="single" w:sz="6" w:space="0" w:color="D7E4DD"/>
              <w:left w:val="single" w:sz="6" w:space="0" w:color="D7E4DD"/>
              <w:bottom w:val="single" w:sz="6" w:space="0" w:color="D7E4DD"/>
              <w:right w:val="single" w:sz="6" w:space="0" w:color="D7E4DD"/>
            </w:tcBorders>
            <w:shd w:val="clear" w:color="auto" w:fill="F4F8F5"/>
            <w:vAlign w:val="center"/>
          </w:tcPr>
          <w:p w14:paraId="15E98A1E" w14:textId="77777777" w:rsidR="00997065" w:rsidRDefault="00497D67">
            <w:pPr>
              <w:spacing w:before="20" w:after="20"/>
            </w:pPr>
            <w:r>
              <w:rPr>
                <w:sz w:val="24"/>
              </w:rPr>
              <w:t>masked_fields</w:t>
            </w:r>
          </w:p>
        </w:tc>
        <w:tc>
          <w:tcPr>
            <w:tcW w:w="3331" w:type="dxa"/>
            <w:tcBorders>
              <w:top w:val="single" w:sz="6" w:space="0" w:color="D7E4DD"/>
              <w:left w:val="single" w:sz="6" w:space="0" w:color="D7E4DD"/>
              <w:bottom w:val="single" w:sz="6" w:space="0" w:color="D7E4DD"/>
              <w:right w:val="single" w:sz="6" w:space="0" w:color="D7E4DD"/>
            </w:tcBorders>
            <w:shd w:val="clear" w:color="auto" w:fill="F4F8F5"/>
            <w:vAlign w:val="center"/>
          </w:tcPr>
          <w:p w14:paraId="3B646203" w14:textId="77777777" w:rsidR="00997065" w:rsidRDefault="00497D67">
            <w:pPr>
              <w:spacing w:before="20" w:after="20"/>
            </w:pPr>
            <w:r>
              <w:rPr>
                <w:sz w:val="24"/>
              </w:rPr>
              <w:t>16</w:t>
            </w:r>
          </w:p>
        </w:tc>
        <w:tc>
          <w:tcPr>
            <w:tcW w:w="3331" w:type="dxa"/>
            <w:tcBorders>
              <w:top w:val="single" w:sz="6" w:space="0" w:color="D7E4DD"/>
              <w:left w:val="single" w:sz="6" w:space="0" w:color="D7E4DD"/>
              <w:bottom w:val="single" w:sz="6" w:space="0" w:color="D7E4DD"/>
              <w:right w:val="single" w:sz="6" w:space="0" w:color="D7E4DD"/>
            </w:tcBorders>
            <w:shd w:val="clear" w:color="auto" w:fill="F4F8F5"/>
            <w:vAlign w:val="center"/>
          </w:tcPr>
          <w:p w14:paraId="1510E103" w14:textId="77777777" w:rsidR="00997065" w:rsidRDefault="00497D67">
            <w:pPr>
              <w:spacing w:before="20" w:after="20"/>
            </w:pPr>
            <w:r>
              <w:rPr>
                <w:sz w:val="24"/>
              </w:rPr>
              <w:t>Count of masked entity labels in this example only</w:t>
            </w:r>
          </w:p>
        </w:tc>
      </w:tr>
      <w:tr w:rsidR="00997065" w14:paraId="53CDE1BB" w14:textId="77777777">
        <w:trPr>
          <w:jc w:val="center"/>
        </w:trPr>
        <w:tc>
          <w:tcPr>
            <w:tcW w:w="3331" w:type="dxa"/>
            <w:tcBorders>
              <w:top w:val="single" w:sz="6" w:space="0" w:color="D7E4DD"/>
              <w:left w:val="single" w:sz="6" w:space="0" w:color="D7E4DD"/>
              <w:bottom w:val="single" w:sz="6" w:space="0" w:color="D7E4DD"/>
              <w:right w:val="single" w:sz="6" w:space="0" w:color="D7E4DD"/>
            </w:tcBorders>
            <w:shd w:val="clear" w:color="auto" w:fill="FFFFFF"/>
            <w:vAlign w:val="center"/>
          </w:tcPr>
          <w:p w14:paraId="446EE661" w14:textId="77777777" w:rsidR="00997065" w:rsidRDefault="00497D67">
            <w:pPr>
              <w:spacing w:before="20" w:after="20"/>
            </w:pPr>
            <w:r>
              <w:rPr>
                <w:sz w:val="24"/>
              </w:rPr>
              <w:t>external_call</w:t>
            </w:r>
          </w:p>
        </w:tc>
        <w:tc>
          <w:tcPr>
            <w:tcW w:w="3331" w:type="dxa"/>
            <w:tcBorders>
              <w:top w:val="single" w:sz="6" w:space="0" w:color="D7E4DD"/>
              <w:left w:val="single" w:sz="6" w:space="0" w:color="D7E4DD"/>
              <w:bottom w:val="single" w:sz="6" w:space="0" w:color="D7E4DD"/>
              <w:right w:val="single" w:sz="6" w:space="0" w:color="D7E4DD"/>
            </w:tcBorders>
            <w:shd w:val="clear" w:color="auto" w:fill="FFFFFF"/>
            <w:vAlign w:val="center"/>
          </w:tcPr>
          <w:p w14:paraId="6D88EE3A" w14:textId="77777777" w:rsidR="00997065" w:rsidRDefault="00497D67">
            <w:pPr>
              <w:spacing w:before="20" w:after="20"/>
            </w:pPr>
            <w:r>
              <w:rPr>
                <w:sz w:val="24"/>
              </w:rPr>
              <w:t>false</w:t>
            </w:r>
          </w:p>
        </w:tc>
        <w:tc>
          <w:tcPr>
            <w:tcW w:w="3331" w:type="dxa"/>
            <w:tcBorders>
              <w:top w:val="single" w:sz="6" w:space="0" w:color="D7E4DD"/>
              <w:left w:val="single" w:sz="6" w:space="0" w:color="D7E4DD"/>
              <w:bottom w:val="single" w:sz="6" w:space="0" w:color="D7E4DD"/>
              <w:right w:val="single" w:sz="6" w:space="0" w:color="D7E4DD"/>
            </w:tcBorders>
            <w:shd w:val="clear" w:color="auto" w:fill="FFFFFF"/>
            <w:vAlign w:val="center"/>
          </w:tcPr>
          <w:p w14:paraId="392822DA" w14:textId="77777777" w:rsidR="00997065" w:rsidRDefault="00497D67">
            <w:pPr>
              <w:spacing w:before="20" w:after="20"/>
            </w:pPr>
            <w:r>
              <w:rPr>
                <w:sz w:val="24"/>
              </w:rPr>
              <w:t>No provider call in offline mode</w:t>
            </w:r>
          </w:p>
        </w:tc>
      </w:tr>
      <w:tr w:rsidR="00997065" w14:paraId="0C624D55" w14:textId="77777777">
        <w:trPr>
          <w:jc w:val="center"/>
        </w:trPr>
        <w:tc>
          <w:tcPr>
            <w:tcW w:w="3331" w:type="dxa"/>
            <w:tcBorders>
              <w:top w:val="single" w:sz="6" w:space="0" w:color="D7E4DD"/>
              <w:left w:val="single" w:sz="6" w:space="0" w:color="D7E4DD"/>
              <w:bottom w:val="single" w:sz="6" w:space="0" w:color="D7E4DD"/>
              <w:right w:val="single" w:sz="6" w:space="0" w:color="D7E4DD"/>
            </w:tcBorders>
            <w:shd w:val="clear" w:color="auto" w:fill="F4F8F5"/>
            <w:vAlign w:val="center"/>
          </w:tcPr>
          <w:p w14:paraId="1C59A94A" w14:textId="77777777" w:rsidR="00997065" w:rsidRDefault="00497D67">
            <w:pPr>
              <w:spacing w:before="20" w:after="20"/>
            </w:pPr>
            <w:r>
              <w:rPr>
                <w:sz w:val="24"/>
              </w:rPr>
              <w:t>validator_result</w:t>
            </w:r>
          </w:p>
        </w:tc>
        <w:tc>
          <w:tcPr>
            <w:tcW w:w="3331" w:type="dxa"/>
            <w:tcBorders>
              <w:top w:val="single" w:sz="6" w:space="0" w:color="D7E4DD"/>
              <w:left w:val="single" w:sz="6" w:space="0" w:color="D7E4DD"/>
              <w:bottom w:val="single" w:sz="6" w:space="0" w:color="D7E4DD"/>
              <w:right w:val="single" w:sz="6" w:space="0" w:color="D7E4DD"/>
            </w:tcBorders>
            <w:shd w:val="clear" w:color="auto" w:fill="F4F8F5"/>
            <w:vAlign w:val="center"/>
          </w:tcPr>
          <w:p w14:paraId="36C03401" w14:textId="77777777" w:rsidR="00997065" w:rsidRDefault="00497D67">
            <w:pPr>
              <w:spacing w:before="20" w:after="20"/>
            </w:pPr>
            <w:r>
              <w:rPr>
                <w:sz w:val="24"/>
              </w:rPr>
              <w:t>passed</w:t>
            </w:r>
          </w:p>
        </w:tc>
        <w:tc>
          <w:tcPr>
            <w:tcW w:w="3331" w:type="dxa"/>
            <w:tcBorders>
              <w:top w:val="single" w:sz="6" w:space="0" w:color="D7E4DD"/>
              <w:left w:val="single" w:sz="6" w:space="0" w:color="D7E4DD"/>
              <w:bottom w:val="single" w:sz="6" w:space="0" w:color="D7E4DD"/>
              <w:right w:val="single" w:sz="6" w:space="0" w:color="D7E4DD"/>
            </w:tcBorders>
            <w:shd w:val="clear" w:color="auto" w:fill="F4F8F5"/>
            <w:vAlign w:val="center"/>
          </w:tcPr>
          <w:p w14:paraId="0697E614" w14:textId="77777777" w:rsidR="00997065" w:rsidRDefault="00497D67">
            <w:pPr>
              <w:spacing w:before="20" w:after="20"/>
            </w:pPr>
            <w:r>
              <w:rPr>
                <w:sz w:val="24"/>
              </w:rPr>
              <w:t>Citation and numeric checks passed</w:t>
            </w:r>
          </w:p>
        </w:tc>
      </w:tr>
    </w:tbl>
    <w:p w14:paraId="323D74F8" w14:textId="77777777" w:rsidR="00997065" w:rsidRDefault="00997065">
      <w:pPr>
        <w:spacing w:after="0"/>
      </w:pPr>
    </w:p>
    <w:p w14:paraId="7ABD25AF" w14:textId="77777777" w:rsidR="00997065" w:rsidRDefault="00497D67">
      <w:pPr>
        <w:spacing w:after="100" w:line="269" w:lineRule="auto"/>
      </w:pPr>
      <w:r>
        <w:rPr>
          <w:sz w:val="24"/>
        </w:rPr>
        <w:t>The sample masked_fields value above is illustrative, not a measured run. For a presentation capture, replace this schematic with a real local App screenshot and the receipt displayed by the application.</w:t>
      </w:r>
    </w:p>
    <w:p w14:paraId="455B9160" w14:textId="77777777" w:rsidR="00997065" w:rsidRDefault="00497D67">
      <w:pPr>
        <w:pStyle w:val="Heading1"/>
      </w:pPr>
      <w:r>
        <w:rPr>
          <w:rFonts w:ascii="Times New Roman" w:eastAsia="Times New Roman" w:hAnsi="Times New Roman"/>
          <w:sz w:val="24"/>
        </w:rPr>
        <w:t>Appendix E. Known risks and non-implemented controls</w:t>
      </w:r>
    </w:p>
    <w:tbl>
      <w:tblPr>
        <w:tblStyle w:val="TableGrid"/>
        <w:tblW w:w="0" w:type="auto"/>
        <w:jc w:val="center"/>
        <w:tblLook w:val="04A0" w:firstRow="1" w:lastRow="0" w:firstColumn="1" w:lastColumn="0" w:noHBand="0" w:noVBand="1"/>
      </w:tblPr>
      <w:tblGrid>
        <w:gridCol w:w="4997"/>
        <w:gridCol w:w="4997"/>
      </w:tblGrid>
      <w:tr w:rsidR="00997065" w14:paraId="0659D4C1" w14:textId="77777777">
        <w:trPr>
          <w:tblHeader/>
          <w:jc w:val="center"/>
        </w:trPr>
        <w:tc>
          <w:tcPr>
            <w:tcW w:w="4997" w:type="dxa"/>
            <w:tcBorders>
              <w:top w:val="single" w:sz="6" w:space="0" w:color="166B52"/>
              <w:left w:val="single" w:sz="6" w:space="0" w:color="166B52"/>
              <w:bottom w:val="single" w:sz="6" w:space="0" w:color="166B52"/>
              <w:right w:val="single" w:sz="6" w:space="0" w:color="166B52"/>
            </w:tcBorders>
            <w:shd w:val="clear" w:color="auto" w:fill="166B52"/>
            <w:vAlign w:val="center"/>
          </w:tcPr>
          <w:p w14:paraId="64E4F1CE" w14:textId="77777777" w:rsidR="00997065" w:rsidRDefault="00497D67">
            <w:pPr>
              <w:spacing w:before="20" w:after="20"/>
            </w:pPr>
            <w:r>
              <w:rPr>
                <w:b/>
                <w:color w:val="FFFFFF"/>
                <w:sz w:val="24"/>
              </w:rPr>
              <w:t>Risk / gap</w:t>
            </w:r>
          </w:p>
        </w:tc>
        <w:tc>
          <w:tcPr>
            <w:tcW w:w="4997" w:type="dxa"/>
            <w:tcBorders>
              <w:top w:val="single" w:sz="6" w:space="0" w:color="166B52"/>
              <w:left w:val="single" w:sz="6" w:space="0" w:color="166B52"/>
              <w:bottom w:val="single" w:sz="6" w:space="0" w:color="166B52"/>
              <w:right w:val="single" w:sz="6" w:space="0" w:color="166B52"/>
            </w:tcBorders>
            <w:shd w:val="clear" w:color="auto" w:fill="166B52"/>
            <w:vAlign w:val="center"/>
          </w:tcPr>
          <w:p w14:paraId="3E1D5530" w14:textId="77777777" w:rsidR="00997065" w:rsidRDefault="00497D67">
            <w:pPr>
              <w:spacing w:before="20" w:after="20"/>
            </w:pPr>
            <w:r>
              <w:rPr>
                <w:b/>
                <w:color w:val="FFFFFF"/>
                <w:sz w:val="24"/>
              </w:rPr>
              <w:t>Current status</w:t>
            </w:r>
          </w:p>
        </w:tc>
      </w:tr>
      <w:tr w:rsidR="00997065" w14:paraId="3D70F152" w14:textId="77777777">
        <w:trPr>
          <w:jc w:val="center"/>
        </w:trPr>
        <w:tc>
          <w:tcPr>
            <w:tcW w:w="4997" w:type="dxa"/>
            <w:tcBorders>
              <w:top w:val="single" w:sz="6" w:space="0" w:color="D7E4DD"/>
              <w:left w:val="single" w:sz="6" w:space="0" w:color="D7E4DD"/>
              <w:bottom w:val="single" w:sz="6" w:space="0" w:color="D7E4DD"/>
              <w:right w:val="single" w:sz="6" w:space="0" w:color="D7E4DD"/>
            </w:tcBorders>
            <w:shd w:val="clear" w:color="auto" w:fill="F4F8F5"/>
            <w:vAlign w:val="center"/>
          </w:tcPr>
          <w:p w14:paraId="3F439A13" w14:textId="77777777" w:rsidR="00997065" w:rsidRDefault="00497D67">
            <w:pPr>
              <w:spacing w:before="20" w:after="20"/>
            </w:pPr>
            <w:r>
              <w:rPr>
                <w:sz w:val="24"/>
              </w:rPr>
              <w:t>Forecast underperformance on five synthetic holdouts</w:t>
            </w:r>
          </w:p>
        </w:tc>
        <w:tc>
          <w:tcPr>
            <w:tcW w:w="4997" w:type="dxa"/>
            <w:tcBorders>
              <w:top w:val="single" w:sz="6" w:space="0" w:color="D7E4DD"/>
              <w:left w:val="single" w:sz="6" w:space="0" w:color="D7E4DD"/>
              <w:bottom w:val="single" w:sz="6" w:space="0" w:color="D7E4DD"/>
              <w:right w:val="single" w:sz="6" w:space="0" w:color="D7E4DD"/>
            </w:tcBorders>
            <w:shd w:val="clear" w:color="auto" w:fill="F4F8F5"/>
            <w:vAlign w:val="center"/>
          </w:tcPr>
          <w:p w14:paraId="1F7A99F4" w14:textId="77777777" w:rsidR="00997065" w:rsidRDefault="00497D67">
            <w:pPr>
              <w:spacing w:before="20" w:after="20"/>
            </w:pPr>
            <w:r>
              <w:rPr>
                <w:sz w:val="24"/>
              </w:rPr>
              <w:t>Observed; higher MAE than naïve baseline in every case</w:t>
            </w:r>
          </w:p>
        </w:tc>
      </w:tr>
      <w:tr w:rsidR="00997065" w14:paraId="38041AAE" w14:textId="77777777">
        <w:trPr>
          <w:jc w:val="center"/>
        </w:trPr>
        <w:tc>
          <w:tcPr>
            <w:tcW w:w="4997" w:type="dxa"/>
            <w:tcBorders>
              <w:top w:val="single" w:sz="6" w:space="0" w:color="D7E4DD"/>
              <w:left w:val="single" w:sz="6" w:space="0" w:color="D7E4DD"/>
              <w:bottom w:val="single" w:sz="6" w:space="0" w:color="D7E4DD"/>
              <w:right w:val="single" w:sz="6" w:space="0" w:color="D7E4DD"/>
            </w:tcBorders>
            <w:shd w:val="clear" w:color="auto" w:fill="FFFFFF"/>
            <w:vAlign w:val="center"/>
          </w:tcPr>
          <w:p w14:paraId="30E69BCD" w14:textId="77777777" w:rsidR="00997065" w:rsidRDefault="00497D67">
            <w:pPr>
              <w:spacing w:before="20" w:after="20"/>
            </w:pPr>
            <w:r>
              <w:rPr>
                <w:sz w:val="24"/>
              </w:rPr>
              <w:t>Synthetic-only data and illustrative products</w:t>
            </w:r>
          </w:p>
        </w:tc>
        <w:tc>
          <w:tcPr>
            <w:tcW w:w="4997" w:type="dxa"/>
            <w:tcBorders>
              <w:top w:val="single" w:sz="6" w:space="0" w:color="D7E4DD"/>
              <w:left w:val="single" w:sz="6" w:space="0" w:color="D7E4DD"/>
              <w:bottom w:val="single" w:sz="6" w:space="0" w:color="D7E4DD"/>
              <w:right w:val="single" w:sz="6" w:space="0" w:color="D7E4DD"/>
            </w:tcBorders>
            <w:shd w:val="clear" w:color="auto" w:fill="FFFFFF"/>
            <w:vAlign w:val="center"/>
          </w:tcPr>
          <w:p w14:paraId="19F3C61E" w14:textId="77777777" w:rsidR="00997065" w:rsidRDefault="00497D67">
            <w:pPr>
              <w:spacing w:before="20" w:after="20"/>
            </w:pPr>
            <w:r>
              <w:rPr>
                <w:sz w:val="24"/>
              </w:rPr>
              <w:t>No external data or lender terms validated</w:t>
            </w:r>
          </w:p>
        </w:tc>
      </w:tr>
      <w:tr w:rsidR="00997065" w14:paraId="5C050E10" w14:textId="77777777">
        <w:trPr>
          <w:jc w:val="center"/>
        </w:trPr>
        <w:tc>
          <w:tcPr>
            <w:tcW w:w="4997" w:type="dxa"/>
            <w:tcBorders>
              <w:top w:val="single" w:sz="6" w:space="0" w:color="D7E4DD"/>
              <w:left w:val="single" w:sz="6" w:space="0" w:color="D7E4DD"/>
              <w:bottom w:val="single" w:sz="6" w:space="0" w:color="D7E4DD"/>
              <w:right w:val="single" w:sz="6" w:space="0" w:color="D7E4DD"/>
            </w:tcBorders>
            <w:shd w:val="clear" w:color="auto" w:fill="F4F8F5"/>
            <w:vAlign w:val="center"/>
          </w:tcPr>
          <w:p w14:paraId="10805E61" w14:textId="77777777" w:rsidR="00997065" w:rsidRDefault="00497D67">
            <w:pPr>
              <w:spacing w:before="20" w:after="20"/>
            </w:pPr>
            <w:r>
              <w:rPr>
                <w:sz w:val="24"/>
              </w:rPr>
              <w:t>Demo passwords and quick sign-in</w:t>
            </w:r>
          </w:p>
        </w:tc>
        <w:tc>
          <w:tcPr>
            <w:tcW w:w="4997" w:type="dxa"/>
            <w:tcBorders>
              <w:top w:val="single" w:sz="6" w:space="0" w:color="D7E4DD"/>
              <w:left w:val="single" w:sz="6" w:space="0" w:color="D7E4DD"/>
              <w:bottom w:val="single" w:sz="6" w:space="0" w:color="D7E4DD"/>
              <w:right w:val="single" w:sz="6" w:space="0" w:color="D7E4DD"/>
            </w:tcBorders>
            <w:shd w:val="clear" w:color="auto" w:fill="F4F8F5"/>
            <w:vAlign w:val="center"/>
          </w:tcPr>
          <w:p w14:paraId="27B1688F" w14:textId="77777777" w:rsidR="00997065" w:rsidRDefault="00497D67">
            <w:pPr>
              <w:spacing w:before="20" w:after="20"/>
            </w:pPr>
            <w:r>
              <w:rPr>
                <w:sz w:val="24"/>
              </w:rPr>
              <w:t>Local judging convenience only; not production identity</w:t>
            </w:r>
          </w:p>
        </w:tc>
      </w:tr>
      <w:tr w:rsidR="00997065" w14:paraId="463F25E2" w14:textId="77777777">
        <w:trPr>
          <w:jc w:val="center"/>
        </w:trPr>
        <w:tc>
          <w:tcPr>
            <w:tcW w:w="4997" w:type="dxa"/>
            <w:tcBorders>
              <w:top w:val="single" w:sz="6" w:space="0" w:color="D7E4DD"/>
              <w:left w:val="single" w:sz="6" w:space="0" w:color="D7E4DD"/>
              <w:bottom w:val="single" w:sz="6" w:space="0" w:color="D7E4DD"/>
              <w:right w:val="single" w:sz="6" w:space="0" w:color="D7E4DD"/>
            </w:tcBorders>
            <w:shd w:val="clear" w:color="auto" w:fill="FFFFFF"/>
            <w:vAlign w:val="center"/>
          </w:tcPr>
          <w:p w14:paraId="48F96D07" w14:textId="77777777" w:rsidR="00997065" w:rsidRDefault="00497D67">
            <w:pPr>
              <w:spacing w:before="20" w:after="20"/>
            </w:pPr>
            <w:r>
              <w:rPr>
                <w:sz w:val="24"/>
              </w:rPr>
              <w:lastRenderedPageBreak/>
              <w:t>Local audit database</w:t>
            </w:r>
          </w:p>
        </w:tc>
        <w:tc>
          <w:tcPr>
            <w:tcW w:w="4997" w:type="dxa"/>
            <w:tcBorders>
              <w:top w:val="single" w:sz="6" w:space="0" w:color="D7E4DD"/>
              <w:left w:val="single" w:sz="6" w:space="0" w:color="D7E4DD"/>
              <w:bottom w:val="single" w:sz="6" w:space="0" w:color="D7E4DD"/>
              <w:right w:val="single" w:sz="6" w:space="0" w:color="D7E4DD"/>
            </w:tcBorders>
            <w:shd w:val="clear" w:color="auto" w:fill="FFFFFF"/>
            <w:vAlign w:val="center"/>
          </w:tcPr>
          <w:p w14:paraId="23D890FE" w14:textId="77777777" w:rsidR="00997065" w:rsidRDefault="00497D67">
            <w:pPr>
              <w:spacing w:before="20" w:after="20"/>
            </w:pPr>
            <w:r>
              <w:rPr>
                <w:sz w:val="24"/>
              </w:rPr>
              <w:t>Tamper-evident, not immutable or externally replicated</w:t>
            </w:r>
          </w:p>
        </w:tc>
      </w:tr>
      <w:tr w:rsidR="00997065" w14:paraId="623A6F7E" w14:textId="77777777">
        <w:trPr>
          <w:jc w:val="center"/>
        </w:trPr>
        <w:tc>
          <w:tcPr>
            <w:tcW w:w="4997" w:type="dxa"/>
            <w:tcBorders>
              <w:top w:val="single" w:sz="6" w:space="0" w:color="D7E4DD"/>
              <w:left w:val="single" w:sz="6" w:space="0" w:color="D7E4DD"/>
              <w:bottom w:val="single" w:sz="6" w:space="0" w:color="D7E4DD"/>
              <w:right w:val="single" w:sz="6" w:space="0" w:color="D7E4DD"/>
            </w:tcBorders>
            <w:shd w:val="clear" w:color="auto" w:fill="F4F8F5"/>
            <w:vAlign w:val="center"/>
          </w:tcPr>
          <w:p w14:paraId="7F9D1F1F" w14:textId="77777777" w:rsidR="00997065" w:rsidRDefault="00497D67">
            <w:pPr>
              <w:spacing w:before="20" w:after="20"/>
            </w:pPr>
            <w:r>
              <w:rPr>
                <w:sz w:val="24"/>
              </w:rPr>
              <w:t>Optional external LLM</w:t>
            </w:r>
          </w:p>
        </w:tc>
        <w:tc>
          <w:tcPr>
            <w:tcW w:w="4997" w:type="dxa"/>
            <w:tcBorders>
              <w:top w:val="single" w:sz="6" w:space="0" w:color="D7E4DD"/>
              <w:left w:val="single" w:sz="6" w:space="0" w:color="D7E4DD"/>
              <w:bottom w:val="single" w:sz="6" w:space="0" w:color="D7E4DD"/>
              <w:right w:val="single" w:sz="6" w:space="0" w:color="D7E4DD"/>
            </w:tcBorders>
            <w:shd w:val="clear" w:color="auto" w:fill="F4F8F5"/>
            <w:vAlign w:val="center"/>
          </w:tcPr>
          <w:p w14:paraId="49BFE82A" w14:textId="77777777" w:rsidR="00997065" w:rsidRDefault="00497D67">
            <w:pPr>
              <w:spacing w:before="20" w:after="20"/>
            </w:pPr>
            <w:r>
              <w:rPr>
                <w:sz w:val="24"/>
              </w:rPr>
              <w:t>Provider privacy, residency, retention and uptime not controlled here</w:t>
            </w:r>
          </w:p>
        </w:tc>
      </w:tr>
      <w:tr w:rsidR="00997065" w14:paraId="67B1EBA6" w14:textId="77777777">
        <w:trPr>
          <w:jc w:val="center"/>
        </w:trPr>
        <w:tc>
          <w:tcPr>
            <w:tcW w:w="4997" w:type="dxa"/>
            <w:tcBorders>
              <w:top w:val="single" w:sz="6" w:space="0" w:color="D7E4DD"/>
              <w:left w:val="single" w:sz="6" w:space="0" w:color="D7E4DD"/>
              <w:bottom w:val="single" w:sz="6" w:space="0" w:color="D7E4DD"/>
              <w:right w:val="single" w:sz="6" w:space="0" w:color="D7E4DD"/>
            </w:tcBorders>
            <w:shd w:val="clear" w:color="auto" w:fill="FFFFFF"/>
            <w:vAlign w:val="center"/>
          </w:tcPr>
          <w:p w14:paraId="76D4259D" w14:textId="77777777" w:rsidR="00997065" w:rsidRDefault="00497D67">
            <w:pPr>
              <w:spacing w:before="20" w:after="20"/>
            </w:pPr>
            <w:r>
              <w:rPr>
                <w:sz w:val="24"/>
              </w:rPr>
              <w:t>Availability and tenant controls</w:t>
            </w:r>
          </w:p>
        </w:tc>
        <w:tc>
          <w:tcPr>
            <w:tcW w:w="4997" w:type="dxa"/>
            <w:tcBorders>
              <w:top w:val="single" w:sz="6" w:space="0" w:color="D7E4DD"/>
              <w:left w:val="single" w:sz="6" w:space="0" w:color="D7E4DD"/>
              <w:bottom w:val="single" w:sz="6" w:space="0" w:color="D7E4DD"/>
              <w:right w:val="single" w:sz="6" w:space="0" w:color="D7E4DD"/>
            </w:tcBorders>
            <w:shd w:val="clear" w:color="auto" w:fill="FFFFFF"/>
            <w:vAlign w:val="center"/>
          </w:tcPr>
          <w:p w14:paraId="43B3E701" w14:textId="77777777" w:rsidR="00997065" w:rsidRDefault="00497D67">
            <w:pPr>
              <w:spacing w:before="20" w:after="20"/>
            </w:pPr>
            <w:r>
              <w:rPr>
                <w:sz w:val="24"/>
              </w:rPr>
              <w:t>No rate limit, per-user quota, tenant isolation, or recovery plan</w:t>
            </w:r>
          </w:p>
        </w:tc>
      </w:tr>
      <w:tr w:rsidR="00997065" w14:paraId="3C0D54D5" w14:textId="77777777">
        <w:trPr>
          <w:jc w:val="center"/>
        </w:trPr>
        <w:tc>
          <w:tcPr>
            <w:tcW w:w="4997" w:type="dxa"/>
            <w:tcBorders>
              <w:top w:val="single" w:sz="6" w:space="0" w:color="D7E4DD"/>
              <w:left w:val="single" w:sz="6" w:space="0" w:color="D7E4DD"/>
              <w:bottom w:val="single" w:sz="6" w:space="0" w:color="D7E4DD"/>
              <w:right w:val="single" w:sz="6" w:space="0" w:color="D7E4DD"/>
            </w:tcBorders>
            <w:shd w:val="clear" w:color="auto" w:fill="F4F8F5"/>
            <w:vAlign w:val="center"/>
          </w:tcPr>
          <w:p w14:paraId="2FAA3ACA" w14:textId="77777777" w:rsidR="00997065" w:rsidRDefault="00497D67">
            <w:pPr>
              <w:spacing w:before="20" w:after="20"/>
            </w:pPr>
            <w:r>
              <w:rPr>
                <w:sz w:val="24"/>
              </w:rPr>
              <w:t>Absent controls</w:t>
            </w:r>
          </w:p>
        </w:tc>
        <w:tc>
          <w:tcPr>
            <w:tcW w:w="4997" w:type="dxa"/>
            <w:tcBorders>
              <w:top w:val="single" w:sz="6" w:space="0" w:color="D7E4DD"/>
              <w:left w:val="single" w:sz="6" w:space="0" w:color="D7E4DD"/>
              <w:bottom w:val="single" w:sz="6" w:space="0" w:color="D7E4DD"/>
              <w:right w:val="single" w:sz="6" w:space="0" w:color="D7E4DD"/>
            </w:tcBorders>
            <w:shd w:val="clear" w:color="auto" w:fill="F4F8F5"/>
            <w:vAlign w:val="center"/>
          </w:tcPr>
          <w:p w14:paraId="309E180C" w14:textId="77777777" w:rsidR="00997065" w:rsidRDefault="00497D67">
            <w:pPr>
              <w:spacing w:before="20" w:after="20"/>
            </w:pPr>
            <w:r>
              <w:rPr>
                <w:sz w:val="24"/>
              </w:rPr>
              <w:t>No production SSO/MFA, managed secret service, SBOM, vulnerability scanning, RAG, model fine-tuning, bank/lender API, loan application, or real money movement</w:t>
            </w:r>
          </w:p>
        </w:tc>
      </w:tr>
    </w:tbl>
    <w:p w14:paraId="667C4C5D" w14:textId="77777777" w:rsidR="00997065" w:rsidRDefault="00997065">
      <w:pPr>
        <w:spacing w:after="0"/>
      </w:pPr>
    </w:p>
    <w:p w14:paraId="498A7595" w14:textId="77777777" w:rsidR="00997065" w:rsidRDefault="00497D67">
      <w:pPr>
        <w:spacing w:after="100" w:line="269" w:lineRule="auto"/>
      </w:pPr>
      <w:r>
        <w:rPr>
          <w:sz w:val="24"/>
        </w:rPr>
        <w:t>Document status: Technical Documentation for the Neuroprop Topic E prototype. The report uses numbered citations, source-linked project evidence, a current public UI capture, and red placeholders for the remaining signed-in screenshots. Competition-brief details are summarized from the project’s docs/COMPETITION.md; the project notes that the source PDF could not be text-extracted locally, so organizers’ exact wording should be checked before final external submission.</w:t>
      </w:r>
    </w:p>
    <w:sectPr w:rsidR="00997065" w:rsidSect="00EA1A96">
      <w:headerReference w:type="default" r:id="rId28"/>
      <w:footerReference w:type="default" r:id="rId29"/>
      <w:pgSz w:w="11906" w:h="16838" w:code="9"/>
      <w:pgMar w:top="950" w:right="1037" w:bottom="950"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03428E" w14:textId="77777777" w:rsidR="00144521" w:rsidRDefault="00144521">
      <w:pPr>
        <w:spacing w:after="0" w:line="240" w:lineRule="auto"/>
      </w:pPr>
      <w:r>
        <w:separator/>
      </w:r>
    </w:p>
  </w:endnote>
  <w:endnote w:type="continuationSeparator" w:id="0">
    <w:p w14:paraId="7F32CDFE" w14:textId="77777777" w:rsidR="00144521" w:rsidRDefault="001445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0BBAB2" w14:textId="77777777" w:rsidR="00997065" w:rsidRDefault="00497D67">
    <w:pPr>
      <w:pStyle w:val="Footer"/>
      <w:jc w:val="center"/>
    </w:pPr>
    <w:r>
      <w:rPr>
        <w:color w:val="596963"/>
        <w:sz w:val="24"/>
      </w:rPr>
      <w:t xml:space="preserve">Neuroprop  •  Topic E  •  </w:t>
    </w:r>
    <w:r>
      <w:rPr>
        <w:sz w:val="24"/>
      </w:rPr>
      <w:t xml:space="preserve">Page </w:t>
    </w:r>
    <w:r>
      <w:rPr>
        <w:sz w:val="24"/>
      </w:rPr>
      <w:fldChar w:fldCharType="begin"/>
    </w:r>
    <w:r>
      <w:rPr>
        <w:sz w:val="24"/>
      </w:rPr>
      <w:instrText>PAGE</w:instrText>
    </w:r>
    <w:r>
      <w:rPr>
        <w:sz w:val="24"/>
      </w:rPr>
      <w:fldChar w:fldCharType="separate"/>
    </w:r>
    <w:r>
      <w:rPr>
        <w:sz w:val="24"/>
      </w:rPr>
      <w:t>1</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B1B03B" w14:textId="77777777" w:rsidR="00144521" w:rsidRDefault="00144521">
      <w:pPr>
        <w:spacing w:after="0" w:line="240" w:lineRule="auto"/>
      </w:pPr>
      <w:r>
        <w:separator/>
      </w:r>
    </w:p>
  </w:footnote>
  <w:footnote w:type="continuationSeparator" w:id="0">
    <w:p w14:paraId="3ED755EE" w14:textId="77777777" w:rsidR="00144521" w:rsidRDefault="001445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DE8118" w14:textId="77777777" w:rsidR="00997065" w:rsidRDefault="00497D67">
    <w:pPr>
      <w:pStyle w:val="Header"/>
      <w:jc w:val="right"/>
    </w:pPr>
    <w:r>
      <w:rPr>
        <w:b/>
        <w:color w:val="166B52"/>
        <w:sz w:val="24"/>
      </w:rPr>
      <w:t>STRATIFYAI  |  TECHNICAL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4521"/>
    <w:rsid w:val="0015074B"/>
    <w:rsid w:val="001B4D85"/>
    <w:rsid w:val="001D45A2"/>
    <w:rsid w:val="0029639D"/>
    <w:rsid w:val="00326F90"/>
    <w:rsid w:val="00497D67"/>
    <w:rsid w:val="00997065"/>
    <w:rsid w:val="00AA1D8D"/>
    <w:rsid w:val="00B47730"/>
    <w:rsid w:val="00CB0664"/>
    <w:rsid w:val="00EA1A96"/>
    <w:rsid w:val="00EF290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59FA15"/>
  <w14:defaultImageDpi w14:val="300"/>
  <w15:docId w15:val="{6312B58C-ED8C-4363-BA4B-47887DB8D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color w:val="183A35"/>
    </w:rPr>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b/>
      <w:bCs/>
      <w:color w:val="166B52"/>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b/>
      <w:bCs/>
      <w:color w:val="166B52"/>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40" w:after="100" w:line="240" w:lineRule="auto"/>
      <w:contextualSpacing/>
    </w:pPr>
    <w:rPr>
      <w:rFonts w:asciiTheme="majorHAnsi" w:eastAsiaTheme="majorEastAsia" w:hAnsiTheme="majorHAnsi" w:cstheme="majorBidi"/>
      <w: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41</Pages>
  <Words>9129</Words>
  <Characters>52040</Characters>
  <Application>Microsoft Office Word</Application>
  <DocSecurity>0</DocSecurity>
  <Lines>433</Lines>
  <Paragraphs>122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61047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StratifyAI: A Deterministic, Evidence-Grounded SME Finance Copilot with a Liquidity Decision Lab — Revised Technical Documentation</dc:title>
  <dc:subject>Expanded academic-style Technical Documentation; Times New Roman 11 pt; revised figures and DFDs</dc:subject>
  <dc:creator>Neuroprop</dc:creator>
  <cp:keywords>SME finance, liquidity, forecasting, security, human-in-the-loop, technical documentation</cp:keywords>
  <dc:description>generated by python-docx</dc:description>
  <cp:lastModifiedBy>Rafiqul Islam</cp:lastModifiedBy>
  <cp:revision>4</cp:revision>
  <dcterms:created xsi:type="dcterms:W3CDTF">2013-12-23T23:15:00Z</dcterms:created>
  <dcterms:modified xsi:type="dcterms:W3CDTF">2026-10-19T23:19:00Z</dcterms:modified>
  <cp:category/>
</cp:coreProperties>
</file>