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rFonts w:ascii="Times New Roman" w:hAnsi="Times New Roman" w:eastAsia="Times New Roman"/>
          <w:b/>
          <w:i w:val="0"/>
          <w:color w:val="166B52"/>
          <w:sz w:val="24"/>
        </w:rPr>
        <w:t>STRATIFYAI</w:t>
      </w:r>
    </w:p>
    <w:p>
      <w:pPr>
        <w:spacing w:before="280"/>
        <w:jc w:val="center"/>
      </w:pPr>
      <w:r>
        <w:rPr>
          <w:rFonts w:ascii="Times New Roman" w:hAnsi="Times New Roman" w:eastAsia="Times New Roman"/>
          <w:b/>
          <w:i w:val="0"/>
          <w:color w:val="183A35"/>
          <w:sz w:val="24"/>
        </w:rPr>
        <w:t>Execution Evidence Report</w:t>
      </w:r>
    </w:p>
    <w:p>
      <w:pPr>
        <w:jc w:val="center"/>
      </w:pPr>
      <w:r>
        <w:rPr>
          <w:rFonts w:ascii="Times New Roman" w:hAnsi="Times New Roman" w:eastAsia="Times New Roman"/>
          <w:b w:val="0"/>
          <w:i w:val="0"/>
          <w:color w:val="596963"/>
          <w:sz w:val="24"/>
        </w:rPr>
        <w:t>Recorded tests, workflows, security checks, evaluation results and interface evidence</w:t>
      </w:r>
    </w:p>
    <w:p/>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096"/>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Project</w:t>
            </w:r>
          </w:p>
        </w:tc>
        <w:tc>
          <w:tcPr>
            <w:tcW w:type="dxa" w:w="3096"/>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Team</w:t>
            </w:r>
          </w:p>
        </w:tc>
        <w:tc>
          <w:tcPr>
            <w:tcW w:type="dxa" w:w="3096"/>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Submission context</w:t>
            </w:r>
          </w:p>
        </w:tc>
      </w:tr>
      <w:tr>
        <w:tc>
          <w:tcPr>
            <w:tcW w:type="dxa" w:w="3096"/>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StratifyAI: The Liquidity Decision Lab for SME Financial Intelligence</w:t>
            </w:r>
          </w:p>
        </w:tc>
        <w:tc>
          <w:tcPr>
            <w:tcW w:type="dxa" w:w="3096"/>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Neuroprop — Md. Rafiqul Islam (Team Leader), Abu Bakar Rafi, Fatema Jahan</w:t>
            </w:r>
          </w:p>
        </w:tc>
        <w:tc>
          <w:tcPr>
            <w:tcW w:type="dxa" w:w="3096"/>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2026 Shenzhen International FinTech Competition • International Track • Topic E</w:t>
            </w:r>
          </w:p>
        </w:tc>
      </w:tr>
    </w:tbl>
    <w:p>
      <w:pPr>
        <w:spacing w:after="20"/>
      </w:pPr>
    </w:p>
    <w:p>
      <w:pPr>
        <w:jc w:val="center"/>
      </w:pPr>
      <w:r>
        <w:rPr>
          <w:rFonts w:ascii="Times New Roman" w:hAnsi="Times New Roman" w:eastAsia="Times New Roman"/>
          <w:b w:val="0"/>
          <w:i w:val="0"/>
          <w:color w:val="596963"/>
          <w:sz w:val="24"/>
        </w:rPr>
        <w:t>Evidence reviewed through 20 October 2026</w:t>
      </w:r>
    </w:p>
    <w:p>
      <w:pPr>
        <w:jc w:val="center"/>
      </w:pPr>
      <w:r>
        <w:rPr>
          <w:rFonts w:ascii="Times New Roman" w:hAnsi="Times New Roman" w:eastAsia="Times New Roman"/>
          <w:b/>
          <w:i w:val="0"/>
          <w:color w:val="C00000"/>
          <w:sz w:val="24"/>
        </w:rPr>
        <w:t>All application cases and reported evaluation data are synthetic.</w:t>
      </w:r>
    </w:p>
    <w:p>
      <w:r>
        <w:rPr>
          <w:rFonts w:ascii="Times New Roman" w:hAnsi="Times New Roman" w:eastAsia="Times New Roman"/>
          <w:sz w:val="24"/>
        </w:rPr>
        <w:br w:type="page"/>
      </w:r>
    </w:p>
    <w:p>
      <w:pPr>
        <w:pStyle w:val="Heading1"/>
        <w:spacing w:before="160" w:after="80"/>
      </w:pPr>
      <w:r>
        <w:rPr>
          <w:rFonts w:ascii="Times New Roman" w:hAnsi="Times New Roman" w:eastAsia="Times New Roman"/>
          <w:b/>
          <w:i w:val="0"/>
          <w:color w:val="166B52"/>
          <w:sz w:val="24"/>
        </w:rPr>
        <w:t>Executive summary</w:t>
      </w:r>
    </w:p>
    <w:p>
      <w:pPr>
        <w:spacing w:after="120" w:line="259" w:lineRule="auto"/>
      </w:pPr>
      <w:r>
        <w:rPr>
          <w:rFonts w:ascii="Times New Roman" w:hAnsi="Times New Roman" w:eastAsia="Times New Roman"/>
          <w:b w:val="0"/>
          <w:i w:val="0"/>
          <w:sz w:val="24"/>
        </w:rPr>
        <w:t>This report consolidates checked-in execution artifacts and states what each supports. Recorded evidence includes 197 passing tests, 13 of 13 scripted service workflows, 60 role/action decisions matching the permission registry, ten poisoned-name payloads excluded from Copilot evidence, and audit-chain tampering detected at entry 1. The repository also contains signed-in screenshots of synthetic-data workflows and the public Overview.</w:t>
      </w:r>
    </w:p>
    <w:p>
      <w:pPr>
        <w:spacing w:after="120" w:line="259" w:lineRule="auto"/>
      </w:pPr>
      <w:r>
        <w:rPr>
          <w:rFonts w:ascii="Times New Roman" w:hAnsi="Times New Roman" w:eastAsia="Times New Roman"/>
          <w:b w:val="0"/>
          <w:i w:val="0"/>
          <w:sz w:val="24"/>
        </w:rPr>
        <w:t>The evaluation also records adverse product evidence: across all five synthetic holdout cases, forecast MAE is higher than the naive last-four-week mean baseline; one of five selected plans maintained the configured reserve. These results do not support an accuracy or decision-improvement claim. A simulated-action log and demo video are not present in the reviewed tree; scripted service tests and UI screenshots cover selected local workflows.</w:t>
      </w:r>
    </w:p>
    <w:p>
      <w:pPr>
        <w:pStyle w:val="Heading2"/>
        <w:spacing w:before="160" w:after="80"/>
      </w:pPr>
      <w:r>
        <w:rPr>
          <w:rFonts w:ascii="Times New Roman" w:hAnsi="Times New Roman" w:eastAsia="Times New Roman"/>
          <w:b/>
          <w:i w:val="0"/>
          <w:color w:val="183A35"/>
          <w:sz w:val="24"/>
        </w:rPr>
        <w:t>Evidence interpretation at a glance</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Area</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Recorded result</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Supports</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Does not establish</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Test suite</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197 passed; 18 Oct 2026</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Dated full test run completed, exit 0</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Later 205 count has no reviewed archived transcript</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Workflow suite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13/13 passed</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Specified scripted workflows completed</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Usability or production reliability</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Security checks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60/60; 10/10; tamper detected</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These specific registered checks behaved as recorded</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Penetration test, certification or total injection defense</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Backtest</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Model MAE higher on all five cases</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Measured synthetic holdout comparison</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General predictive performance</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Decision quality</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1/5 plans kept reserve</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Computed scenario outcomes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Real-world decision improvement</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UI evidence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Signed-in screenshots present; sandbox log/video absent</w:t>
            </w:r>
            <w:r>
              <w:rPr>
                <w:rFonts w:ascii="Times New Roman" w:hAnsi="Times New Roman" w:eastAsia="Times New Roman"/>
                <w:b w:val="0"/>
                <w:i w:val="0"/>
                <w:color w:val="183A35"/>
                <w:sz w:val="24"/>
              </w:rPr>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Selected synthetic UI states are visible</w:t>
            </w:r>
            <w:r>
              <w:rPr>
                <w:rFonts w:ascii="Times New Roman" w:hAnsi="Times New Roman" w:eastAsia="Times New Roman"/>
                <w:b w:val="0"/>
                <w:i w:val="0"/>
                <w:color w:val="183A35"/>
                <w:sz w:val="24"/>
              </w:rPr>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Live sandbox execution, full video walkthrough or production validation</w:t>
            </w:r>
            <w:r>
              <w:rPr>
                <w:rFonts w:ascii="Times New Roman" w:hAnsi="Times New Roman" w:eastAsia="Times New Roman"/>
                <w:b w:val="0"/>
                <w:i w:val="0"/>
                <w:color w:val="183A35"/>
                <w:sz w:val="24"/>
              </w:rPr>
            </w:r>
          </w:p>
        </w:tc>
      </w:tr>
    </w:tbl>
    <w:p>
      <w:pPr>
        <w:spacing w:after="20"/>
      </w:pPr>
    </w:p>
    <w:p>
      <w:pPr>
        <w:spacing w:after="140"/>
        <w:jc w:val="center"/>
      </w:pPr>
      <w:r>
        <w:rPr>
          <w:rFonts w:ascii="Times New Roman" w:hAnsi="Times New Roman" w:eastAsia="Times New Roman"/>
          <w:b w:val="0"/>
          <w:i/>
          <w:color w:val="596963"/>
          <w:sz w:val="24"/>
        </w:rPr>
        <w:t>Table 1. Evidence summary and claim boundaries.</w:t>
      </w:r>
    </w:p>
    <w:p>
      <w:pPr>
        <w:pStyle w:val="Heading2"/>
        <w:spacing w:before="160" w:after="80"/>
      </w:pPr>
      <w:r>
        <w:rPr>
          <w:rFonts w:ascii="Times New Roman" w:hAnsi="Times New Roman" w:eastAsia="Times New Roman"/>
          <w:b/>
          <w:i w:val="0"/>
          <w:color w:val="183A35"/>
          <w:sz w:val="24"/>
        </w:rPr>
        <w:t>Reading this report</w:t>
      </w:r>
    </w:p>
    <w:p>
      <w:pPr>
        <w:spacing w:after="120" w:line="259" w:lineRule="auto"/>
      </w:pPr>
      <w:r>
        <w:rPr>
          <w:rFonts w:ascii="Times New Roman" w:hAnsi="Times New Roman" w:eastAsia="Times New Roman"/>
          <w:b w:val="0"/>
          <w:i w:val="0"/>
          <w:sz w:val="24"/>
        </w:rPr>
        <w:t>Evidence identifiers [E1]-[E8] refer to repository artifacts in Section 7. Results are transcribed from checked-in records; this document does not rerun tests or create runtime evidence. A recorded PASS means only that the listed assertion or workflow passed in its stated run.</w:t>
      </w:r>
    </w:p>
    <w:p>
      <w:pPr>
        <w:pStyle w:val="Heading1"/>
        <w:spacing w:before="160" w:after="80"/>
      </w:pPr>
      <w:r>
        <w:rPr>
          <w:rFonts w:ascii="Times New Roman" w:hAnsi="Times New Roman" w:eastAsia="Times New Roman"/>
          <w:b/>
          <w:i w:val="0"/>
          <w:color w:val="166B52"/>
          <w:sz w:val="24"/>
        </w:rPr>
        <w:t>1. Scope and evidence handling</w:t>
      </w:r>
    </w:p>
    <w:p>
      <w:pPr>
        <w:spacing w:after="120" w:line="259" w:lineRule="auto"/>
      </w:pPr>
      <w:r>
        <w:rPr>
          <w:rFonts w:ascii="Times New Roman" w:hAnsi="Times New Roman" w:eastAsia="Times New Roman"/>
          <w:b w:val="0"/>
          <w:i w:val="0"/>
          <w:sz w:val="24"/>
        </w:rPr>
        <w:t>The evidence concerns a Streamlit prototype using generated synthetic SME cases. Reviewed material includes test output, scripted service workflows, focused security checks, a synthetic holdout backtest, reserve outcomes and signed-in browser captures. No real customer dataset, lender, bank, payment service or production deployment is represented.</w:t>
      </w:r>
    </w:p>
    <w:p>
      <w:pPr>
        <w:spacing w:after="120" w:line="259" w:lineRule="auto"/>
      </w:pPr>
      <w:r>
        <w:rPr>
          <w:rFonts w:ascii="Times New Roman" w:hAnsi="Times New Roman" w:eastAsia="Times New Roman"/>
          <w:b w:val="0"/>
          <w:i w:val="0"/>
          <w:sz w:val="24"/>
        </w:rPr>
        <w:t>Topic E is non-on-chain. This report therefore uses simulated-account and sandbox evidence; blockchain transaction hashes are not applicable.</w:t>
      </w:r>
    </w:p>
    <w:p>
      <w:pPr>
        <w:spacing w:after="120" w:line="259" w:lineRule="auto"/>
      </w:pPr>
      <w:r>
        <w:rPr>
          <w:rFonts w:ascii="Times New Roman" w:hAnsi="Times New Roman" w:eastAsia="Times New Roman"/>
          <w:b w:val="0"/>
          <w:i w:val="0"/>
          <w:sz w:val="24"/>
        </w:rPr>
        <w:t>Artifacts were compared with README.md, Technical Documentation, Security Self-Assessment and the execution evidence index. Dates, counts and caveats are retained as recorded.</w:t>
      </w:r>
    </w:p>
    <w:p>
      <w:pPr>
        <w:pStyle w:val="Heading2"/>
        <w:spacing w:before="160" w:after="80"/>
      </w:pPr>
      <w:r>
        <w:rPr>
          <w:rFonts w:ascii="Times New Roman" w:hAnsi="Times New Roman" w:eastAsia="Times New Roman"/>
          <w:b/>
          <w:i w:val="0"/>
          <w:color w:val="183A35"/>
          <w:sz w:val="24"/>
        </w:rPr>
        <w:t>Evidence provenance flow</w:t>
      </w:r>
    </w:p>
    <w:tbl>
      <w:tblPr>
        <w:tblStyle w:val="TableGrid"/>
        <w:tblW w:type="auto" w:w="0"/>
        <w:jc w:val="center"/>
        <w:tblLayout w:type="autofit"/>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2088"/>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1  Source artifact</w:t>
            </w:r>
          </w:p>
        </w:tc>
        <w:tc>
          <w:tcPr>
            <w:tcW w:type="dxa" w:w="360"/>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w:t>
            </w:r>
          </w:p>
        </w:tc>
        <w:tc>
          <w:tcPr>
            <w:tcW w:type="dxa" w:w="2376"/>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2  Extract method and scope</w:t>
            </w:r>
          </w:p>
        </w:tc>
        <w:tc>
          <w:tcPr>
            <w:tcW w:type="dxa" w:w="360"/>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w:t>
            </w:r>
          </w:p>
        </w:tc>
        <w:tc>
          <w:tcPr>
            <w:tcW w:type="dxa" w:w="2160"/>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3  Report observed result</w:t>
            </w:r>
          </w:p>
        </w:tc>
        <w:tc>
          <w:tcPr>
            <w:tcW w:type="dxa" w:w="360"/>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w:t>
            </w:r>
          </w:p>
        </w:tc>
        <w:tc>
          <w:tcPr>
            <w:tcW w:type="dxa" w:w="2088"/>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4  State boundary</w:t>
            </w:r>
          </w:p>
        </w:tc>
      </w:tr>
      <w:tr>
        <w:tc>
          <w:tcPr>
            <w:tcW w:type="dxa" w:w="2088"/>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Versioned output or capture</w:t>
            </w:r>
          </w:p>
        </w:tc>
        <w:tc>
          <w:tcPr>
            <w:tcW w:type="dxa" w:w="360"/>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t>
            </w:r>
          </w:p>
        </w:tc>
        <w:tc>
          <w:tcPr>
            <w:tcW w:type="dxa" w:w="2376"/>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Read date, command, scope and outcome</w:t>
            </w:r>
          </w:p>
        </w:tc>
        <w:tc>
          <w:tcPr>
            <w:tcW w:type="dxa" w:w="360"/>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t>
            </w:r>
          </w:p>
        </w:tc>
        <w:tc>
          <w:tcPr>
            <w:tcW w:type="dxa" w:w="2160"/>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Cite file and preserve adverse results</w:t>
            </w:r>
          </w:p>
        </w:tc>
        <w:tc>
          <w:tcPr>
            <w:tcW w:type="dxa" w:w="360"/>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t>
            </w:r>
          </w:p>
        </w:tc>
        <w:tc>
          <w:tcPr>
            <w:tcW w:type="dxa" w:w="2088"/>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Avoid unsupported conclusions</w:t>
            </w:r>
          </w:p>
        </w:tc>
      </w:tr>
    </w:tbl>
    <w:p>
      <w:pPr>
        <w:spacing w:after="20"/>
      </w:pPr>
    </w:p>
    <w:p>
      <w:pPr>
        <w:spacing w:after="140"/>
        <w:jc w:val="center"/>
      </w:pPr>
      <w:r>
        <w:rPr>
          <w:rFonts w:ascii="Times New Roman" w:hAnsi="Times New Roman" w:eastAsia="Times New Roman"/>
          <w:b w:val="0"/>
          <w:i/>
          <w:color w:val="596963"/>
          <w:sz w:val="24"/>
        </w:rPr>
        <w:t>Figure 1. Evidence-to-claim workflow used in this report.</w:t>
      </w:r>
    </w:p>
    <w:p>
      <w:pPr>
        <w:spacing w:after="120" w:line="259" w:lineRule="auto"/>
      </w:pPr>
      <w:r>
        <w:rPr>
          <w:rFonts w:ascii="Times New Roman" w:hAnsi="Times New Roman" w:eastAsia="Times New Roman"/>
          <w:b w:val="0"/>
          <w:i w:val="0"/>
          <w:sz w:val="24"/>
        </w:rPr>
        <w:t>A reproducible submission should retain the source artifact, execution timestamp, command, exit code and environment with every generated result. A screenshot should identify page, role, selected synthetic case and viewport. Missing provenance is stated rather than inferred.</w:t>
      </w:r>
    </w:p>
    <w:p>
      <w:pPr>
        <w:pStyle w:val="Heading1"/>
        <w:spacing w:before="160" w:after="80"/>
      </w:pPr>
      <w:r>
        <w:rPr>
          <w:rFonts w:ascii="Times New Roman" w:hAnsi="Times New Roman" w:eastAsia="Times New Roman"/>
          <w:b/>
          <w:i w:val="0"/>
          <w:color w:val="166B52"/>
          <w:sz w:val="24"/>
        </w:rPr>
        <w:t>2. Recorded execution results</w:t>
      </w:r>
    </w:p>
    <w:p>
      <w:pPr>
        <w:pStyle w:val="Heading2"/>
        <w:spacing w:before="160" w:after="80"/>
      </w:pPr>
      <w:r>
        <w:rPr>
          <w:rFonts w:ascii="Times New Roman" w:hAnsi="Times New Roman" w:eastAsia="Times New Roman"/>
          <w:b/>
          <w:i w:val="0"/>
          <w:color w:val="183A35"/>
          <w:sz w:val="24"/>
        </w:rPr>
        <w:t>2.1 Full test suite</w:t>
      </w:r>
    </w:p>
    <w:p>
      <w:pPr>
        <w:spacing w:after="120" w:line="259" w:lineRule="auto"/>
      </w:pPr>
      <w:r>
        <w:rPr>
          <w:rFonts w:ascii="Times New Roman" w:hAnsi="Times New Roman" w:eastAsia="Times New Roman"/>
          <w:b w:val="0"/>
          <w:i w:val="0"/>
          <w:sz w:val="24"/>
        </w:rPr>
        <w:t>The checked-in transcript records python -m pytest -q at 2026-10-18 06:57:57 UTC, exit code 0, with 197 tests passing in 43.10 seconds [E1]. This report cites that archived run.</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Run</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Date / time UTC</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Outcome</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Provenance</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Archived full pytest</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2026-10-18 06:57:57</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197 passed; exit 0; 43.10 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Raw text [E1]</w:t>
            </w:r>
          </w:p>
        </w:tc>
      </w:tr>
    </w:tbl>
    <w:p>
      <w:pPr>
        <w:spacing w:after="20"/>
      </w:pPr>
    </w:p>
    <w:p>
      <w:pPr>
        <w:spacing w:after="140"/>
        <w:jc w:val="center"/>
      </w:pPr>
      <w:r>
        <w:rPr>
          <w:rFonts w:ascii="Times New Roman" w:hAnsi="Times New Roman" w:eastAsia="Times New Roman"/>
          <w:b w:val="0"/>
          <w:i/>
          <w:color w:val="596963"/>
          <w:sz w:val="24"/>
        </w:rPr>
        <w:t>Table 2. Test counts separated by date and source.</w:t>
      </w:r>
    </w:p>
    <w:p>
      <w:pPr>
        <w:pStyle w:val="Heading2"/>
        <w:spacing w:before="160" w:after="80"/>
      </w:pPr>
      <w:r>
        <w:rPr>
          <w:rFonts w:ascii="Times New Roman" w:hAnsi="Times New Roman" w:eastAsia="Times New Roman"/>
          <w:b/>
          <w:i w:val="0"/>
          <w:color w:val="183A35"/>
          <w:sz w:val="24"/>
        </w:rPr>
        <w:t>2.2 Scripted service workflows</w:t>
      </w:r>
    </w:p>
    <w:p>
      <w:pPr>
        <w:spacing w:after="120" w:line="259" w:lineRule="auto"/>
      </w:pPr>
      <w:r>
        <w:rPr>
          <w:rFonts w:ascii="Times New Roman" w:hAnsi="Times New Roman" w:eastAsia="Times New Roman"/>
          <w:b w:val="0"/>
          <w:i w:val="0"/>
          <w:sz w:val="24"/>
        </w:rPr>
        <w:t>The task suite records 13 of 13 scripted workflows passing (100%) at 2026-10-18 06:59:41 UTC [E2]. It covers shortage detection, Lab plan generation, reserve-feasible recommendation behavior, isolated stress inputs, financing calculations, draft creation and owner approval, authorization denial, formula-like upload neutralization, audit verification and tamper detection, grounded Copilot output, and analysis values with unavailable-data reasons.</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ID</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Workflow area</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Recorded assertion</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T01</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Shortage forecast</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Expected shortage week observed</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T02</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Decision Lab</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Baseline, lever, combined and financing plans available</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T03</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Recommendation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Selected plan feasible under recomputed balances</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T04</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Stress scenario</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Finite result; source case unchanged</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T05</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Financing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Illustrative amount, cost and schedule computed</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T06</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Draft creation</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finance_ops creates a local reminder draft</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T07</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Owner approval</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Only owner advances submitted draft to approved</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T08</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Authorization denial</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viewer denied lab.run; denial audited</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T09</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Upload validation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Formula-like cell neutralized and reported</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T10</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Audit verification</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Untampered chain verifies</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T11</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Tamper detection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Verifier detects modified persisted row</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T12</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Copilot grounding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Funding answer passes citation/number checks</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T13</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Analysis</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Finite snapshot and explicit unavailable reasons</w:t>
            </w:r>
          </w:p>
        </w:tc>
      </w:tr>
    </w:tbl>
    <w:p>
      <w:pPr>
        <w:spacing w:after="20"/>
      </w:pPr>
    </w:p>
    <w:p>
      <w:pPr>
        <w:spacing w:after="140"/>
        <w:jc w:val="center"/>
      </w:pPr>
      <w:r>
        <w:rPr>
          <w:rFonts w:ascii="Times New Roman" w:hAnsi="Times New Roman" w:eastAsia="Times New Roman"/>
          <w:b w:val="0"/>
          <w:i/>
          <w:color w:val="596963"/>
          <w:sz w:val="24"/>
        </w:rPr>
        <w:t>Table 3. All 13 workflow outcomes from [E2].</w:t>
      </w:r>
    </w:p>
    <w:p>
      <w:pPr>
        <w:spacing w:after="120" w:line="259" w:lineRule="auto"/>
      </w:pPr>
      <w:r>
        <w:rPr>
          <w:rFonts w:ascii="Times New Roman" w:hAnsi="Times New Roman" w:eastAsia="Times New Roman"/>
          <w:b w:val="0"/>
          <w:i w:val="0"/>
          <w:sz w:val="24"/>
        </w:rPr>
        <w:t>These are scripted service-level workflows with synthetic fixtures. They show that the listed paths completed under the recorded setup; they do not substitute for a live walkthrough, usability study or independent security test.</w:t>
      </w:r>
    </w:p>
    <w:p>
      <w:pPr>
        <w:pStyle w:val="Heading1"/>
        <w:spacing w:before="160" w:after="80"/>
      </w:pPr>
      <w:r>
        <w:rPr>
          <w:rFonts w:ascii="Times New Roman" w:hAnsi="Times New Roman" w:eastAsia="Times New Roman"/>
          <w:b/>
          <w:i w:val="0"/>
          <w:color w:val="166B52"/>
          <w:sz w:val="24"/>
        </w:rPr>
        <w:t>3. Security execution evidence</w:t>
      </w:r>
    </w:p>
    <w:p>
      <w:pPr>
        <w:spacing w:after="120" w:line="259" w:lineRule="auto"/>
      </w:pPr>
      <w:r>
        <w:rPr>
          <w:rFonts w:ascii="Times New Roman" w:hAnsi="Times New Roman" w:eastAsia="Times New Roman"/>
          <w:b w:val="0"/>
          <w:i w:val="0"/>
          <w:sz w:val="24"/>
        </w:rPr>
        <w:t>The focused security evaluation records 60 role/action decisions matching the permission registry; all ten poisoned-name cases excluded from Copilot evidence with grounded answers checked against ten receipts; and audit-chain modification detected at entry 1 [E3]. The Security Self-Assessment maps controls and test names to implementation locations and records residual risks.</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Check</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Observed record</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Boundary</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Role/action matrix</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60 decisions matched registry</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Finite matrix; not exhaustive authorization testing</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Prompt injection / masking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10/10 names excluded; ten receipts validated</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Specific strings and masking behavior; not general injection resistance</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Audit integrity</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Tampering detected at entry 1</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Local administrator can replace database or disable local controls</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Money movement</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Always-denied action appears in mapped tests</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 payment integration exists</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Copilot boundary</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Offline by default; optional provider separately described</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Configured provider may receive question and masked numeric evidence</w:t>
            </w:r>
          </w:p>
        </w:tc>
      </w:tr>
    </w:tbl>
    <w:p>
      <w:pPr>
        <w:spacing w:after="20"/>
      </w:pPr>
    </w:p>
    <w:p>
      <w:pPr>
        <w:spacing w:after="140"/>
        <w:jc w:val="center"/>
      </w:pPr>
      <w:r>
        <w:rPr>
          <w:rFonts w:ascii="Times New Roman" w:hAnsi="Times New Roman" w:eastAsia="Times New Roman"/>
          <w:b w:val="0"/>
          <w:i/>
          <w:color w:val="596963"/>
          <w:sz w:val="24"/>
        </w:rPr>
        <w:t>Table 4. Focused security checks and their limits.</w:t>
      </w:r>
    </w:p>
    <w:p>
      <w:pPr>
        <w:spacing w:after="120" w:line="259" w:lineRule="auto"/>
      </w:pPr>
      <w:r>
        <w:rPr>
          <w:rFonts w:ascii="Times New Roman" w:hAnsi="Times New Roman" w:eastAsia="Times New Roman"/>
          <w:b w:val="0"/>
          <w:i w:val="0"/>
          <w:sz w:val="24"/>
        </w:rPr>
        <w:t>PASS refers only to the recorded checks. These materials are self-assessment evidence, not an external penetration test, OWASP validation, certification or production approval [E8].</w:t>
      </w:r>
    </w:p>
    <w:p>
      <w:pPr>
        <w:pStyle w:val="Heading1"/>
        <w:spacing w:before="160" w:after="80"/>
      </w:pPr>
      <w:r>
        <w:rPr>
          <w:rFonts w:ascii="Times New Roman" w:hAnsi="Times New Roman" w:eastAsia="Times New Roman"/>
          <w:b/>
          <w:i w:val="0"/>
          <w:color w:val="166B52"/>
          <w:sz w:val="24"/>
        </w:rPr>
        <w:t>4. Forecast and decision evaluation</w:t>
      </w:r>
    </w:p>
    <w:p>
      <w:pPr>
        <w:pStyle w:val="Heading2"/>
        <w:spacing w:before="160" w:after="80"/>
      </w:pPr>
      <w:r>
        <w:rPr>
          <w:rFonts w:ascii="Times New Roman" w:hAnsi="Times New Roman" w:eastAsia="Times New Roman"/>
          <w:b/>
          <w:i w:val="0"/>
          <w:color w:val="183A35"/>
          <w:sz w:val="24"/>
        </w:rPr>
        <w:t>4.1 Backtest method and measured results</w:t>
      </w:r>
    </w:p>
    <w:p>
      <w:pPr>
        <w:spacing w:after="120" w:line="259" w:lineRule="auto"/>
      </w:pPr>
      <w:r>
        <w:rPr>
          <w:rFonts w:ascii="Times New Roman" w:hAnsi="Times New Roman" w:eastAsia="Times New Roman"/>
          <w:b w:val="0"/>
          <w:i w:val="0"/>
          <w:sz w:val="24"/>
        </w:rPr>
        <w:t>The recorded backtest compares the forecast with the naive mean of the preceding four weeks of net flow. It reports ten-week holds per case, a training cutoff of 2026-05-04, MAE in BDT per week and WAPE as a percentage [E4]. Lower values indicate smaller errors on these measures.</w:t>
      </w:r>
    </w:p>
    <w:tbl>
      <w:tblPr>
        <w:tblStyle w:val="TableGrid"/>
        <w:tblW w:type="auto" w:w="0"/>
        <w:jc w:val="center"/>
        <w:tblLayout w:type="autofit"/>
        <w:tblLook w:firstColumn="1" w:firstRow="1" w:lastColumn="0" w:lastRow="0" w:noHBand="0" w:noVBand="1" w:val="04A0"/>
      </w:tblPr>
      <w:tblGrid>
        <w:gridCol w:w="2033"/>
        <w:gridCol w:w="2033"/>
        <w:gridCol w:w="2033"/>
        <w:gridCol w:w="2033"/>
        <w:gridCol w:w="2033"/>
      </w:tblGrid>
      <w:tr>
        <w:trPr>
          <w:tblHeader w:val="true"/>
        </w:trPr>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Synthetic case</w:t>
            </w:r>
          </w:p>
        </w:tc>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Model MAE BDT/wk</w:t>
            </w:r>
          </w:p>
        </w:tc>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Naive MAE BDT/wk</w:t>
            </w:r>
          </w:p>
        </w:tc>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Model WAPE</w:t>
            </w:r>
          </w:p>
        </w:tc>
        <w:tc>
          <w:tcPr>
            <w:tcW w:type="dxa" w:w="203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Naive WAPE</w:t>
            </w:r>
          </w:p>
        </w:tc>
      </w:tr>
      <w:tr>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stable_healthy</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255,370.86</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32,631.25</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330.99%</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42.29%</w:t>
            </w:r>
          </w:p>
        </w:tc>
      </w:tr>
      <w:tr>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sales_drop_cost_rise</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166,949.39</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140,806.33</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231.37%</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195.14%</w:t>
            </w:r>
          </w:p>
        </w:tc>
      </w:tr>
      <w:tr>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high_expense_shortage</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256,412.36</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26,176.58</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374.69%</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38.25%</w:t>
            </w:r>
          </w:p>
        </w:tc>
      </w:tr>
      <w:tr>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delayed_customer_payments</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297,374.47</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18,340.14</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989.17%</w:t>
            </w:r>
          </w:p>
        </w:tc>
        <w:tc>
          <w:tcPr>
            <w:tcW w:type="dxa" w:w="203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61.01%</w:t>
            </w:r>
          </w:p>
        </w:tc>
      </w:tr>
      <w:tr>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import_financing</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299,112.58</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23,607.15</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576.99%</w:t>
            </w:r>
          </w:p>
        </w:tc>
        <w:tc>
          <w:tcPr>
            <w:tcW w:type="dxa" w:w="203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45.54%</w:t>
            </w:r>
          </w:p>
        </w:tc>
      </w:tr>
    </w:tbl>
    <w:p>
      <w:pPr>
        <w:spacing w:after="20"/>
      </w:pPr>
    </w:p>
    <w:p>
      <w:pPr>
        <w:spacing w:after="140"/>
        <w:jc w:val="center"/>
      </w:pPr>
      <w:r>
        <w:rPr>
          <w:rFonts w:ascii="Times New Roman" w:hAnsi="Times New Roman" w:eastAsia="Times New Roman"/>
          <w:b w:val="0"/>
          <w:i/>
          <w:color w:val="596963"/>
          <w:sz w:val="24"/>
        </w:rPr>
        <w:t>Table 5. Holdout error comparison; lower is better. Transcribed from [E4].</w:t>
      </w:r>
    </w:p>
    <w:p>
      <w:pPr>
        <w:spacing w:after="120" w:line="259" w:lineRule="auto"/>
      </w:pPr>
      <w:r>
        <w:rPr>
          <w:rFonts w:ascii="Times New Roman" w:hAnsi="Times New Roman" w:eastAsia="Times New Roman"/>
          <w:b w:val="0"/>
          <w:i w:val="0"/>
          <w:sz w:val="24"/>
        </w:rPr>
        <w:t>Model MAE is higher than the naive baseline in every evaluated case. The delayed-customer-payment case has the highest model WAPE (989.17%). This is adverse evidence about current behavior on these fixtures. It does not support an accuracy claim and motivates calibration and a broader independently defined evaluation set. Five synthetic cases cannot establish general performance.</w:t>
      </w:r>
    </w:p>
    <w:p>
      <w:pPr>
        <w:pStyle w:val="Heading2"/>
        <w:spacing w:before="160" w:after="80"/>
      </w:pPr>
      <w:r>
        <w:rPr>
          <w:rFonts w:ascii="Times New Roman" w:hAnsi="Times New Roman" w:eastAsia="Times New Roman"/>
          <w:b/>
          <w:i w:val="0"/>
          <w:color w:val="183A35"/>
          <w:sz w:val="24"/>
        </w:rPr>
        <w:t>4.2 Reserve outcomes for selected plans</w:t>
      </w:r>
    </w:p>
    <w:p>
      <w:pPr>
        <w:spacing w:after="120" w:line="259" w:lineRule="auto"/>
      </w:pPr>
      <w:r>
        <w:rPr>
          <w:rFonts w:ascii="Times New Roman" w:hAnsi="Times New Roman" w:eastAsia="Times New Roman"/>
          <w:b w:val="0"/>
          <w:i w:val="0"/>
          <w:sz w:val="24"/>
        </w:rPr>
        <w:t>The decision-quality artifact records the selected plan, deterministic minimum balance, configured reserve, reserve status and seeded breach probability for each case [E5]. One of five selected plans keeps reserve. The other four remain below the configured reserve and are reported plainly.</w:t>
      </w:r>
    </w:p>
    <w:tbl>
      <w:tblPr>
        <w:tblStyle w:val="TableGrid"/>
        <w:tblW w:type="auto" w:w="0"/>
        <w:jc w:val="center"/>
        <w:tblLayout w:type="autofit"/>
        <w:tblLook w:firstColumn="1" w:firstRow="1" w:lastColumn="0" w:lastRow="0" w:noHBand="0" w:noVBand="1" w:val="04A0"/>
      </w:tblPr>
      <w:tblGrid>
        <w:gridCol w:w="1694"/>
        <w:gridCol w:w="1694"/>
        <w:gridCol w:w="1694"/>
        <w:gridCol w:w="1694"/>
        <w:gridCol w:w="1694"/>
        <w:gridCol w:w="1694"/>
      </w:tblGrid>
      <w:tr>
        <w:trPr>
          <w:tblHeader w:val="true"/>
        </w:trPr>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Case</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Plan</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Minimum balance BDT</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Reserve BDT</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Kept?</w:t>
            </w:r>
          </w:p>
        </w:tc>
        <w:tc>
          <w:tcPr>
            <w:tcW w:type="dxa" w:w="1694"/>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Simulated breach probability</w:t>
            </w:r>
          </w:p>
        </w:tc>
      </w:tr>
      <w:tr>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stable_healthy</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0</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3,246,586.55</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389,265.83</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Yes</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0.0000</w:t>
            </w:r>
          </w:p>
        </w:tc>
      </w:tr>
      <w:tr>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sales_drop_cost_rise</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0</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-1,594,784.34</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529,253.62</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1.0000</w:t>
            </w:r>
          </w:p>
        </w:tc>
      </w:tr>
      <w:tr>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high_expense_shortage</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A</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-6,229,560.42</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622,695.93</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1.0000</w:t>
            </w:r>
          </w:p>
        </w:tc>
      </w:tr>
      <w:tr>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delayed_customer_payments</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0</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-188,551.13</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452,785.87</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w:t>
            </w:r>
          </w:p>
        </w:tc>
        <w:tc>
          <w:tcPr>
            <w:tcW w:type="dxa" w:w="1694"/>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1.0000</w:t>
            </w:r>
          </w:p>
        </w:tc>
      </w:tr>
      <w:tr>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import_financing</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Option A</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253,078.71</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420,886.89</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No</w:t>
            </w:r>
          </w:p>
        </w:tc>
        <w:tc>
          <w:tcPr>
            <w:tcW w:type="dxa" w:w="1694"/>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0.9845</w:t>
            </w:r>
          </w:p>
        </w:tc>
      </w:tr>
    </w:tbl>
    <w:p>
      <w:pPr>
        <w:spacing w:after="20"/>
      </w:pPr>
    </w:p>
    <w:p>
      <w:pPr>
        <w:spacing w:after="140"/>
        <w:jc w:val="center"/>
      </w:pPr>
      <w:r>
        <w:rPr>
          <w:rFonts w:ascii="Times New Roman" w:hAnsi="Times New Roman" w:eastAsia="Times New Roman"/>
          <w:b w:val="0"/>
          <w:i/>
          <w:color w:val="596963"/>
          <w:sz w:val="24"/>
        </w:rPr>
        <w:t>Table 6. Selected-plan results [E5]. Amounts rounded to two decimals.</w:t>
      </w:r>
    </w:p>
    <w:p>
      <w:pPr>
        <w:spacing w:after="120" w:line="259" w:lineRule="auto"/>
      </w:pPr>
      <w:r>
        <w:rPr>
          <w:rFonts w:ascii="Times New Roman" w:hAnsi="Times New Roman" w:eastAsia="Times New Roman"/>
          <w:b w:val="0"/>
          <w:i w:val="0"/>
          <w:sz w:val="24"/>
        </w:rPr>
        <w:t>Breach probability is a seeded simulation output under model assumptions; it is not an observed real-business frequency or calibrated insolvency probability. Plan selection and reserve status are scenario properties, not evidence of improved outcomes.</w:t>
      </w:r>
    </w:p>
    <w:p>
      <w:pPr>
        <w:pStyle w:val="Heading1"/>
        <w:spacing w:before="160" w:after="80"/>
      </w:pPr>
      <w:r>
        <w:rPr>
          <w:rFonts w:ascii="Times New Roman" w:hAnsi="Times New Roman" w:eastAsia="Times New Roman"/>
          <w:b/>
          <w:i w:val="0"/>
          <w:color w:val="166B52"/>
          <w:sz w:val="24"/>
        </w:rPr>
        <w:t>5. Interface, sandbox and demo evidence</w:t>
      </w:r>
    </w:p>
    <w:p>
      <w:pPr>
        <w:pStyle w:val="Heading2"/>
        <w:spacing w:before="160" w:after="80"/>
      </w:pPr>
      <w:r>
        <w:rPr>
          <w:rFonts w:ascii="Times New Roman" w:hAnsi="Times New Roman" w:eastAsia="Times New Roman"/>
          <w:b/>
          <w:i w:val="0"/>
          <w:color w:val="183A35"/>
          <w:sz w:val="24"/>
        </w:rPr>
        <w:t>5.1 Captures currently present</w:t>
      </w:r>
    </w:p>
    <w:p>
      <w:pPr>
        <w:spacing w:after="120" w:line="259" w:lineRule="auto"/>
      </w:pPr>
      <w:r>
        <w:rPr>
          <w:rFonts w:ascii="Times New Roman" w:hAnsi="Times New Roman" w:eastAsia="Times New Roman"/>
          <w:b w:val="0"/>
          <w:i w:val="0"/>
          <w:sz w:val="24"/>
        </w:rPr>
        <w:t>The repository includes a public Overview capture and signed-in screenshots of synthetic-case workflows under docs/img/ [E6]. The historical T02 Overview image is retained separately as an older design record and is not presented as current UI evidence.</w:t>
      </w:r>
    </w:p>
    <w:p>
      <w:pPr>
        <w:jc w:val="center"/>
      </w:pPr>
      <w:r>
        <w:rPr>
          <w:rFonts w:ascii="Times New Roman" w:hAnsi="Times New Roman" w:eastAsia="Times New Roman"/>
          <w:sz w:val="24"/>
        </w:rPr>
        <w:drawing>
          <wp:inline xmlns:a="http://schemas.openxmlformats.org/drawingml/2006/main" xmlns:pic="http://schemas.openxmlformats.org/drawingml/2006/picture">
            <wp:extent cx="5669280" cy="43307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5669280" cy="4330700"/>
                    </a:xfrm>
                    <a:prstGeom prst="rect"/>
                  </pic:spPr>
                </pic:pic>
              </a:graphicData>
            </a:graphic>
          </wp:inline>
        </w:drawing>
      </w:r>
    </w:p>
    <w:p>
      <w:pPr>
        <w:spacing w:after="140"/>
        <w:jc w:val="center"/>
      </w:pPr>
      <w:r>
        <w:rPr>
          <w:rFonts w:ascii="Times New Roman" w:hAnsi="Times New Roman" w:eastAsia="Times New Roman"/>
          <w:b w:val="0"/>
          <w:i/>
          <w:color w:val="596963"/>
          <w:sz w:val="24"/>
        </w:rPr>
        <w:t>Figure 2. Current 1440px public Overview capture. It does not show a signed-in case workflow.</w:t>
      </w:r>
    </w:p>
    <w:p>
      <w:pPr>
        <w:pStyle w:val="Heading2"/>
        <w:spacing w:before="160" w:after="80"/>
      </w:pPr>
      <w:r>
        <w:rPr>
          <w:rFonts w:ascii="Times New Roman" w:hAnsi="Times New Roman" w:eastAsia="Times New Roman"/>
          <w:b/>
          <w:i w:val="0"/>
          <w:color w:val="183A35"/>
          <w:sz w:val="24"/>
        </w:rPr>
        <w:t>Historical image — reference only</w:t>
      </w:r>
    </w:p>
    <w:p>
      <w:pPr>
        <w:jc w:val="center"/>
      </w:pPr>
      <w:r>
        <w:rPr>
          <w:rFonts w:ascii="Times New Roman" w:hAnsi="Times New Roman" w:eastAsia="Times New Roman"/>
          <w:sz w:val="24"/>
        </w:rPr>
        <w:drawing>
          <wp:inline xmlns:a="http://schemas.openxmlformats.org/drawingml/2006/main" xmlns:pic="http://schemas.openxmlformats.org/drawingml/2006/picture">
            <wp:extent cx="5303520" cy="3776976"/>
            <wp:docPr id="2" name="Picture 2"/>
            <wp:cNvGraphicFramePr>
              <a:graphicFrameLocks noChangeAspect="1"/>
            </wp:cNvGraphicFramePr>
            <a:graphic>
              <a:graphicData uri="http://schemas.openxmlformats.org/drawingml/2006/picture">
                <pic:pic>
                  <pic:nvPicPr>
                    <pic:cNvPr id="0" name="t02-overview-review.png"/>
                    <pic:cNvPicPr/>
                  </pic:nvPicPr>
                  <pic:blipFill>
                    <a:blip r:embed="rId12"/>
                    <a:stretch>
                      <a:fillRect/>
                    </a:stretch>
                  </pic:blipFill>
                  <pic:spPr>
                    <a:xfrm>
                      <a:off x="0" y="0"/>
                      <a:ext cx="5303520" cy="3776976"/>
                    </a:xfrm>
                    <a:prstGeom prst="rect"/>
                  </pic:spPr>
                </pic:pic>
              </a:graphicData>
            </a:graphic>
          </wp:inline>
        </w:drawing>
      </w:r>
    </w:p>
    <w:p>
      <w:pPr>
        <w:spacing w:after="140"/>
        <w:jc w:val="center"/>
      </w:pPr>
      <w:r>
        <w:rPr>
          <w:rFonts w:ascii="Times New Roman" w:hAnsi="Times New Roman" w:eastAsia="Times New Roman"/>
          <w:b w:val="0"/>
          <w:i/>
          <w:color w:val="596963"/>
          <w:sz w:val="24"/>
        </w:rPr>
        <w:t>Figure 3. T02 historical Overview review capture; not current interface evidence.</w:t>
      </w:r>
    </w:p>
    <w:p>
      <w:pPr>
        <w:pStyle w:val="Heading2"/>
        <w:spacing w:before="160" w:after="80"/>
      </w:pPr>
      <w:r>
        <w:rPr>
          <w:rFonts w:ascii="Times New Roman" w:hAnsi="Times New Roman" w:eastAsia="Times New Roman"/>
          <w:b/>
          <w:i w:val="0"/>
          <w:color w:val="183A35"/>
          <w:sz w:val="24"/>
        </w:rPr>
        <w:t>5.2 Signed-in screenshot exhibits</w:t>
      </w:r>
    </w:p>
    <w:p>
      <w:pPr>
        <w:spacing w:after="120" w:line="259" w:lineRule="auto"/>
      </w:pPr>
      <w:r>
        <w:rPr>
          <w:rFonts w:ascii="Times New Roman" w:hAnsi="Times New Roman" w:eastAsia="Times New Roman"/>
          <w:b w:val="0"/>
          <w:i w:val="0"/>
          <w:sz w:val="24"/>
        </w:rPr>
        <w:t>Signed-in captures for Cash Flow, Decision Lab, Financing, Analysis, Copilot, Approvals, Upload and Security are embedded below. Supplementary captures for related case, lever, stress, readiness, approval and audit states remain in docs/img/. These are repository images; a separate video recording is not included.</w:t>
      </w:r>
    </w:p>
    <w:p>
      <w:pPr>
        <w:pStyle w:val="Heading2"/>
        <w:spacing w:before="160" w:after="80"/>
      </w:pPr>
      <w:r>
        <w:rPr>
          <w:rFonts w:ascii="Times New Roman" w:hAnsi="Times New Roman" w:eastAsia="Times New Roman"/>
          <w:b/>
          <w:i w:val="0"/>
          <w:color w:val="183A35"/>
          <w:sz w:val="24"/>
        </w:rPr>
        <w:t>Figure 4 — Cash Flow</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w:val="center"/>
            </w:pPr>
            <w:r>
              <w:drawing>
                <wp:inline xmlns:a="http://schemas.openxmlformats.org/drawingml/2006/main" xmlns:pic="http://schemas.openxmlformats.org/drawingml/2006/picture">
                  <wp:extent cx="5486400" cy="4876800"/>
                  <wp:docPr id="3" name="Picture 3"/>
                  <wp:cNvGraphicFramePr>
                    <a:graphicFrameLocks noChangeAspect="1"/>
                  </wp:cNvGraphicFramePr>
                  <a:graphic>
                    <a:graphicData uri="http://schemas.openxmlformats.org/drawingml/2006/picture">
                      <pic:pic>
                        <pic:nvPicPr>
                          <pic:cNvPr id="0" name="cashflow.png"/>
                          <pic:cNvPicPr/>
                        </pic:nvPicPr>
                        <pic:blipFill>
                          <a:blip r:embed="rId13"/>
                          <a:stretch>
                            <a:fillRect/>
                          </a:stretch>
                        </pic:blipFill>
                        <pic:spPr>
                          <a:xfrm>
                            <a:off x="0" y="0"/>
                            <a:ext cx="5486400" cy="4876800"/>
                          </a:xfrm>
                          <a:prstGeom prst="rect"/>
                        </pic:spPr>
                      </pic:pic>
                    </a:graphicData>
                  </a:graphic>
                </wp:inline>
              </w:drawing>
            </w:r>
          </w:p>
        </w:tc>
      </w:tr>
    </w:tbl>
    <w:p/>
    <w:p>
      <w:pPr>
        <w:spacing w:after="140"/>
        <w:jc w:val="center"/>
      </w:pPr>
      <w:r>
        <w:rPr>
          <w:rFonts w:ascii="Times New Roman" w:hAnsi="Times New Roman" w:eastAsia="Times New Roman"/>
          <w:b w:val="0"/>
          <w:i/>
          <w:color w:val="596963"/>
          <w:sz w:val="24"/>
        </w:rPr>
        <w:t>Fig. 4. Signed-in synthetic-case Cash Flow view. Source: docs/img/cashflow.png.</w:t>
      </w:r>
    </w:p>
    <w:p>
      <w:pPr>
        <w:pStyle w:val="Heading2"/>
        <w:spacing w:before="160" w:after="80"/>
      </w:pPr>
      <w:r>
        <w:rPr>
          <w:rFonts w:ascii="Times New Roman" w:hAnsi="Times New Roman" w:eastAsia="Times New Roman"/>
          <w:b/>
          <w:i w:val="0"/>
          <w:color w:val="183A35"/>
          <w:sz w:val="24"/>
        </w:rPr>
        <w:t>Figure 5 — Decision Lab</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w:val="center"/>
            </w:pPr>
            <w:r>
              <w:drawing>
                <wp:inline xmlns:a="http://schemas.openxmlformats.org/drawingml/2006/main" xmlns:pic="http://schemas.openxmlformats.org/drawingml/2006/picture">
                  <wp:extent cx="5486400" cy="4876800"/>
                  <wp:docPr id="4" name="Picture 4"/>
                  <wp:cNvGraphicFramePr>
                    <a:graphicFrameLocks noChangeAspect="1"/>
                  </wp:cNvGraphicFramePr>
                  <a:graphic>
                    <a:graphicData uri="http://schemas.openxmlformats.org/drawingml/2006/picture">
                      <pic:pic>
                        <pic:nvPicPr>
                          <pic:cNvPr id="0" name="lab.png"/>
                          <pic:cNvPicPr/>
                        </pic:nvPicPr>
                        <pic:blipFill>
                          <a:blip r:embed="rId14"/>
                          <a:stretch>
                            <a:fillRect/>
                          </a:stretch>
                        </pic:blipFill>
                        <pic:spPr>
                          <a:xfrm>
                            <a:off x="0" y="0"/>
                            <a:ext cx="5486400" cy="4876800"/>
                          </a:xfrm>
                          <a:prstGeom prst="rect"/>
                        </pic:spPr>
                      </pic:pic>
                    </a:graphicData>
                  </a:graphic>
                </wp:inline>
              </w:drawing>
            </w:r>
          </w:p>
        </w:tc>
      </w:tr>
    </w:tbl>
    <w:p/>
    <w:p>
      <w:pPr>
        <w:spacing w:after="140"/>
        <w:jc w:val="center"/>
      </w:pPr>
      <w:r>
        <w:rPr>
          <w:rFonts w:ascii="Times New Roman" w:hAnsi="Times New Roman" w:eastAsia="Times New Roman"/>
          <w:b w:val="0"/>
          <w:i/>
          <w:color w:val="596963"/>
          <w:sz w:val="24"/>
        </w:rPr>
        <w:t>Fig. 5. Signed-in synthetic-case plan comparison and recommendation. Source: docs/img/lab.png.</w:t>
      </w:r>
    </w:p>
    <w:p>
      <w:pPr>
        <w:pStyle w:val="Heading2"/>
        <w:spacing w:before="160" w:after="80"/>
      </w:pPr>
      <w:r>
        <w:rPr>
          <w:rFonts w:ascii="Times New Roman" w:hAnsi="Times New Roman" w:eastAsia="Times New Roman"/>
          <w:b/>
          <w:i w:val="0"/>
          <w:color w:val="183A35"/>
          <w:sz w:val="24"/>
        </w:rPr>
        <w:t>Figure 6 — Financing</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w:val="center"/>
            </w:pPr>
            <w:r>
              <w:drawing>
                <wp:inline xmlns:a="http://schemas.openxmlformats.org/drawingml/2006/main" xmlns:pic="http://schemas.openxmlformats.org/drawingml/2006/picture">
                  <wp:extent cx="5486400" cy="4876800"/>
                  <wp:docPr id="5" name="Picture 5"/>
                  <wp:cNvGraphicFramePr>
                    <a:graphicFrameLocks noChangeAspect="1"/>
                  </wp:cNvGraphicFramePr>
                  <a:graphic>
                    <a:graphicData uri="http://schemas.openxmlformats.org/drawingml/2006/picture">
                      <pic:pic>
                        <pic:nvPicPr>
                          <pic:cNvPr id="0" name="financing.png"/>
                          <pic:cNvPicPr/>
                        </pic:nvPicPr>
                        <pic:blipFill>
                          <a:blip r:embed="rId15"/>
                          <a:stretch>
                            <a:fillRect/>
                          </a:stretch>
                        </pic:blipFill>
                        <pic:spPr>
                          <a:xfrm>
                            <a:off x="0" y="0"/>
                            <a:ext cx="5486400" cy="4876800"/>
                          </a:xfrm>
                          <a:prstGeom prst="rect"/>
                        </pic:spPr>
                      </pic:pic>
                    </a:graphicData>
                  </a:graphic>
                </wp:inline>
              </w:drawing>
            </w:r>
          </w:p>
        </w:tc>
      </w:tr>
    </w:tbl>
    <w:p/>
    <w:p>
      <w:pPr>
        <w:spacing w:after="140"/>
        <w:jc w:val="center"/>
      </w:pPr>
      <w:r>
        <w:rPr>
          <w:rFonts w:ascii="Times New Roman" w:hAnsi="Times New Roman" w:eastAsia="Times New Roman"/>
          <w:b w:val="0"/>
          <w:i/>
          <w:color w:val="596963"/>
          <w:sz w:val="24"/>
        </w:rPr>
        <w:t>Fig. 6. Signed-in illustrative financing view. Source: docs/img/financing.png.</w:t>
      </w:r>
    </w:p>
    <w:p>
      <w:pPr>
        <w:pStyle w:val="Heading2"/>
        <w:spacing w:before="160" w:after="80"/>
      </w:pPr>
      <w:r>
        <w:rPr>
          <w:rFonts w:ascii="Times New Roman" w:hAnsi="Times New Roman" w:eastAsia="Times New Roman"/>
          <w:b/>
          <w:i w:val="0"/>
          <w:color w:val="183A35"/>
          <w:sz w:val="24"/>
        </w:rPr>
        <w:t>Figure 7 — Analysis</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w:val="center"/>
            </w:pPr>
            <w:r>
              <w:drawing>
                <wp:inline xmlns:a="http://schemas.openxmlformats.org/drawingml/2006/main" xmlns:pic="http://schemas.openxmlformats.org/drawingml/2006/picture">
                  <wp:extent cx="5486400" cy="4876800"/>
                  <wp:docPr id="6" name="Picture 6"/>
                  <wp:cNvGraphicFramePr>
                    <a:graphicFrameLocks noChangeAspect="1"/>
                  </wp:cNvGraphicFramePr>
                  <a:graphic>
                    <a:graphicData uri="http://schemas.openxmlformats.org/drawingml/2006/picture">
                      <pic:pic>
                        <pic:nvPicPr>
                          <pic:cNvPr id="0" name="analysis.png"/>
                          <pic:cNvPicPr/>
                        </pic:nvPicPr>
                        <pic:blipFill>
                          <a:blip r:embed="rId16"/>
                          <a:stretch>
                            <a:fillRect/>
                          </a:stretch>
                        </pic:blipFill>
                        <pic:spPr>
                          <a:xfrm>
                            <a:off x="0" y="0"/>
                            <a:ext cx="5486400" cy="4876800"/>
                          </a:xfrm>
                          <a:prstGeom prst="rect"/>
                        </pic:spPr>
                      </pic:pic>
                    </a:graphicData>
                  </a:graphic>
                </wp:inline>
              </w:drawing>
            </w:r>
          </w:p>
        </w:tc>
      </w:tr>
    </w:tbl>
    <w:p/>
    <w:p>
      <w:pPr>
        <w:spacing w:after="140"/>
        <w:jc w:val="center"/>
      </w:pPr>
      <w:r>
        <w:rPr>
          <w:rFonts w:ascii="Times New Roman" w:hAnsi="Times New Roman" w:eastAsia="Times New Roman"/>
          <w:b w:val="0"/>
          <w:i/>
          <w:color w:val="596963"/>
          <w:sz w:val="24"/>
        </w:rPr>
        <w:t>Fig. 7. Signed-in synthetic-case analysis and watchlist. Source: docs/img/analysis.png.</w:t>
      </w:r>
    </w:p>
    <w:p>
      <w:pPr>
        <w:pStyle w:val="Heading2"/>
        <w:spacing w:before="160" w:after="80"/>
      </w:pPr>
      <w:r>
        <w:rPr>
          <w:rFonts w:ascii="Times New Roman" w:hAnsi="Times New Roman" w:eastAsia="Times New Roman"/>
          <w:b/>
          <w:i w:val="0"/>
          <w:color w:val="183A35"/>
          <w:sz w:val="24"/>
        </w:rPr>
        <w:t>Figure 8 — Copilot</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w:val="center"/>
            </w:pPr>
            <w:r>
              <w:drawing>
                <wp:inline xmlns:a="http://schemas.openxmlformats.org/drawingml/2006/main" xmlns:pic="http://schemas.openxmlformats.org/drawingml/2006/picture">
                  <wp:extent cx="5486400" cy="4217621"/>
                  <wp:docPr id="7" name="Picture 7"/>
                  <wp:cNvGraphicFramePr>
                    <a:graphicFrameLocks noChangeAspect="1"/>
                  </wp:cNvGraphicFramePr>
                  <a:graphic>
                    <a:graphicData uri="http://schemas.openxmlformats.org/drawingml/2006/picture">
                      <pic:pic>
                        <pic:nvPicPr>
                          <pic:cNvPr id="0" name="copilot.png"/>
                          <pic:cNvPicPr/>
                        </pic:nvPicPr>
                        <pic:blipFill>
                          <a:blip r:embed="rId17"/>
                          <a:stretch>
                            <a:fillRect/>
                          </a:stretch>
                        </pic:blipFill>
                        <pic:spPr>
                          <a:xfrm>
                            <a:off x="0" y="0"/>
                            <a:ext cx="5486400" cy="4217621"/>
                          </a:xfrm>
                          <a:prstGeom prst="rect"/>
                        </pic:spPr>
                      </pic:pic>
                    </a:graphicData>
                  </a:graphic>
                </wp:inline>
              </w:drawing>
            </w:r>
          </w:p>
        </w:tc>
      </w:tr>
    </w:tbl>
    <w:p/>
    <w:p>
      <w:pPr>
        <w:spacing w:after="140"/>
        <w:jc w:val="center"/>
      </w:pPr>
      <w:r>
        <w:rPr>
          <w:rFonts w:ascii="Times New Roman" w:hAnsi="Times New Roman" w:eastAsia="Times New Roman"/>
          <w:b w:val="0"/>
          <w:i/>
          <w:color w:val="596963"/>
          <w:sz w:val="24"/>
        </w:rPr>
        <w:t>Fig. 8. Signed-in Copilot response and evidence area. Source: docs/img/copilot.png.</w:t>
      </w:r>
    </w:p>
    <w:p>
      <w:pPr>
        <w:pStyle w:val="Heading2"/>
        <w:spacing w:before="160" w:after="80"/>
      </w:pPr>
      <w:r>
        <w:rPr>
          <w:rFonts w:ascii="Times New Roman" w:hAnsi="Times New Roman" w:eastAsia="Times New Roman"/>
          <w:b/>
          <w:i w:val="0"/>
          <w:color w:val="183A35"/>
          <w:sz w:val="24"/>
        </w:rPr>
        <w:t>Figure 9 — Approvals</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w:val="center"/>
            </w:pPr>
            <w:r>
              <w:drawing>
                <wp:inline xmlns:a="http://schemas.openxmlformats.org/drawingml/2006/main" xmlns:pic="http://schemas.openxmlformats.org/drawingml/2006/picture">
                  <wp:extent cx="5486400" cy="6324600"/>
                  <wp:docPr id="8" name="Picture 8"/>
                  <wp:cNvGraphicFramePr>
                    <a:graphicFrameLocks noChangeAspect="1"/>
                  </wp:cNvGraphicFramePr>
                  <a:graphic>
                    <a:graphicData uri="http://schemas.openxmlformats.org/drawingml/2006/picture">
                      <pic:pic>
                        <pic:nvPicPr>
                          <pic:cNvPr id="0" name="approvals-workflow.png"/>
                          <pic:cNvPicPr/>
                        </pic:nvPicPr>
                        <pic:blipFill>
                          <a:blip r:embed="rId18"/>
                          <a:stretch>
                            <a:fillRect/>
                          </a:stretch>
                        </pic:blipFill>
                        <pic:spPr>
                          <a:xfrm>
                            <a:off x="0" y="0"/>
                            <a:ext cx="5486400" cy="6324600"/>
                          </a:xfrm>
                          <a:prstGeom prst="rect"/>
                        </pic:spPr>
                      </pic:pic>
                    </a:graphicData>
                  </a:graphic>
                </wp:inline>
              </w:drawing>
            </w:r>
          </w:p>
        </w:tc>
      </w:tr>
    </w:tbl>
    <w:p/>
    <w:p>
      <w:pPr>
        <w:spacing w:after="140"/>
        <w:jc w:val="center"/>
      </w:pPr>
      <w:r>
        <w:rPr>
          <w:rFonts w:ascii="Times New Roman" w:hAnsi="Times New Roman" w:eastAsia="Times New Roman"/>
          <w:b w:val="0"/>
          <w:i/>
          <w:color w:val="596963"/>
          <w:sz w:val="24"/>
        </w:rPr>
        <w:t>Fig. 9. Synthetic draft approval workflow; UI states alone do not prove recorded execution. Source: docs/img/approvals-workflow.png.</w:t>
      </w:r>
    </w:p>
    <w:p>
      <w:pPr>
        <w:pStyle w:val="Heading2"/>
        <w:spacing w:before="160" w:after="80"/>
      </w:pPr>
      <w:r>
        <w:rPr>
          <w:rFonts w:ascii="Times New Roman" w:hAnsi="Times New Roman" w:eastAsia="Times New Roman"/>
          <w:b/>
          <w:i w:val="0"/>
          <w:color w:val="183A35"/>
          <w:sz w:val="24"/>
        </w:rPr>
        <w:t>Figure 10 — Upload</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w:val="center"/>
            </w:pPr>
            <w:r>
              <w:drawing>
                <wp:inline xmlns:a="http://schemas.openxmlformats.org/drawingml/2006/main" xmlns:pic="http://schemas.openxmlformats.org/drawingml/2006/picture">
                  <wp:extent cx="5486400" cy="4876800"/>
                  <wp:docPr id="9" name="Picture 9"/>
                  <wp:cNvGraphicFramePr>
                    <a:graphicFrameLocks noChangeAspect="1"/>
                  </wp:cNvGraphicFramePr>
                  <a:graphic>
                    <a:graphicData uri="http://schemas.openxmlformats.org/drawingml/2006/picture">
                      <pic:pic>
                        <pic:nvPicPr>
                          <pic:cNvPr id="0" name="upload.png"/>
                          <pic:cNvPicPr/>
                        </pic:nvPicPr>
                        <pic:blipFill>
                          <a:blip r:embed="rId19"/>
                          <a:stretch>
                            <a:fillRect/>
                          </a:stretch>
                        </pic:blipFill>
                        <pic:spPr>
                          <a:xfrm>
                            <a:off x="0" y="0"/>
                            <a:ext cx="5486400" cy="4876800"/>
                          </a:xfrm>
                          <a:prstGeom prst="rect"/>
                        </pic:spPr>
                      </pic:pic>
                    </a:graphicData>
                  </a:graphic>
                </wp:inline>
              </w:drawing>
            </w:r>
          </w:p>
        </w:tc>
      </w:tr>
    </w:tbl>
    <w:p/>
    <w:p>
      <w:pPr>
        <w:spacing w:after="140"/>
        <w:jc w:val="center"/>
      </w:pPr>
      <w:r>
        <w:rPr>
          <w:rFonts w:ascii="Times New Roman" w:hAnsi="Times New Roman" w:eastAsia="Times New Roman"/>
          <w:b w:val="0"/>
          <w:i/>
          <w:color w:val="596963"/>
          <w:sz w:val="24"/>
        </w:rPr>
        <w:t>Fig. 10. Signed-in upload validation view. Source: docs/img/upload.png.</w:t>
      </w:r>
    </w:p>
    <w:p>
      <w:pPr>
        <w:pStyle w:val="Heading2"/>
        <w:spacing w:before="160" w:after="80"/>
      </w:pPr>
      <w:r>
        <w:rPr>
          <w:rFonts w:ascii="Times New Roman" w:hAnsi="Times New Roman" w:eastAsia="Times New Roman"/>
          <w:b/>
          <w:i w:val="0"/>
          <w:color w:val="183A35"/>
          <w:sz w:val="24"/>
        </w:rPr>
        <w:t>Figure 11 — Security</w:t>
      </w:r>
    </w:p>
    <w:tbl>
      <w:tblPr>
        <w:tblW w:type="auto" w:w="0"/>
        <w:jc w:val="center"/>
        <w:tblLook w:firstColumn="1" w:firstRow="1" w:lastColumn="0" w:lastRow="0" w:noHBand="0" w:noVBand="1" w:val="04A0"/>
      </w:tblPr>
      <w:tblGrid>
        <w:gridCol w:w="10166"/>
      </w:tblGrid>
      <w:tr>
        <w:tc>
          <w:tcPr>
            <w:tcW w:type="dxa" w:w="10166"/>
            <w:shd w:fill="FCE4D6"/>
            <w:tcBorders>
              <w:top w:val="single" w:sz="5" w:color="D7E4DD"/>
              <w:left w:val="single" w:sz="5" w:color="D7E4DD"/>
              <w:bottom w:val="single" w:sz="5" w:color="D7E4DD"/>
              <w:right w:val="single" w:sz="5" w:color="D7E4DD"/>
              <w:insideH w:val="single" w:sz="5" w:color="D7E4DD"/>
              <w:insideV w:val="single" w:sz="5" w:color="D7E4DD"/>
            </w:tcBorders>
          </w:tcPr>
          <w:p>
            <w:pPr>
              <w:jc w:val="center"/>
            </w:pPr>
            <w:r>
              <w:drawing>
                <wp:inline xmlns:a="http://schemas.openxmlformats.org/drawingml/2006/main" xmlns:pic="http://schemas.openxmlformats.org/drawingml/2006/picture">
                  <wp:extent cx="5486400" cy="4876800"/>
                  <wp:docPr id="10" name="Picture 10"/>
                  <wp:cNvGraphicFramePr>
                    <a:graphicFrameLocks noChangeAspect="1"/>
                  </wp:cNvGraphicFramePr>
                  <a:graphic>
                    <a:graphicData uri="http://schemas.openxmlformats.org/drawingml/2006/picture">
                      <pic:pic>
                        <pic:nvPicPr>
                          <pic:cNvPr id="0" name="security.png"/>
                          <pic:cNvPicPr/>
                        </pic:nvPicPr>
                        <pic:blipFill>
                          <a:blip r:embed="rId20"/>
                          <a:stretch>
                            <a:fillRect/>
                          </a:stretch>
                        </pic:blipFill>
                        <pic:spPr>
                          <a:xfrm>
                            <a:off x="0" y="0"/>
                            <a:ext cx="5486400" cy="4876800"/>
                          </a:xfrm>
                          <a:prstGeom prst="rect"/>
                        </pic:spPr>
                      </pic:pic>
                    </a:graphicData>
                  </a:graphic>
                </wp:inline>
              </w:drawing>
            </w:r>
          </w:p>
        </w:tc>
      </w:tr>
    </w:tbl>
    <w:p/>
    <w:p>
      <w:pPr>
        <w:spacing w:after="140"/>
        <w:jc w:val="center"/>
      </w:pPr>
      <w:r>
        <w:rPr>
          <w:rFonts w:ascii="Times New Roman" w:hAnsi="Times New Roman" w:eastAsia="Times New Roman"/>
          <w:b w:val="0"/>
          <w:i/>
          <w:color w:val="596963"/>
          <w:sz w:val="24"/>
        </w:rPr>
        <w:t>Fig. 11. Signed-in security role/action view. Source: docs/img/security.png.</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Requested file</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Proof point</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Reviewed repository status</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docs/img/cashflow.png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Forecast, reserve and uncertainty</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Present; embedded in report</w:t>
            </w:r>
            <w:r>
              <w:rPr>
                <w:rFonts w:ascii="Times New Roman" w:hAnsi="Times New Roman" w:eastAsia="Times New Roman"/>
                <w:b w:val="0"/>
                <w:i w:val="0"/>
                <w:color w:val="183A35"/>
                <w:sz w:val="24"/>
              </w:rPr>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docs/img/lab.png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Plans and levers</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Present; embedded in report</w:t>
            </w:r>
            <w:r>
              <w:rPr>
                <w:rFonts w:ascii="Times New Roman" w:hAnsi="Times New Roman" w:eastAsia="Times New Roman"/>
                <w:b w:val="0"/>
                <w:i w:val="0"/>
                <w:color w:val="183A35"/>
                <w:sz w:val="24"/>
              </w:rPr>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docs/img/financing.png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Illustrative schedule</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Present; embedded in report</w:t>
            </w:r>
            <w:r>
              <w:rPr>
                <w:rFonts w:ascii="Times New Roman" w:hAnsi="Times New Roman" w:eastAsia="Times New Roman"/>
                <w:b w:val="0"/>
                <w:i w:val="0"/>
                <w:color w:val="183A35"/>
                <w:sz w:val="24"/>
              </w:rPr>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docs/img/analysis.png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Analysis and watchlist</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Present; embedded in report</w:t>
            </w:r>
            <w:r>
              <w:rPr>
                <w:rFonts w:ascii="Times New Roman" w:hAnsi="Times New Roman" w:eastAsia="Times New Roman"/>
                <w:b w:val="0"/>
                <w:i w:val="0"/>
                <w:color w:val="183A35"/>
                <w:sz w:val="24"/>
              </w:rPr>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docs/img/copilot.png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Answer, evidence and receipt</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Present; embedded in report</w:t>
            </w:r>
            <w:r>
              <w:rPr>
                <w:rFonts w:ascii="Times New Roman" w:hAnsi="Times New Roman" w:eastAsia="Times New Roman"/>
                <w:b w:val="0"/>
                <w:i w:val="0"/>
                <w:color w:val="183A35"/>
                <w:sz w:val="24"/>
              </w:rPr>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docs/img/approvals.png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Draft and owner approval</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Present; embedded in report</w:t>
            </w:r>
            <w:r>
              <w:rPr>
                <w:rFonts w:ascii="Times New Roman" w:hAnsi="Times New Roman" w:eastAsia="Times New Roman"/>
                <w:b w:val="0"/>
                <w:i w:val="0"/>
                <w:color w:val="183A35"/>
                <w:sz w:val="24"/>
              </w:rPr>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docs/img/upload.png</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Upload validation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Present; embedded in report</w:t>
            </w:r>
            <w:r>
              <w:rPr>
                <w:rFonts w:ascii="Times New Roman" w:hAnsi="Times New Roman" w:eastAsia="Times New Roman"/>
                <w:b w:val="0"/>
                <w:i w:val="0"/>
                <w:color w:val="183A35"/>
                <w:sz w:val="24"/>
              </w:rPr>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docs/img/security.png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Security role matrix</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Present; embedded in report</w:t>
            </w:r>
            <w:r>
              <w:rPr>
                <w:rFonts w:ascii="Times New Roman" w:hAnsi="Times New Roman" w:eastAsia="Times New Roman"/>
                <w:b w:val="0"/>
                <w:i w:val="0"/>
                <w:color w:val="183A35"/>
                <w:sz w:val="24"/>
              </w:rPr>
            </w:r>
          </w:p>
        </w:tc>
      </w:tr>
    </w:tbl>
    <w:p>
      <w:pPr>
        <w:spacing w:after="20"/>
      </w:pPr>
    </w:p>
    <w:p>
      <w:pPr>
        <w:spacing w:after="140"/>
        <w:jc w:val="center"/>
      </w:pPr>
      <w:r>
        <w:rPr>
          <w:rFonts w:ascii="Times New Roman" w:hAnsi="Times New Roman" w:eastAsia="Times New Roman"/>
          <w:b w:val="0"/>
          <w:i/>
          <w:color w:val="596963"/>
          <w:sz w:val="24"/>
        </w:rPr>
        <w:t>Table 7. Requested screenshots and current status [E6].</w:t>
      </w:r>
    </w:p>
    <w:p>
      <w:pPr>
        <w:pStyle w:val="Heading1"/>
        <w:spacing w:before="160" w:after="80"/>
      </w:pPr>
      <w:r>
        <w:rPr>
          <w:rFonts w:ascii="Times New Roman" w:hAnsi="Times New Roman" w:eastAsia="Times New Roman"/>
          <w:b/>
          <w:i w:val="0"/>
          <w:color w:val="166B52"/>
          <w:sz w:val="24"/>
        </w:rPr>
        <w:t>6. Sandbox log and demo video status</w:t>
      </w:r>
    </w:p>
    <w:p>
      <w:pPr>
        <w:spacing w:after="120" w:line="259" w:lineRule="auto"/>
      </w:pPr>
      <w:r>
        <w:rPr>
          <w:rFonts w:ascii="Times New Roman" w:hAnsi="Times New Roman" w:eastAsia="Times New Roman"/>
          <w:b w:val="0"/>
          <w:i w:val="0"/>
          <w:sz w:val="24"/>
        </w:rPr>
        <w:t>Use a clean local checkout and retain the complete output of each run. Preserve the existing dated transcript; create a new timestamped artifact for new execution results. Topic E is non-on-chain, so transaction hashes are not applicable.</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Purpose</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Command or capture</w:t>
            </w:r>
          </w:p>
        </w:tc>
        <w:tc>
          <w:tcPr>
            <w:tcW w:type="dxa" w:w="3389"/>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Minimum evidence to retain</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Full test suite</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-m pytest -q</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stdout, stderr, exit code, UTC time and dependency versions</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Health check</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run.py check</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Complete output and exit code</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Evaluation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run.py eval</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Timestamped backtest, decision-quality, security and test artifacts</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Workflow suite</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scripts/run_tasks.py</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13-workflow report and exit code</w:t>
            </w:r>
          </w:p>
        </w:tc>
      </w:tr>
      <w:tr>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Visual session</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python run.py demo</w:t>
            </w:r>
          </w:p>
        </w:tc>
        <w:tc>
          <w:tcPr>
            <w:tcW w:type="dxa" w:w="3389"/>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Role, case, mode, viewport and capture time</w:t>
            </w:r>
          </w:p>
        </w:tc>
      </w:tr>
      <w:tr>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Page capture</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1440px browser PNG</w:t>
            </w:r>
          </w:p>
        </w:tc>
        <w:tc>
          <w:tcPr>
            <w:tcW w:type="dxa" w:w="3389"/>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Original PNG, expected docs/img name, factual caption and synthetic label</w:t>
            </w:r>
          </w:p>
        </w:tc>
      </w:tr>
    </w:tbl>
    <w:p>
      <w:pPr>
        <w:spacing w:after="20"/>
      </w:pPr>
    </w:p>
    <w:p>
      <w:pPr>
        <w:spacing w:after="140"/>
        <w:jc w:val="center"/>
      </w:pPr>
      <w:r>
        <w:rPr>
          <w:rFonts w:ascii="Times New Roman" w:hAnsi="Times New Roman" w:eastAsia="Times New Roman"/>
          <w:b w:val="0"/>
          <w:i/>
          <w:color w:val="596963"/>
          <w:sz w:val="24"/>
        </w:rPr>
        <w:t>Table 8. Reproduction commands and minimum provenance.</w:t>
      </w:r>
    </w:p>
    <w:p>
      <w:pPr>
        <w:spacing w:after="120" w:line="259" w:lineRule="auto"/>
      </w:pPr>
      <w:r>
        <w:rPr>
          <w:rFonts w:ascii="Times New Roman" w:hAnsi="Times New Roman" w:eastAsia="Times New Roman"/>
          <w:b w:val="0"/>
          <w:i w:val="0"/>
          <w:sz w:val="24"/>
        </w:rPr>
        <w:t>The action-simulation service is designed to append local JSONL evidence at evidence/sandbox_log.jsonl with network_sent=false; that runtime file is absent from the reviewed tree. The repository has a demo script at docs/DEMO_SCRIPT.md, but no recorded demo video. No live sandbox execution or video is claimed by this report.</w:t>
      </w:r>
    </w:p>
    <w:p>
      <w:pPr>
        <w:pStyle w:val="Heading1"/>
        <w:spacing w:before="160" w:after="80"/>
      </w:pPr>
      <w:r>
        <w:rPr>
          <w:rFonts w:ascii="Times New Roman" w:hAnsi="Times New Roman" w:eastAsia="Times New Roman"/>
          <w:b/>
          <w:i w:val="0"/>
          <w:color w:val="166B52"/>
          <w:sz w:val="24"/>
        </w:rPr>
        <w:t>7. Artifact register</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ID</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Artifact</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Purpose / reported result</w:t>
            </w:r>
          </w:p>
        </w:tc>
        <w:tc>
          <w:tcPr>
            <w:tcW w:type="dxa" w:w="2541"/>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Reviewed status</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E1</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evidence/test_results.txt</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197-test full pytest output, timestamp, command and exit code</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2026-10-18</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E2</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evidence/task_suite_results.md</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Scripted service workflow outcomes</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13/13 PASS</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E3</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evidence/security_eval.md</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Authorization, injection/masking and tamper checks</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summarized results</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E4</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evidence/backtest_results.md and .csv</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Method and five-case MAE/WAPE</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model loses on all five cases</w:t>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E5</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evidence/decision_quality.json</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Selected plans, balances, reserve status and breach probability</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1/5 keeps reserve</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E6</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docs/img/*.png; evidence/t02-overview-review.png</w:t>
            </w:r>
            <w:r>
              <w:rPr>
                <w:rFonts w:ascii="Times New Roman" w:hAnsi="Times New Roman" w:eastAsia="Times New Roman"/>
                <w:b w:val="0"/>
                <w:i w:val="0"/>
                <w:color w:val="183A35"/>
                <w:sz w:val="24"/>
              </w:rPr>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Public and signed-in synthetic UI captures present; historical view kept separate</w:t>
            </w:r>
            <w:r>
              <w:rPr>
                <w:rFonts w:ascii="Times New Roman" w:hAnsi="Times New Roman" w:eastAsia="Times New Roman"/>
                <w:b w:val="0"/>
                <w:i w:val="0"/>
                <w:color w:val="183A35"/>
                <w:sz w:val="24"/>
              </w:rPr>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Present; 8 core views embedded in report</w:t>
            </w:r>
            <w:r>
              <w:rPr>
                <w:rFonts w:ascii="Times New Roman" w:hAnsi="Times New Roman" w:eastAsia="Times New Roman"/>
                <w:b w:val="0"/>
                <w:i w:val="0"/>
                <w:color w:val="183A35"/>
                <w:sz w:val="24"/>
              </w:rPr>
            </w:r>
          </w:p>
        </w:tc>
      </w:tr>
      <w:tr>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E7</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docs/EXECUTION_EVIDENCE.md</w:t>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Current evidence index, including log/video status</w:t>
            </w:r>
            <w:r>
              <w:rPr>
                <w:rFonts w:ascii="Times New Roman" w:hAnsi="Times New Roman" w:eastAsia="Times New Roman"/>
                <w:b w:val="0"/>
                <w:i w:val="0"/>
                <w:color w:val="183A35"/>
                <w:sz w:val="24"/>
              </w:rPr>
            </w:r>
          </w:p>
        </w:tc>
        <w:tc>
          <w:tcPr>
            <w:tcW w:type="dxa" w:w="2541"/>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w:t>
            </w:r>
          </w:p>
        </w:tc>
      </w:tr>
      <w:tr>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E8</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docs/SECURITY_SELF_ASSESSMENT.md</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Controls, STRIDE, test map and residual risks</w:t>
            </w:r>
          </w:p>
        </w:tc>
        <w:tc>
          <w:tcPr>
            <w:tcW w:type="dxa" w:w="2541"/>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Present; self-assessment only</w:t>
            </w:r>
          </w:p>
        </w:tc>
      </w:tr>
    </w:tbl>
    <w:p>
      <w:pPr>
        <w:spacing w:after="20"/>
      </w:pPr>
    </w:p>
    <w:p>
      <w:pPr>
        <w:spacing w:after="140"/>
        <w:jc w:val="center"/>
      </w:pPr>
      <w:r>
        <w:rPr>
          <w:rFonts w:ascii="Times New Roman" w:hAnsi="Times New Roman" w:eastAsia="Times New Roman"/>
          <w:b w:val="0"/>
          <w:i/>
          <w:color w:val="596963"/>
          <w:sz w:val="24"/>
        </w:rPr>
        <w:t>Table 9. Reviewed evidence source inventory.</w:t>
      </w:r>
    </w:p>
    <w:p>
      <w:pPr>
        <w:pStyle w:val="Heading1"/>
        <w:spacing w:before="160" w:after="80"/>
      </w:pPr>
      <w:r>
        <w:rPr>
          <w:rFonts w:ascii="Times New Roman" w:hAnsi="Times New Roman" w:eastAsia="Times New Roman"/>
          <w:b/>
          <w:i w:val="0"/>
          <w:color w:val="166B52"/>
          <w:sz w:val="24"/>
        </w:rPr>
        <w:t>8. Limitations and claims boundary</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508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Supported wording</w:t>
            </w:r>
          </w:p>
        </w:tc>
        <w:tc>
          <w:tcPr>
            <w:tcW w:type="dxa" w:w="5083"/>
            <w:shd w:fill="166B52"/>
            <w:tcBorders>
              <w:top w:val="single" w:sz="5" w:color="D7E4DD"/>
              <w:left w:val="single" w:sz="5" w:color="D7E4DD"/>
              <w:bottom w:val="single" w:sz="5" w:color="D7E4DD"/>
              <w:right w:val="single" w:sz="5" w:color="D7E4DD"/>
              <w:insideH w:val="single" w:sz="5" w:color="D7E4DD"/>
              <w:insideV w:val="single" w:sz="5" w:color="D7E4DD"/>
            </w:tcBorders>
            <w:vAlign w:val="center"/>
          </w:tcPr>
          <w:p>
            <w:r>
              <w:rPr>
                <w:rFonts w:ascii="Times New Roman" w:hAnsi="Times New Roman" w:eastAsia="Times New Roman"/>
                <w:sz w:val="24"/>
              </w:rPr>
            </w:r>
            <w:r>
              <w:rPr>
                <w:rFonts w:ascii="Times New Roman" w:hAnsi="Times New Roman" w:eastAsia="Times New Roman"/>
                <w:b/>
                <w:i w:val="0"/>
                <w:color w:val="FFFFFF"/>
                <w:sz w:val="24"/>
              </w:rPr>
              <w:t>Unsupported extension</w:t>
            </w:r>
          </w:p>
        </w:tc>
      </w:tr>
      <w:tr>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archived 18 Oct test run completed with 197 passes and exit code 0.</w:t>
            </w:r>
          </w:p>
        </w:tc>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No other full-suite result is included in the reviewed artifacts.</w:t>
            </w:r>
            <w:r>
              <w:rPr>
                <w:rFonts w:ascii="Times New Roman" w:hAnsi="Times New Roman" w:eastAsia="Times New Roman"/>
                <w:b w:val="0"/>
                <w:i w:val="0"/>
                <w:color w:val="183A35"/>
                <w:sz w:val="24"/>
              </w:rPr>
            </w:r>
          </w:p>
        </w:tc>
      </w:tr>
      <w:tr>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listed 13 workflows and 60 role/action decisions passed in their recorded runs.</w:t>
            </w:r>
          </w:p>
        </w:tc>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project passed independent penetration testing, certification or a complete security audit.</w:t>
            </w:r>
          </w:p>
        </w:tc>
      </w:tr>
      <w:tr>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Every measured synthetic holdout case has higher model MAE than the naive baseline.</w:t>
            </w:r>
          </w:p>
        </w:tc>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forecast is accurate, generalizes to SMEs or outperforms a baseline.</w:t>
            </w:r>
          </w:p>
        </w:tc>
      </w:tr>
      <w:tr>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The recorded selected plan kept reserve in one of five cases.</w:t>
            </w:r>
          </w:p>
        </w:tc>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r>
            <w:r>
              <w:rPr>
                <w:rFonts w:ascii="Times New Roman" w:hAnsi="Times New Roman" w:eastAsia="Times New Roman"/>
                <w:b w:val="0"/>
                <w:i w:val="0"/>
                <w:color w:val="183A35"/>
                <w:sz w:val="24"/>
              </w:rPr>
              <w:t>Recommendations improve outcomes or reliably preserve liquidity.</w:t>
            </w:r>
          </w:p>
        </w:tc>
      </w:tr>
      <w:tr>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Public Overview and selected signed-in synthetic-workflow screenshots are present.</w:t>
            </w:r>
            <w:r>
              <w:rPr>
                <w:rFonts w:ascii="Times New Roman" w:hAnsi="Times New Roman" w:eastAsia="Times New Roman"/>
                <w:b w:val="0"/>
                <w:i w:val="0"/>
                <w:color w:val="183A35"/>
                <w:sz w:val="24"/>
              </w:rPr>
            </w:r>
          </w:p>
        </w:tc>
        <w:tc>
          <w:tcPr>
            <w:tcW w:type="dxa" w:w="5083"/>
            <w:shd w:fill="F4F8F5"/>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Every page was live-verified or a demo video is included.</w:t>
            </w:r>
            <w:r>
              <w:rPr>
                <w:rFonts w:ascii="Times New Roman" w:hAnsi="Times New Roman" w:eastAsia="Times New Roman"/>
                <w:b w:val="0"/>
                <w:i w:val="0"/>
                <w:color w:val="183A35"/>
                <w:sz w:val="24"/>
              </w:rPr>
            </w:r>
          </w:p>
        </w:tc>
      </w:tr>
      <w:tr>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The app describes a local-only simulation; scripted workflow evidence and UI captures are checked in.</w:t>
            </w:r>
            <w:r>
              <w:rPr>
                <w:rFonts w:ascii="Times New Roman" w:hAnsi="Times New Roman" w:eastAsia="Times New Roman"/>
                <w:b w:val="0"/>
                <w:i w:val="0"/>
                <w:color w:val="183A35"/>
                <w:sz w:val="24"/>
              </w:rPr>
            </w:r>
          </w:p>
        </w:tc>
        <w:tc>
          <w:tcPr>
            <w:tcW w:type="dxa" w:w="5083"/>
            <w:shd w:fill="FFFFFF"/>
            <w:tcBorders>
              <w:top w:val="single" w:sz="5" w:color="D7E4DD"/>
              <w:left w:val="single" w:sz="5" w:color="D7E4DD"/>
              <w:bottom w:val="single" w:sz="5" w:color="D7E4DD"/>
              <w:right w:val="single" w:sz="5" w:color="D7E4DD"/>
              <w:insideH w:val="single" w:sz="5" w:color="D7E4DD"/>
              <w:insideV w:val="single" w:sz="5" w:color="D7E4DD"/>
            </w:tcBorders>
            <w:vAlign w:val="center"/>
          </w:tcPr>
          <w:p>
            <w:pPr>
              <w:spacing w:after="20" w:line="240" w:lineRule="auto"/>
            </w:pPr>
            <w:r>
              <w:rPr>
                <w:rFonts w:ascii="Times New Roman" w:hAnsi="Times New Roman" w:eastAsia="Times New Roman"/>
                <w:sz w:val="24"/>
              </w:rPr>
              <w:t>A runtime sandbox log or recorded demo video exists in this checkout.</w:t>
            </w:r>
            <w:r>
              <w:rPr>
                <w:rFonts w:ascii="Times New Roman" w:hAnsi="Times New Roman" w:eastAsia="Times New Roman"/>
                <w:b w:val="0"/>
                <w:i w:val="0"/>
                <w:color w:val="183A35"/>
                <w:sz w:val="24"/>
              </w:rPr>
            </w:r>
          </w:p>
        </w:tc>
      </w:tr>
    </w:tbl>
    <w:p>
      <w:pPr>
        <w:spacing w:after="20"/>
      </w:pPr>
    </w:p>
    <w:p>
      <w:pPr>
        <w:spacing w:after="140"/>
        <w:jc w:val="center"/>
      </w:pPr>
      <w:r>
        <w:rPr>
          <w:rFonts w:ascii="Times New Roman" w:hAnsi="Times New Roman" w:eastAsia="Times New Roman"/>
          <w:b w:val="0"/>
          <w:i/>
          <w:color w:val="596963"/>
          <w:sz w:val="24"/>
        </w:rPr>
        <w:t>Table 10. Claim language supported by the inspected artifacts.</w:t>
      </w:r>
    </w:p>
    <w:p>
      <w:pPr>
        <w:spacing w:after="120" w:line="259" w:lineRule="auto"/>
      </w:pPr>
      <w:r>
        <w:rPr>
          <w:rFonts w:ascii="Times New Roman" w:hAnsi="Times New Roman" w:eastAsia="Times New Roman"/>
          <w:b w:val="0"/>
          <w:i w:val="0"/>
          <w:sz w:val="24"/>
        </w:rPr>
        <w:t>All conclusions are limited to a synthetic-data prototype and the artifacts reviewed. UI captures provide visual evidence of selected synthetic workflows. The reviewed package does not include a runtime sandbox JSONL log or demo video; no on-chain transaction hashes apply to this non-on-chain topic. Production identity, monitoring, provider privacy controls and external review remain outside these results. For security caveats see [E8]; for algorithms and state transitions see docs/TECHNICAL_DOC.md and docs/Technical_Documentation_StratifyAI.docx.</w:t>
      </w:r>
    </w:p>
    <w:p>
      <w:pPr>
        <w:pStyle w:val="Heading1"/>
        <w:spacing w:before="160" w:after="80"/>
      </w:pPr>
      <w:r>
        <w:rPr>
          <w:rFonts w:ascii="Times New Roman" w:hAnsi="Times New Roman" w:eastAsia="Times New Roman"/>
          <w:b/>
          <w:i w:val="0"/>
          <w:color w:val="166B52"/>
          <w:sz w:val="24"/>
        </w:rPr>
        <w:t>References to project evidence</w:t>
      </w:r>
    </w:p>
    <w:p>
      <w:pPr>
        <w:pStyle w:val="ListNumber"/>
      </w:pPr>
      <w:r>
        <w:rPr>
          <w:rFonts w:ascii="Times New Roman" w:hAnsi="Times New Roman" w:eastAsia="Times New Roman"/>
          <w:b w:val="0"/>
          <w:i w:val="0"/>
          <w:sz w:val="24"/>
        </w:rPr>
        <w:t>[E1] StratifyAI repository, evidence/test_results.txt, full pytest transcript dated 2026-10-18.</w:t>
      </w:r>
    </w:p>
    <w:p>
      <w:pPr>
        <w:pStyle w:val="ListNumber"/>
      </w:pPr>
      <w:r>
        <w:rPr>
          <w:rFonts w:ascii="Times New Roman" w:hAnsi="Times New Roman" w:eastAsia="Times New Roman"/>
          <w:b w:val="0"/>
          <w:i w:val="0"/>
          <w:sz w:val="24"/>
        </w:rPr>
        <w:t>[E2] StratifyAI repository, evidence/task_suite_results.md, scripted workflows dated 2026-10-18.</w:t>
      </w:r>
    </w:p>
    <w:p>
      <w:pPr>
        <w:pStyle w:val="ListNumber"/>
      </w:pPr>
      <w:r>
        <w:rPr>
          <w:rFonts w:ascii="Times New Roman" w:hAnsi="Times New Roman" w:eastAsia="Times New Roman"/>
          <w:b w:val="0"/>
          <w:i w:val="0"/>
          <w:sz w:val="24"/>
        </w:rPr>
        <w:t>[E3] StratifyAI repository, evidence/security_eval.md, focused security evaluation dated 2026-10-18.</w:t>
      </w:r>
    </w:p>
    <w:p>
      <w:pPr>
        <w:pStyle w:val="ListNumber"/>
      </w:pPr>
      <w:r>
        <w:rPr>
          <w:rFonts w:ascii="Times New Roman" w:hAnsi="Times New Roman" w:eastAsia="Times New Roman"/>
          <w:b w:val="0"/>
          <w:i w:val="0"/>
          <w:sz w:val="24"/>
        </w:rPr>
        <w:t>[E4] StratifyAI repository, evidence/backtest_results.md and evidence/backtest_results.csv.</w:t>
      </w:r>
    </w:p>
    <w:p>
      <w:pPr>
        <w:pStyle w:val="ListNumber"/>
      </w:pPr>
      <w:r>
        <w:rPr>
          <w:rFonts w:ascii="Times New Roman" w:hAnsi="Times New Roman" w:eastAsia="Times New Roman"/>
          <w:b w:val="0"/>
          <w:i w:val="0"/>
          <w:sz w:val="24"/>
        </w:rPr>
        <w:t>[E5] StratifyAI repository, evidence/decision_quality.json.</w:t>
      </w:r>
    </w:p>
    <w:p>
      <w:pPr>
        <w:pStyle w:val="ListNumber"/>
      </w:pPr>
      <w:r>
        <w:rPr>
          <w:rFonts w:ascii="Times New Roman" w:hAnsi="Times New Roman" w:eastAsia="Times New Roman"/>
          <w:b w:val="0"/>
          <w:i w:val="0"/>
          <w:sz w:val="24"/>
        </w:rPr>
        <w:t>[E6] StratifyAI repository, docs/img/overview.png and evidence/t02-overview-review.png.</w:t>
      </w:r>
    </w:p>
    <w:p>
      <w:pPr>
        <w:pStyle w:val="ListNumber"/>
      </w:pPr>
      <w:r>
        <w:rPr>
          <w:rFonts w:ascii="Times New Roman" w:hAnsi="Times New Roman" w:eastAsia="Times New Roman"/>
          <w:b w:val="0"/>
          <w:i w:val="0"/>
          <w:sz w:val="24"/>
        </w:rPr>
        <w:t>[E7] StratifyAI repository, docs/EXECUTION_EVIDENCE.md; reviewed 2026-10-20.</w:t>
      </w:r>
    </w:p>
    <w:p>
      <w:pPr>
        <w:pStyle w:val="ListNumber"/>
      </w:pPr>
      <w:r>
        <w:rPr>
          <w:rFonts w:ascii="Times New Roman" w:hAnsi="Times New Roman" w:eastAsia="Times New Roman"/>
          <w:b w:val="0"/>
          <w:i w:val="0"/>
          <w:sz w:val="24"/>
        </w:rPr>
        <w:t>[E8] StratifyAI repository, docs/SECURITY_SELF_ASSESSMENT.md; reviewed 2026-10-20.</w:t>
      </w:r>
    </w:p>
    <w:p>
      <w:pPr>
        <w:pStyle w:val="ListNumber"/>
      </w:pPr>
      <w:r>
        <w:rPr>
          <w:rFonts w:ascii="Times New Roman" w:hAnsi="Times New Roman" w:eastAsia="Times New Roman"/>
          <w:b w:val="0"/>
          <w:i w:val="0"/>
          <w:sz w:val="24"/>
        </w:rPr>
        <w:t>Context: README.md, docs/TECHNICAL_DOC.md and docs/EXECUTION_EVIDENCE.md; reviewed 2026-10-20.</w:t>
      </w:r>
    </w:p>
    <w:sectPr w:rsidR="00FC693F" w:rsidRPr="0006063C" w:rsidSect="00034616">
      <w:headerReference w:type="default" r:id="rId9"/>
      <w:footerReference w:type="default" r:id="rId10"/>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6963"/>
        <w:sz w:val="24"/>
      </w:rPr>
      <w:t>Neuroprop  •  Synthetic prototype evidence  •  20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166B52"/>
        <w:sz w:val="24"/>
      </w:rPr>
      <w:t>STRATIFYAI  |  EXECUTION EVIDENCE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66B52"/>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83A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66B5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83A35"/>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StratifyAI Execution Evidence Report</dc:title>
  <dc:subject>Execution evidence and evaluation report; Times New Roman 12 pt</dc:subject>
  <dc:creator>Neuroprop</dc:creator>
  <cp:keywords/>
  <dc:description>generated by python-docx</dc:description>
  <cp:lastModifiedBy/>
  <cp:revision>1</cp:revision>
  <dcterms:created xsi:type="dcterms:W3CDTF">2013-12-23T23:15:00Z</dcterms:created>
  <dcterms:modified xsi:type="dcterms:W3CDTF">2013-12-23T23:15:00Z</dcterms:modified>
  <cp:category/>
</cp:coreProperties>
</file>