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7E2C" w14:textId="03CA9BE2" w:rsidR="00855C9F" w:rsidRPr="00FB4E43" w:rsidRDefault="00000000">
      <w:pPr>
        <w:pStyle w:val="Ttulo1"/>
        <w:jc w:val="center"/>
        <w:rPr>
          <w:sz w:val="44"/>
          <w:szCs w:val="44"/>
          <w:lang w:val="es-ES"/>
        </w:rPr>
      </w:pPr>
      <w:r w:rsidRPr="00FB4E43">
        <w:rPr>
          <w:sz w:val="44"/>
          <w:szCs w:val="44"/>
          <w:lang w:val="es-ES"/>
        </w:rPr>
        <w:t xml:space="preserve">Organismos Internacionales y su </w:t>
      </w:r>
      <w:r w:rsidR="008F77C5">
        <w:rPr>
          <w:sz w:val="44"/>
          <w:szCs w:val="44"/>
          <w:lang w:val="es-ES"/>
        </w:rPr>
        <w:t>i</w:t>
      </w:r>
      <w:r w:rsidRPr="00FB4E43">
        <w:rPr>
          <w:sz w:val="44"/>
          <w:szCs w:val="44"/>
          <w:lang w:val="es-ES"/>
        </w:rPr>
        <w:t>mportancia</w:t>
      </w:r>
    </w:p>
    <w:p w14:paraId="620A4FF3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OIT (Organización Internacional del Trabajo)</w:t>
      </w:r>
    </w:p>
    <w:p w14:paraId="40AA01C2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En la 113ª Conferencia Internacional del Trabajo (2025), la OIT aprobó nuevas medidas para promover el trabajo decente, la igualdad salarial y la protección social universal. También trató el impacto de la inteligencia artificial en el empleo.</w:t>
      </w:r>
    </w:p>
    <w:p w14:paraId="55123934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Importancia: Sus decisiones orientan leyes laborales en todo el mundo y ayudan a proteger los derechos de los trabajadores frente a los nuevos retos tecnológicos y económicos.</w:t>
      </w:r>
    </w:p>
    <w:p w14:paraId="372975E7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OMS (Organización Mundial de la Salud)</w:t>
      </w:r>
    </w:p>
    <w:p w14:paraId="4C9CFBFA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En enero de 2025, la OMS lanzó un llamamiento de emergencia por valor de 1.500 millones de dólares para responder a crisis sanitarias en más de 40 países. El objetivo es atender brotes epidémicos y desastres naturales.</w:t>
      </w:r>
    </w:p>
    <w:p w14:paraId="3D7B9696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Importancia: Coordina la respuesta internacional ante emergencias y orienta a los gobiernos en salud pública, evitando la propagación de enfermedades a gran escala.</w:t>
      </w:r>
    </w:p>
    <w:p w14:paraId="494CE07E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INSST (Instituto Nacional de Seguridad y Salud en el Trabajo)</w:t>
      </w:r>
    </w:p>
    <w:p w14:paraId="254D201C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El INSST publicó en 2024 un informe sobre los principales riesgos laborales en España, destacando el aumento del estrés y los problemas psicosociales. También ofreció nuevas guías para la prevención de accidentes.</w:t>
      </w:r>
    </w:p>
    <w:p w14:paraId="1AD59FF3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Importancia: Sus estudios sirven para mejorar las políticas de prevención y ayudar a las empresas a reducir los accidentes y enfermedades laborales.</w:t>
      </w:r>
    </w:p>
    <w:p w14:paraId="1065F596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ITSS (Inspección de Trabajo y Seguridad Social)</w:t>
      </w:r>
    </w:p>
    <w:p w14:paraId="328B39D5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Durante 2024, la ITSS incrementó las inspecciones por fraude laboral y empleo irregular, imponiendo sanciones millonarias a empresas por incumplir la normativa.</w:t>
      </w:r>
    </w:p>
    <w:p w14:paraId="22367F04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Importancia: Garantiza que se respeten los derechos de los trabajadores y que las empresas cumplan con las leyes laborales y de seguridad social.</w:t>
      </w:r>
    </w:p>
    <w:p w14:paraId="1FB37FBE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Eurofound (Fundación Europea para la Mejora de las Condiciones de Vida y de Trabajo)</w:t>
      </w:r>
    </w:p>
    <w:p w14:paraId="443853D8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En 2024, Eurofound publicó el “European Working Conditions Survey”, que analiza las condiciones laborales, la conciliación familiar y el bienestar de los trabajadores europeos.</w:t>
      </w:r>
    </w:p>
    <w:p w14:paraId="3FF56BAC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Importancia: Sus informes sirven de base para que la Unión Europea diseñe políticas laborales más justas y adaptadas a las necesidades reales de la población.</w:t>
      </w:r>
    </w:p>
    <w:p w14:paraId="45307608" w14:textId="77777777" w:rsidR="00855C9F" w:rsidRPr="008D697C" w:rsidRDefault="00000000">
      <w:pPr>
        <w:pStyle w:val="Ttulo2"/>
        <w:rPr>
          <w:lang w:val="es-ES"/>
        </w:rPr>
      </w:pPr>
      <w:r w:rsidRPr="008D697C">
        <w:rPr>
          <w:lang w:val="es-ES"/>
        </w:rPr>
        <w:t>EU-OSHA (Agencia Europea para la Seguridad y la Salud en el Trabajo)</w:t>
      </w:r>
    </w:p>
    <w:p w14:paraId="6F2CF4DC" w14:textId="77777777" w:rsidR="00855C9F" w:rsidRPr="008D697C" w:rsidRDefault="00000000">
      <w:pPr>
        <w:rPr>
          <w:lang w:val="es-ES"/>
        </w:rPr>
      </w:pPr>
      <w:r w:rsidRPr="008D697C">
        <w:rPr>
          <w:lang w:val="es-ES"/>
        </w:rPr>
        <w:t>En 2025, EU-OSHA lanzó una campaña europea sobre los riesgos psicosociales relacionados con la digitalización, destacando la importancia de la salud mental en el trabajo.</w:t>
      </w:r>
    </w:p>
    <w:p w14:paraId="77564646" w14:textId="77777777" w:rsidR="008D697C" w:rsidRDefault="00000000" w:rsidP="008D697C">
      <w:pPr>
        <w:rPr>
          <w:lang w:val="es-ES"/>
        </w:rPr>
      </w:pPr>
      <w:r w:rsidRPr="008D697C">
        <w:rPr>
          <w:lang w:val="es-ES"/>
        </w:rPr>
        <w:t>Importancia: Promueve la cultura preventiva y ofrece herramientas prácticas a empresas y gobiernos para mejorar la seguridad laboral en toda Europa.</w:t>
      </w:r>
    </w:p>
    <w:tbl>
      <w:tblPr>
        <w:tblStyle w:val="Listaclara-nfasis1"/>
        <w:tblpPr w:leftFromText="141" w:rightFromText="141" w:vertAnchor="text" w:horzAnchor="margin" w:tblpY="970"/>
        <w:tblW w:w="8671" w:type="dxa"/>
        <w:tblLook w:val="04A0" w:firstRow="1" w:lastRow="0" w:firstColumn="1" w:lastColumn="0" w:noHBand="0" w:noVBand="1"/>
      </w:tblPr>
      <w:tblGrid>
        <w:gridCol w:w="1901"/>
        <w:gridCol w:w="1519"/>
        <w:gridCol w:w="5251"/>
      </w:tblGrid>
      <w:tr w:rsidR="00FB4E43" w14:paraId="55225E4C" w14:textId="77777777" w:rsidTr="00FB4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E2FF2F1" w14:textId="77777777" w:rsidR="00FB4E43" w:rsidRDefault="00FB4E43" w:rsidP="00FB4E43">
            <w:pPr>
              <w:jc w:val="center"/>
            </w:pPr>
            <w:r>
              <w:lastRenderedPageBreak/>
              <w:t>Organismo</w:t>
            </w:r>
          </w:p>
        </w:tc>
        <w:tc>
          <w:tcPr>
            <w:tcW w:w="1519" w:type="dxa"/>
          </w:tcPr>
          <w:p w14:paraId="6087C60A" w14:textId="77777777" w:rsidR="00FB4E43" w:rsidRDefault="00FB4E43" w:rsidP="00FB4E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¿Vinculante?</w:t>
            </w:r>
          </w:p>
        </w:tc>
        <w:tc>
          <w:tcPr>
            <w:tcW w:w="5251" w:type="dxa"/>
          </w:tcPr>
          <w:p w14:paraId="53C55A34" w14:textId="77777777" w:rsidR="00FB4E43" w:rsidRDefault="00FB4E43" w:rsidP="00FB4E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Explicación breve</w:t>
            </w:r>
          </w:p>
        </w:tc>
      </w:tr>
      <w:tr w:rsidR="00FB4E43" w:rsidRPr="008D697C" w14:paraId="4C9752A2" w14:textId="77777777" w:rsidTr="00FB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45FE17E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2288688C" w14:textId="32E05D16" w:rsidR="00FB4E43" w:rsidRDefault="00FB4E43" w:rsidP="00FB4E43">
            <w:pPr>
              <w:jc w:val="center"/>
            </w:pPr>
            <w:r>
              <w:t>OIT</w:t>
            </w:r>
          </w:p>
        </w:tc>
        <w:tc>
          <w:tcPr>
            <w:tcW w:w="1519" w:type="dxa"/>
          </w:tcPr>
          <w:p w14:paraId="2703D8A1" w14:textId="77777777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1F7BA7" w14:textId="499CFF88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Parcialmente</w:t>
            </w:r>
          </w:p>
        </w:tc>
        <w:tc>
          <w:tcPr>
            <w:tcW w:w="5251" w:type="dxa"/>
          </w:tcPr>
          <w:p w14:paraId="60D7A9BB" w14:textId="77777777" w:rsidR="00FB4E43" w:rsidRPr="008D697C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Los convenios ratificados por un país son tratados internacionales obligatorios; las recomendaciones no lo son.</w:t>
            </w:r>
          </w:p>
        </w:tc>
      </w:tr>
      <w:tr w:rsidR="00FB4E43" w:rsidRPr="008D697C" w14:paraId="5A7AC19C" w14:textId="77777777" w:rsidTr="00FB4E43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256FB293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6449F9AD" w14:textId="4D5A8A12" w:rsidR="00FB4E43" w:rsidRDefault="00FB4E43" w:rsidP="00FB4E43">
            <w:pPr>
              <w:jc w:val="center"/>
            </w:pPr>
            <w:r>
              <w:t>OMS</w:t>
            </w:r>
          </w:p>
        </w:tc>
        <w:tc>
          <w:tcPr>
            <w:tcW w:w="1519" w:type="dxa"/>
          </w:tcPr>
          <w:p w14:paraId="2FA0DF23" w14:textId="77777777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FC401D" w14:textId="5F9D465A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Parcialmente</w:t>
            </w:r>
          </w:p>
        </w:tc>
        <w:tc>
          <w:tcPr>
            <w:tcW w:w="5251" w:type="dxa"/>
          </w:tcPr>
          <w:p w14:paraId="5C3438FA" w14:textId="77777777" w:rsidR="00FB4E43" w:rsidRPr="008D697C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Las directrices son orientativas, pero las Regulaciones Sanitarias Internacionales sí son de cumplimiento obligatorio.</w:t>
            </w:r>
          </w:p>
        </w:tc>
      </w:tr>
      <w:tr w:rsidR="00FB4E43" w:rsidRPr="008D697C" w14:paraId="392C258C" w14:textId="77777777" w:rsidTr="00FB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4D083DE9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32626201" w14:textId="492289AB" w:rsidR="00FB4E43" w:rsidRDefault="00FB4E43" w:rsidP="00FB4E43">
            <w:pPr>
              <w:jc w:val="center"/>
            </w:pPr>
            <w:r>
              <w:t>INSST</w:t>
            </w:r>
          </w:p>
        </w:tc>
        <w:tc>
          <w:tcPr>
            <w:tcW w:w="1519" w:type="dxa"/>
          </w:tcPr>
          <w:p w14:paraId="600CA185" w14:textId="77777777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567C29" w14:textId="6D93F436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51" w:type="dxa"/>
          </w:tcPr>
          <w:p w14:paraId="27E5E26D" w14:textId="77777777" w:rsidR="00FB4E43" w:rsidRPr="008D697C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Sus guías y estudios son técnicos y de apoyo; no crean obligaciones legales.</w:t>
            </w:r>
          </w:p>
        </w:tc>
      </w:tr>
      <w:tr w:rsidR="00FB4E43" w:rsidRPr="008D697C" w14:paraId="1E1B1921" w14:textId="77777777" w:rsidTr="00FB4E4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2779CF8E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6DA93D4E" w14:textId="503BF6D9" w:rsidR="00FB4E43" w:rsidRDefault="00FB4E43" w:rsidP="00FB4E43">
            <w:pPr>
              <w:jc w:val="center"/>
            </w:pPr>
            <w:r>
              <w:t>ITSS</w:t>
            </w:r>
          </w:p>
        </w:tc>
        <w:tc>
          <w:tcPr>
            <w:tcW w:w="1519" w:type="dxa"/>
          </w:tcPr>
          <w:p w14:paraId="2DCB5BF8" w14:textId="77777777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A1C430" w14:textId="7D2FCCA9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5251" w:type="dxa"/>
          </w:tcPr>
          <w:p w14:paraId="28F019D0" w14:textId="77777777" w:rsidR="00FB4E43" w:rsidRPr="008D697C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Sus resoluciones y sanciones tienen efectos legales y pueden implicar multas o cierres.</w:t>
            </w:r>
          </w:p>
        </w:tc>
      </w:tr>
      <w:tr w:rsidR="00FB4E43" w:rsidRPr="008D697C" w14:paraId="53C60084" w14:textId="77777777" w:rsidTr="00FB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258E85E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109FD54B" w14:textId="071C4392" w:rsidR="00FB4E43" w:rsidRDefault="00FB4E43" w:rsidP="00FB4E43">
            <w:pPr>
              <w:jc w:val="center"/>
            </w:pPr>
            <w:r>
              <w:t>Eurofound</w:t>
            </w:r>
          </w:p>
        </w:tc>
        <w:tc>
          <w:tcPr>
            <w:tcW w:w="1519" w:type="dxa"/>
          </w:tcPr>
          <w:p w14:paraId="1052898B" w14:textId="77777777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C64A9A" w14:textId="599A5242" w:rsidR="00FB4E43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51" w:type="dxa"/>
          </w:tcPr>
          <w:p w14:paraId="7828E429" w14:textId="77777777" w:rsidR="00FB4E43" w:rsidRPr="008D697C" w:rsidRDefault="00FB4E43" w:rsidP="00FB4E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Es una agencia de investigación y asesoramiento; sus informes no tienen fuerza legal.</w:t>
            </w:r>
          </w:p>
        </w:tc>
      </w:tr>
      <w:tr w:rsidR="00FB4E43" w:rsidRPr="008D697C" w14:paraId="4A9F64C9" w14:textId="77777777" w:rsidTr="00FB4E4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7748C1B" w14:textId="77777777" w:rsidR="00FB4E43" w:rsidRDefault="00FB4E43" w:rsidP="00FB4E43">
            <w:pPr>
              <w:jc w:val="center"/>
              <w:rPr>
                <w:b w:val="0"/>
                <w:bCs w:val="0"/>
              </w:rPr>
            </w:pPr>
          </w:p>
          <w:p w14:paraId="6E0E9919" w14:textId="07D73E0F" w:rsidR="00FB4E43" w:rsidRDefault="00FB4E43" w:rsidP="00FB4E43">
            <w:pPr>
              <w:jc w:val="center"/>
            </w:pPr>
            <w:r>
              <w:t>EU-OSHA</w:t>
            </w:r>
          </w:p>
        </w:tc>
        <w:tc>
          <w:tcPr>
            <w:tcW w:w="1519" w:type="dxa"/>
          </w:tcPr>
          <w:p w14:paraId="67290074" w14:textId="77777777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14496C" w14:textId="49734B9F" w:rsidR="00FB4E43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51" w:type="dxa"/>
          </w:tcPr>
          <w:p w14:paraId="42517918" w14:textId="77777777" w:rsidR="00FB4E43" w:rsidRPr="008D697C" w:rsidRDefault="00FB4E43" w:rsidP="00FB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697C">
              <w:rPr>
                <w:lang w:val="es-ES"/>
              </w:rPr>
              <w:t>Sus campañas y guías son orientativas, no normativas; sirven para promover buenas prácticas.</w:t>
            </w:r>
          </w:p>
        </w:tc>
      </w:tr>
    </w:tbl>
    <w:p w14:paraId="61638459" w14:textId="5B817CE5" w:rsidR="00555310" w:rsidRPr="00C516D1" w:rsidRDefault="00FB4E43" w:rsidP="00FB4E43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br/>
      </w:r>
      <w:r w:rsidR="00C516D1" w:rsidRPr="00C516D1">
        <w:rPr>
          <w:b/>
          <w:bCs/>
          <w:sz w:val="28"/>
          <w:szCs w:val="28"/>
          <w:lang w:val="es-ES"/>
        </w:rPr>
        <w:t>¿Son vinculantes sus resoluciones o dictámenes?</w:t>
      </w:r>
    </w:p>
    <w:sectPr w:rsidR="00555310" w:rsidRPr="00C516D1" w:rsidSect="00FB4E43">
      <w:pgSz w:w="12240" w:h="15840"/>
      <w:pgMar w:top="426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693951">
    <w:abstractNumId w:val="8"/>
  </w:num>
  <w:num w:numId="2" w16cid:durableId="1037897824">
    <w:abstractNumId w:val="6"/>
  </w:num>
  <w:num w:numId="3" w16cid:durableId="1745881671">
    <w:abstractNumId w:val="5"/>
  </w:num>
  <w:num w:numId="4" w16cid:durableId="891306240">
    <w:abstractNumId w:val="4"/>
  </w:num>
  <w:num w:numId="5" w16cid:durableId="438179791">
    <w:abstractNumId w:val="7"/>
  </w:num>
  <w:num w:numId="6" w16cid:durableId="145556669">
    <w:abstractNumId w:val="3"/>
  </w:num>
  <w:num w:numId="7" w16cid:durableId="93404672">
    <w:abstractNumId w:val="2"/>
  </w:num>
  <w:num w:numId="8" w16cid:durableId="144316948">
    <w:abstractNumId w:val="1"/>
  </w:num>
  <w:num w:numId="9" w16cid:durableId="161948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F11"/>
    <w:rsid w:val="0029639D"/>
    <w:rsid w:val="00326F90"/>
    <w:rsid w:val="00555310"/>
    <w:rsid w:val="007727BF"/>
    <w:rsid w:val="00855C9F"/>
    <w:rsid w:val="008D697C"/>
    <w:rsid w:val="008F77C5"/>
    <w:rsid w:val="00AA1D8D"/>
    <w:rsid w:val="00B47730"/>
    <w:rsid w:val="00C516D1"/>
    <w:rsid w:val="00CB0664"/>
    <w:rsid w:val="00EF5207"/>
    <w:rsid w:val="00FB4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886C9"/>
  <w14:defaultImageDpi w14:val="300"/>
  <w15:docId w15:val="{8D2FE06E-20D7-42CB-8949-A043EE38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504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Rafal Wozniak Bebenek</cp:lastModifiedBy>
  <cp:revision>6</cp:revision>
  <dcterms:created xsi:type="dcterms:W3CDTF">2013-12-23T23:15:00Z</dcterms:created>
  <dcterms:modified xsi:type="dcterms:W3CDTF">2025-10-26T21:42:00Z</dcterms:modified>
  <cp:category/>
</cp:coreProperties>
</file>