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rPr>
          <w:trHeight w:val="1675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766E" w:color="auto" w:val="clear"/>
            <w:tcMar>
              <w:top w:type="dxa" w:w="0"/>
              <w:left w:type="dxa" w:w="1200"/>
              <w:bottom w:type="dxa" w:w="2200"/>
              <w:right w:type="dxa" w:w="1200"/>
            </w:tcMar>
            <w:vAlign w:val="bottom"/>
          </w:tcPr>
          <w:p>
            <w:pPr>
              <w:spacing w:after="40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▬▬▬▬▬</w:t>
            </w:r>
          </w:p>
          <w:p>
            <w:pPr>
              <w:spacing w:after="2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4"/>
                <w:szCs w:val="64"/>
              </w:rPr>
              <w:t xml:space="preserve">Quarterly Platform Review</w:t>
            </w:r>
          </w:p>
          <w:p>
            <w:pPr>
              <w:spacing w:after="500"/>
            </w:pPr>
            <w:r>
              <w:rPr>
                <w:rFonts w:ascii="Georgia" w:cs="Georgia" w:eastAsia="Georgia" w:hAnsi="Georgia"/>
                <w:color w:val="FFFFFF"/>
                <w:sz w:val="26"/>
                <w:szCs w:val="26"/>
              </w:rPr>
              <w:t xml:space="preserve">Q3 2025 · Prepared for the board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ACME ANALYTICS</w:t>
            </w:r>
          </w:p>
        </w:tc>
      </w:tr>
    </w:tbl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Bdr>
          <w:bottom w:val="single" w:color="0F766E" w:sz="4" w:space="6"/>
        </w:pBdr>
        <w:spacing w:after="180"/>
      </w:pPr>
      <w:r>
        <w:rPr>
          <w:rFonts w:ascii="Georgia" w:cs="Georgia" w:eastAsia="Georgia" w:hAnsi="Georgia"/>
          <w:b/>
          <w:bCs/>
          <w:color w:val="1A1A16"/>
          <w:sz w:val="28"/>
          <w:szCs w:val="28"/>
        </w:rPr>
        <w:t xml:space="preserve">Contents</w:t>
      </w:r>
    </w:p>
    <w:p>
      <w:pPr>
        <w:spacing w:after="70"/>
        <w:ind w:left="0"/>
      </w:pPr>
      <w:hyperlink w:history="1" w:anchor="h0">
        <w:r>
          <w:rPr>
            <w:b/>
            <w:bCs/>
            <w:color w:val="0F766E"/>
            <w:sz w:val="21"/>
            <w:szCs w:val="21"/>
          </w:rPr>
          <w:t xml:space="preserve">Quarterly Platform Review</w:t>
        </w:r>
      </w:hyperlink>
    </w:p>
    <w:p>
      <w:pPr>
        <w:spacing w:after="70"/>
        <w:ind w:left="403"/>
      </w:pPr>
      <w:hyperlink w:history="1" w:anchor="h2">
        <w:r>
          <w:rPr>
            <w:b w:val="false"/>
            <w:bCs w:val="false"/>
            <w:color w:val="1A1A16"/>
            <w:sz w:val="21"/>
            <w:szCs w:val="21"/>
          </w:rPr>
          <w:t xml:space="preserve">Highlights</w:t>
        </w:r>
      </w:hyperlink>
    </w:p>
    <w:p>
      <w:pPr>
        <w:spacing w:after="70"/>
        <w:ind w:left="403"/>
      </w:pPr>
      <w:hyperlink w:history="1" w:anchor="h6">
        <w:r>
          <w:rPr>
            <w:b w:val="false"/>
            <w:bCs w:val="false"/>
            <w:color w:val="1A1A16"/>
            <w:sz w:val="21"/>
            <w:szCs w:val="21"/>
          </w:rPr>
          <w:t xml:space="preserve">Numbers</w:t>
        </w:r>
      </w:hyperlink>
    </w:p>
    <w:p>
      <w:pPr>
        <w:spacing w:after="70"/>
        <w:ind w:left="403"/>
      </w:pPr>
      <w:hyperlink w:history="1" w:anchor="h9">
        <w:r>
          <w:rPr>
            <w:b w:val="false"/>
            <w:bCs w:val="false"/>
            <w:color w:val="1A1A16"/>
            <w:sz w:val="21"/>
            <w:szCs w:val="21"/>
          </w:rPr>
          <w:t xml:space="preserve">Implementation note</w:t>
        </w:r>
      </w:hyperlink>
    </w:p>
    <w:p>
      <w:pPr>
        <w:spacing w:after="70"/>
        <w:ind w:left="403"/>
      </w:pPr>
      <w:hyperlink w:history="1" w:anchor="h13">
        <w:r>
          <w:rPr>
            <w:b w:val="false"/>
            <w:bCs w:val="false"/>
            <w:color w:val="1A1A16"/>
            <w:sz w:val="21"/>
            <w:szCs w:val="21"/>
          </w:rPr>
          <w:t xml:space="preserve">Next quarter</w:t>
        </w:r>
      </w:hyperlink>
    </w:p>
    <w:p>
      <w:r>
        <w:br w:type="page"/>
      </w:r>
    </w:p>
    <w:p>
      <w:pPr>
        <w:pStyle w:val="Heading1"/>
        <w:spacing w:after="120" w:before="240"/>
      </w:pPr>
      <w:bookmarkStart w:name="h0" w:id="1"/>
      <w:r>
        <w:t xml:space="preserve">Quarterly Platform Review</w:t>
      </w:r>
      <w:bookmarkEnd w:id="1"/>
    </w:p>
    <w:p>
      <w:pPr>
        <w:spacing w:after="160" w:line="276"/>
      </w:pPr>
      <w:r>
        <w:t xml:space="preserve">Revenue reached </w:t>
      </w:r>
      <w:r>
        <w:rPr>
          <w:shd w:fill="FFF2A8" w:color="auto" w:val="clear"/>
        </w:rPr>
        <w:t xml:space="preserve">$4.2M in Q3</w:t>
      </w:r>
      <w:r>
        <w:t xml:space="preserve">, up 18% year over year. The gain came almost entirely from the enterprise tier, where seat expansion outpaced new logos for the first time since launch.</w:t>
      </w:r>
    </w:p>
    <w:p>
      <w:pPr>
        <w:pStyle w:val="Heading2"/>
        <w:pBdr>
          <w:bottom w:val="single" w:color="D6D6D5" w:sz="4" w:space="6"/>
        </w:pBdr>
        <w:spacing w:after="120" w:before="240"/>
      </w:pPr>
      <w:bookmarkStart w:name="h2" w:id="1"/>
      <w:r>
        <w:t xml:space="preserve">Highlights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Enterprise ARR crossed </w:t>
      </w:r>
      <w:r>
        <w:rPr>
          <w:b/>
          <w:bCs/>
        </w:rPr>
        <w:t xml:space="preserve">$3.1M</w:t>
      </w:r>
      <w:r>
        <w:t xml:space="preserve">, now 74% of total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Median time-to-first-value fell from 11 days to </w:t>
      </w:r>
      <w:r>
        <w:rPr>
          <w:i/>
          <w:iCs/>
        </w:rPr>
        <w:t xml:space="preserve">4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Churn held flat at 1.2% monthly despite the price change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il" w:color="F0FDF4" w:sz="0"/>
              <w:left w:val="single" w:color="16A34A" w:sz="18"/>
              <w:bottom w:val="nil" w:color="F0FDF4" w:sz="0"/>
              <w:right w:val="nil" w:color="F0FDF4" w:sz="0"/>
            </w:tcBorders>
            <w:shd w:fill="F0FDF4" w:color="auto" w:val="clear"/>
            <w:tcMar>
              <w:top w:type="dxa" w:w="120"/>
              <w:left w:type="dxa" w:w="180"/>
              <w:bottom w:type="dxa" w:w="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What worked</w:t>
            </w:r>
          </w:p>
          <w:p>
            <w:pPr>
              <w:spacing w:after="160" w:line="276"/>
            </w:pPr>
            <w:r>
              <w:t xml:space="preserve">Self-serve onboarding removed the sales call from the first week. Every cohort since June has activated faster than the one before it.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il" w:color="FFFBEB" w:sz="0"/>
              <w:left w:val="single" w:color="D97706" w:sz="18"/>
              <w:bottom w:val="nil" w:color="FFFBEB" w:sz="0"/>
              <w:right w:val="nil" w:color="FFFBEB" w:sz="0"/>
            </w:tcBorders>
            <w:shd w:fill="FFFBEB" w:color="auto" w:val="clear"/>
            <w:tcMar>
              <w:top w:type="dxa" w:w="120"/>
              <w:left w:type="dxa" w:w="180"/>
              <w:bottom w:type="dxa" w:w="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Watch this</w:t>
            </w:r>
          </w:p>
          <w:p>
            <w:pPr>
              <w:spacing w:after="160" w:line="276"/>
            </w:pPr>
            <w:r>
              <w:t xml:space="preserve">Support load per account is rising faster than headcount. At the current slope the queue exceeds capacity in ~7 weeks.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D6D6D5" w:sz="4" w:space="6"/>
        </w:pBdr>
        <w:spacing w:after="120" w:before="240"/>
      </w:pPr>
      <w:bookmarkStart w:name="h6" w:id="1"/>
      <w:r>
        <w:t xml:space="preserve">Numbers</w:t>
      </w:r>
      <w:bookmarkEnd w:id="1"/>
    </w:p>
    <w:tbl>
      <w:tblPr>
        <w:tblW w:type="pct" w:w="100%"/>
        <w:tblBorders>
          <w:top w:val="single" w:color="D6D6D5" w:sz="4"/>
          <w:left w:val="single" w:color="D6D6D5" w:sz="4"/>
          <w:bottom w:val="single" w:color="D6D6D5" w:sz="4"/>
          <w:right w:val="single" w:color="D6D6D5" w:sz="4"/>
          <w:insideH w:val="single" w:color="D6D6D5" w:sz="4"/>
          <w:insideV w:val="single" w:color="D6D6D5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Q2</w:t>
            </w:r>
          </w:p>
        </w:tc>
        <w:tc>
          <w:tcPr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Q3</w:t>
            </w:r>
          </w:p>
        </w:tc>
        <w:tc>
          <w:tcPr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Change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Enterprise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2.4M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3.1M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+29%</w:t>
            </w:r>
          </w:p>
        </w:tc>
      </w:tr>
      <w:tr>
        <w:tc>
          <w:tcPr>
            <w:shd w:fill="E7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Team</w:t>
            </w:r>
          </w:p>
        </w:tc>
        <w:tc>
          <w:tcPr>
            <w:shd w:fill="E7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0.9M</w:t>
            </w:r>
          </w:p>
        </w:tc>
        <w:tc>
          <w:tcPr>
            <w:shd w:fill="E7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0.8M</w:t>
            </w:r>
          </w:p>
        </w:tc>
        <w:tc>
          <w:tcPr>
            <w:shd w:fill="E7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-11%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Individual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0.3M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0.3M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0%</w:t>
            </w:r>
          </w:p>
        </w:tc>
      </w:tr>
    </w:tbl>
    <w:p>
      <w:pPr>
        <w:spacing w:after="160"/>
      </w:pPr>
    </w:p>
    <w:p>
      <w:pPr>
        <w:pBdr>
          <w:left w:val="single" w:color="E7F1F1" w:sz="18" w:space="12"/>
        </w:pBdr>
        <w:spacing w:after="160" w:before="40"/>
        <w:ind w:left="576"/>
      </w:pPr>
      <w:r>
        <w:rPr>
          <w:i/>
          <w:iCs/>
          <w:color w:val="81817F"/>
        </w:rPr>
        <w:t xml:space="preserve">The enterprise motion is working. The self-serve funnel is not paying for itself yet.</w:t>
      </w:r>
    </w:p>
    <w:p>
      <w:pPr>
        <w:pStyle w:val="Heading2"/>
        <w:pBdr>
          <w:bottom w:val="single" w:color="D6D6D5" w:sz="4" w:space="6"/>
        </w:pBdr>
        <w:spacing w:after="120" w:before="240"/>
      </w:pPr>
      <w:bookmarkStart w:name="h9" w:id="1"/>
      <w:r>
        <w:t xml:space="preserve">Implementation note</w:t>
      </w:r>
      <w:bookmarkEnd w:id="1"/>
    </w:p>
    <w:p>
      <w:pPr>
        <w:spacing w:after="160" w:line="276"/>
      </w:pPr>
      <w:r>
        <w:t xml:space="preserve">The activation metric is computed nightly:</w:t>
      </w:r>
    </w:p>
    <w:p>
      <w:pPr>
        <w:pBdr>
          <w:left w:val="single" w:color="0F766E" w:sz="12" w:space="6"/>
        </w:pBdr>
        <w:shd w:fill="F1F1F1" w:color="auto" w:val="clear"/>
        <w:spacing w:after="0" w:before="80"/>
      </w:pPr>
      <w:r>
        <w:rPr>
          <w:rFonts w:ascii="Consolas" w:cs="Consolas" w:eastAsia="Consolas" w:hAnsi="Consolas"/>
          <w:color w:val="353532"/>
          <w:sz w:val="18"/>
          <w:szCs w:val="18"/>
        </w:rPr>
        <w:t xml:space="preserve">SELECT account_id, min(event_at) AS first_value</w:t>
      </w:r>
    </w:p>
    <w:p>
      <w:pPr>
        <w:pBdr>
          <w:left w:val="single" w:color="0F766E" w:sz="12" w:space="6"/>
        </w:pBdr>
        <w:shd w:fill="F1F1F1" w:color="auto" w:val="clear"/>
        <w:spacing w:after="0" w:before="0"/>
      </w:pPr>
      <w:r>
        <w:rPr>
          <w:rFonts w:ascii="Consolas" w:cs="Consolas" w:eastAsia="Consolas" w:hAnsi="Consolas"/>
          <w:color w:val="353532"/>
          <w:sz w:val="18"/>
          <w:szCs w:val="18"/>
        </w:rPr>
        <w:t xml:space="preserve">FROM   product_events</w:t>
      </w:r>
    </w:p>
    <w:p>
      <w:pPr>
        <w:pBdr>
          <w:left w:val="single" w:color="0F766E" w:sz="12" w:space="6"/>
        </w:pBdr>
        <w:shd w:fill="F1F1F1" w:color="auto" w:val="clear"/>
        <w:spacing w:after="0" w:before="0"/>
      </w:pPr>
      <w:r>
        <w:rPr>
          <w:rFonts w:ascii="Consolas" w:cs="Consolas" w:eastAsia="Consolas" w:hAnsi="Consolas"/>
          <w:color w:val="353532"/>
          <w:sz w:val="18"/>
          <w:szCs w:val="18"/>
        </w:rPr>
        <w:t xml:space="preserve">WHERE  event_name = 'workspace_published'</w:t>
      </w:r>
    </w:p>
    <w:p>
      <w:pPr>
        <w:pBdr>
          <w:left w:val="single" w:color="0F766E" w:sz="12" w:space="6"/>
        </w:pBdr>
        <w:shd w:fill="F1F1F1" w:color="auto" w:val="clear"/>
        <w:spacing w:after="160" w:before="0"/>
      </w:pPr>
      <w:r>
        <w:rPr>
          <w:rFonts w:ascii="Consolas" w:cs="Consolas" w:eastAsia="Consolas" w:hAnsi="Consolas"/>
          <w:color w:val="353532"/>
          <w:sz w:val="18"/>
          <w:szCs w:val="18"/>
        </w:rPr>
        <w:t xml:space="preserve">GROUP  BY account_id;</w:t>
      </w:r>
    </w:p>
    <w:p>
      <w:r>
        <w:br w:type="page"/>
      </w:r>
    </w:p>
    <w:p>
      <w:pPr>
        <w:pStyle w:val="Heading2"/>
        <w:pBdr>
          <w:bottom w:val="single" w:color="D6D6D5" w:sz="4" w:space="6"/>
        </w:pBdr>
        <w:spacing w:after="120" w:before="240"/>
      </w:pPr>
      <w:bookmarkStart w:name="h13" w:id="1"/>
      <w:r>
        <w:t xml:space="preserve">Next quarter</w:t>
      </w:r>
      <w:bookmarkEnd w:id="1"/>
    </w:p>
    <w:p>
      <w:pPr>
        <w:pStyle w:val="ListParagraph"/>
        <w:numPr>
          <w:ilvl w:val="0"/>
          <w:numId w:val="3"/>
        </w:numPr>
        <w:spacing w:after="60"/>
      </w:pPr>
      <w:r>
        <w:t xml:space="preserve">Hire two support engineers before the queue breaks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Re-price the Team tier or sunset 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Ship SSO, the top blocker in 9 of 14 lost deals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il" w:color="FEF2F2" w:sz="0"/>
              <w:left w:val="single" w:color="DC2626" w:sz="18"/>
              <w:bottom w:val="nil" w:color="FEF2F2" w:sz="0"/>
              <w:right w:val="nil" w:color="FEF2F2" w:sz="0"/>
            </w:tcBorders>
            <w:shd w:fill="FEF2F2" w:color="auto" w:val="clear"/>
            <w:tcMar>
              <w:top w:type="dxa" w:w="120"/>
              <w:left w:type="dxa" w:w="180"/>
              <w:bottom w:type="dxa" w:w="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Risk</w:t>
            </w:r>
          </w:p>
          <w:p>
            <w:pPr>
              <w:spacing w:after="160" w:line="276"/>
            </w:pPr>
            <w:r>
              <w:t xml:space="preserve">The Team tier decline is not yet explained. If it is cannibalisation by Enterprise it is fine; if it is a product problem it will reach Enterprise next.</w:t>
            </w:r>
          </w:p>
        </w:tc>
      </w:tr>
    </w:tbl>
    <w:p>
      <w:pPr>
        <w:spacing w:after="140"/>
      </w:pPr>
    </w:p>
    <w:p>
      <w:pPr>
        <w:spacing w:after="160" w:line="276"/>
      </w:pPr>
      <w:r>
        <w:t xml:space="preserve">See the </w:t>
      </w:r>
      <w:hyperlink w:history="1" r:id="rIdepwhns7ooaiqz8uma918a">
        <w:r>
          <w:rPr>
            <w:rStyle w:val="Hyperlink"/>
            <w:color w:val="0F766E"/>
          </w:rPr>
          <w:t xml:space="preserve">full dashboard</w:t>
        </w:r>
      </w:hyperlink>
      <w:r>
        <w:t xml:space="preserve"> for daily figures.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1817F"/>
        <w:sz w:val="16"/>
        <w:szCs w:val="16"/>
      </w:rPr>
      <w:t xml:space="preserve">Quarterly Platform Review</w:t>
    </w:r>
    <w:r>
      <w:rPr>
        <w:sz w:val="16"/>
        <w:szCs w:val="16"/>
      </w:rPr>
      <w:t xml:space="preserve">	</w:t>
    </w:r>
    <w:r>
      <w:rPr>
        <w:color w:val="81817F"/>
        <w:sz w:val="16"/>
        <w:szCs w:val="16"/>
      </w:rPr>
      <w:t xml:space="preserve">Page </w:t>
    </w:r>
    <w:r>
      <w:rPr>
        <w:color w:val="8181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1817F"/>
        <w:sz w:val="16"/>
        <w:szCs w:val="16"/>
      </w:rPr>
      <w:t xml:space="preserve"> of </w:t>
    </w:r>
    <w:r>
      <w:rPr>
        <w:color w:val="81817F"/>
        <w:sz w:val="16"/>
        <w:szCs w:val="16"/>
      </w:rPr>
      <w:fldChar w:fldCharType="begin"/>
      <w:instrText xml:space="preserve">SECTIONPAGES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6D5" w:sz="4" w:space="4"/>
      </w:pBdr>
      <w:jc w:val="right"/>
    </w:pPr>
    <w:r>
      <w:rPr>
        <w:color w:val="81817F"/>
        <w:sz w:val="16"/>
        <w:szCs w:val="16"/>
      </w:rPr>
      <w:t xml:space="preserve">Quarterly Platform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Georgia" w:cs="Georgia" w:eastAsia="Georgia" w:hAnsi="Georgia"/>
      <w:b/>
      <w:bCs/>
      <w:color w:val="1A1A16"/>
      <w:sz w:val="52"/>
      <w:szCs w:val="52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0F766E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6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color w:val="0F766E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Georgia" w:cs="Georgia" w:eastAsia="Georgia" w:hAnsi="Georgia"/>
      <w:b/>
      <w:bCs/>
      <w:color w:val="1A1A16"/>
      <w:sz w:val="22"/>
      <w:szCs w:val="22"/>
    </w:rPr>
  </w:style>
  <w:style w:type="paragraph" w:styleId="Heading5">
    <w:name w:val="Heading 5"/>
    <w:basedOn w:val="Normal"/>
    <w:next w:val="Normal"/>
    <w:qFormat/>
    <w:rPr>
      <w:rFonts w:ascii="Georgia" w:cs="Georgia" w:eastAsia="Georgia" w:hAnsi="Georgia"/>
      <w:b/>
      <w:bCs/>
      <w:color w:val="81817F"/>
      <w:sz w:val="21"/>
      <w:szCs w:val="21"/>
    </w:rPr>
  </w:style>
  <w:style w:type="paragraph" w:styleId="Heading6">
    <w:name w:val="Heading 6"/>
    <w:basedOn w:val="Normal"/>
    <w:next w:val="Normal"/>
    <w:qFormat/>
    <w:rPr>
      <w:rFonts w:ascii="Georgia" w:cs="Georgia" w:eastAsia="Georgia" w:hAnsi="Georgia"/>
      <w:b/>
      <w:bCs/>
      <w:color w:val="81817F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pwhns7ooaiqz8uma918a" Type="http://schemas.openxmlformats.org/officeDocument/2006/relationships/hyperlink" Target="https://example.com/dashboar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Platform Review</dc:title>
  <dc:creator>AI Workspace</dc:creator>
  <dc:description>Q3 2025 · Prepared for the board</dc:description>
  <cp:lastModifiedBy>Un-named</cp:lastModifiedBy>
  <cp:revision>1</cp:revision>
  <dcterms:created xsi:type="dcterms:W3CDTF">2026-08-09T18:59:35.966Z</dcterms:created>
  <dcterms:modified xsi:type="dcterms:W3CDTF">2026-08-09T18:59:35.966Z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