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to Professional Services Handoff</w:t>
      </w:r>
    </w:p>
    <w:p>
      <w:pPr>
        <w:jc w:val="center"/>
      </w:pPr>
      <w:r>
        <w:rPr>
          <w:b/>
          <w:color w:val="1F3864"/>
          <w:sz w:val="28"/>
        </w:rPr>
        <w:t>Playtomic</w:t>
      </w:r>
    </w:p>
    <w:p>
      <w:pPr>
        <w:jc w:val="center"/>
      </w:pPr>
      <w:r>
        <w:rPr>
          <w:color w:val="666666"/>
          <w:sz w:val="18"/>
        </w:rPr>
        <w:t>Generated: February 19, 2026  |  SC: Raf Silva</w:t>
      </w:r>
    </w:p>
    <w:p/>
    <w:p>
      <w:r>
        <w:rPr>
          <w:b/>
        </w:rPr>
        <w:t>Sections</w:t>
      </w:r>
    </w:p>
    <w:p>
      <w:pPr>
        <w:pStyle w:val="ListNumber"/>
      </w:pPr>
      <w:r>
        <w:t>1. General Scoping — required for all Ada deals regardless of channel</w:t>
      </w:r>
    </w:p>
    <w:p>
      <w:pPr>
        <w:pStyle w:val="ListNumber"/>
      </w:pPr>
      <w:r>
        <w:t>2. Email Scoping — required when implementation includes Email</w:t>
      </w:r>
    </w:p>
    <w:p>
      <w:pPr>
        <w:pStyle w:val="ListNumber"/>
      </w:pPr>
      <w:r>
        <w:t>3. Voice Scoping — required when implementation includes Voice</w:t>
      </w:r>
    </w:p>
    <w:p/>
    <w:p>
      <w:pPr>
        <w:pStyle w:val="Heading1"/>
      </w:pPr>
      <w:r>
        <w:rPr>
          <w:color w:val="1F3864"/>
        </w:rPr>
        <w:t>GENERAL SCOPING</w:t>
      </w:r>
    </w:p>
    <w:tbl>
      <w:tblPr>
        <w:tblStyle w:val="TableGrid"/>
        <w:tblW w:type="auto" w:w="0"/>
        <w:jc w:val="center"/>
        <w:tblLook w:firstColumn="1" w:firstRow="1" w:lastColumn="0" w:lastRow="0" w:noHBand="0" w:noVBand="1" w:val="04A0"/>
      </w:tblPr>
      <w:tblGrid>
        <w:gridCol w:w="4320"/>
        <w:gridCol w:w="4320"/>
      </w:tblGrid>
      <w:tr>
        <w:tc>
          <w:tcPr>
            <w:tcW w:type="dxa" w:w="3600"/>
            <w:shd w:fill="1F3864"/>
          </w:tcPr>
          <w:p>
            <w:r/>
            <w:r>
              <w:rPr>
                <w:rFonts w:ascii="Arial" w:hAnsi="Arial"/>
                <w:b/>
                <w:color w:val="FFFFFF"/>
                <w:sz w:val="20"/>
              </w:rPr>
              <w:t>Field</w:t>
            </w:r>
          </w:p>
        </w:tc>
        <w:tc>
          <w:tcPr>
            <w:tcW w:type="dxa" w:w="6480"/>
            <w:shd w:fill="1F3864"/>
          </w:tcPr>
          <w:p>
            <w:r/>
            <w:r>
              <w:rPr>
                <w:rFonts w:ascii="Arial" w:hAnsi="Arial"/>
                <w:b/>
                <w:color w:val="FFFFFF"/>
                <w:sz w:val="20"/>
              </w:rPr>
              <w:t>SC Input</w:t>
            </w:r>
          </w:p>
        </w:tc>
      </w:tr>
      <w:tr>
        <w:tc>
          <w:tcPr>
            <w:tcW w:type="dxa" w:w="4320"/>
          </w:tcPr>
          <w:p>
            <w:r>
              <w:rPr>
                <w:rFonts w:ascii="Arial" w:hAnsi="Arial"/>
                <w:b/>
                <w:sz w:val="18"/>
              </w:rPr>
              <w:t>Client Overview</w:t>
              <w:br/>
              <w:br/>
              <w:t>Overview of Account + Business case with Ada</w:t>
            </w:r>
          </w:p>
        </w:tc>
        <w:tc>
          <w:tcPr>
            <w:tcW w:type="dxa" w:w="4320"/>
          </w:tcPr>
          <w:p>
            <w:r>
              <w:rPr>
                <w:rFonts w:ascii="Arial" w:hAnsi="Arial"/>
                <w:sz w:val="18"/>
              </w:rPr>
              <w:t>Playtomic is a global sports technology company, primarily focused on padel and tennis, that connects players with clubs through their mobile application to facilitate court bookings and match organisation. Operating in both B2C (players) and B2B (clubs) markets across nine languages, the company aims to modernise its customer support by transitioning from a rigid, tree-based chatbot provider (Ultimate) to Ada's 100% generative AI platform. Their primary objectives are to achieve near 100% automated resolution for repetitive B2C tasks (match cancellations, refund inquiries), eliminate the heavy manual burden of multilingual content maintenance, and gain actionable insights through real-time API monitoring and advanced conversation analytics.</w:t>
              <w:br/>
              <w:t>Hq: Spain (Madrid)</w:t>
              <w:br/>
              <w:br/>
              <w:t>Business Drivers:</w:t>
              <w:br/>
              <w:t xml:space="preserve">  • Near 100% automated resolution for B2C repetitive tasks — currently achieving 85%+ deflection with Ultimate, targeting 100%</w:t>
              <w:br/>
              <w:t xml:space="preserve">  • Eliminate manual multilingual content maintenance across 9 languages (currently only English, Spanish, Italian are well maintained)</w:t>
              <w:br/>
              <w:t xml:space="preserve">  • Significant analytics/reporting gaps with Ultimate — cannot export logs easily, no sentiment analysis, limited to 3 months history</w:t>
              <w:br/>
              <w:t xml:space="preserve">  • Limited ability to move from decision-tree flows to a flexible playbook/generative model</w:t>
              <w:br/>
              <w:t xml:space="preserve">  • Resource freeze preventing headcount growth — automation must compensate</w:t>
              <w:br/>
              <w:t xml:space="preserve">  • Bot struggles to retrieve basic information with Ultimate; API/carousel integrations not functioning correctly</w:t>
            </w:r>
          </w:p>
        </w:tc>
      </w:tr>
      <w:tr>
        <w:tc>
          <w:tcPr>
            <w:tcW w:type="dxa" w:w="4320"/>
          </w:tcPr>
          <w:p>
            <w:r>
              <w:rPr>
                <w:rFonts w:ascii="Arial" w:hAnsi="Arial"/>
                <w:b/>
                <w:sz w:val="18"/>
              </w:rPr>
              <w:t>SFDC Opp</w:t>
            </w:r>
          </w:p>
        </w:tc>
        <w:tc>
          <w:tcPr>
            <w:tcW w:type="dxa" w:w="4320"/>
          </w:tcPr>
          <w:p>
            <w:r>
              <w:rPr>
                <w:rFonts w:ascii="Arial" w:hAnsi="Arial"/>
                <w:sz w:val="18"/>
              </w:rPr>
              <w:t>https://adasupport.lightning.force.com/lightning/r/Opportunity/006N300001FxkH1IAJ/view</w:t>
            </w:r>
          </w:p>
        </w:tc>
      </w:tr>
      <w:tr>
        <w:tc>
          <w:tcPr>
            <w:tcW w:type="dxa" w:w="4320"/>
          </w:tcPr>
          <w:p>
            <w:r>
              <w:rPr>
                <w:rFonts w:ascii="Arial" w:hAnsi="Arial"/>
                <w:b/>
                <w:sz w:val="18"/>
              </w:rPr>
              <w:t>Solution Survey</w:t>
            </w:r>
          </w:p>
        </w:tc>
        <w:tc>
          <w:tcPr>
            <w:tcW w:type="dxa" w:w="4320"/>
          </w:tcPr>
          <w:p>
            <w:r>
              <w:rPr>
                <w:rFonts w:ascii="Arial" w:hAnsi="Arial"/>
                <w:sz w:val="18"/>
              </w:rPr>
              <w:t>TBD</w:t>
            </w:r>
          </w:p>
        </w:tc>
      </w:tr>
      <w:tr>
        <w:tc>
          <w:tcPr>
            <w:tcW w:type="dxa" w:w="4320"/>
          </w:tcPr>
          <w:p>
            <w:r>
              <w:rPr>
                <w:rFonts w:ascii="Arial" w:hAnsi="Arial"/>
                <w:b/>
                <w:sz w:val="18"/>
              </w:rPr>
              <w:t>Key client stakeholders &amp; Roles</w:t>
            </w:r>
          </w:p>
        </w:tc>
        <w:tc>
          <w:tcPr>
            <w:tcW w:type="dxa" w:w="4320"/>
          </w:tcPr>
          <w:p>
            <w:r>
              <w:rPr>
                <w:rFonts w:ascii="Arial" w:hAnsi="Arial"/>
                <w:sz w:val="18"/>
              </w:rPr>
              <w:t>• Giulio Castiglioni — Customer Care Director</w:t>
              <w:br/>
              <w:t>• Ashlee Harbert — CX and Automations Manager (Knowledge &amp; Training)</w:t>
              <w:br/>
              <w:t>• Rafael Antonio Costa — CX &amp; Automations Specialist B2C</w:t>
              <w:br/>
              <w:t>• Marta Vittoria — CX &amp; Automations Specialist B2B</w:t>
            </w:r>
          </w:p>
        </w:tc>
      </w:tr>
      <w:tr>
        <w:tc>
          <w:tcPr>
            <w:tcW w:type="dxa" w:w="4320"/>
          </w:tcPr>
          <w:p>
            <w:r>
              <w:rPr>
                <w:rFonts w:ascii="Arial" w:hAnsi="Arial"/>
                <w:b/>
                <w:sz w:val="18"/>
              </w:rPr>
              <w:t>Timezone</w:t>
            </w:r>
          </w:p>
        </w:tc>
        <w:tc>
          <w:tcPr>
            <w:tcW w:type="dxa" w:w="4320"/>
          </w:tcPr>
          <w:p>
            <w:r>
              <w:rPr>
                <w:rFonts w:ascii="Arial" w:hAnsi="Arial"/>
                <w:sz w:val="18"/>
              </w:rPr>
              <w:t>CET (Central European Time)</w:t>
            </w:r>
          </w:p>
        </w:tc>
      </w:tr>
      <w:tr>
        <w:tc>
          <w:tcPr>
            <w:tcW w:type="dxa" w:w="4320"/>
          </w:tcPr>
          <w:p>
            <w:r>
              <w:rPr>
                <w:rFonts w:ascii="Arial" w:hAnsi="Arial"/>
                <w:b/>
                <w:sz w:val="18"/>
              </w:rPr>
              <w:t>Channels currently supported</w:t>
            </w:r>
          </w:p>
        </w:tc>
        <w:tc>
          <w:tcPr>
            <w:tcW w:type="dxa" w:w="4320"/>
          </w:tcPr>
          <w:p>
            <w:r>
              <w:rPr>
                <w:rFonts w:ascii="Arial" w:hAnsi="Arial"/>
                <w:sz w:val="18"/>
              </w:rPr>
              <w:t>• Zendesk (Sunshine Conversations)</w:t>
              <w:br/>
              <w:t>• Ultimate AI (current chatbot — contract ends October 2026)</w:t>
            </w:r>
          </w:p>
        </w:tc>
      </w:tr>
      <w:tr>
        <w:tc>
          <w:tcPr>
            <w:tcW w:type="dxa" w:w="4320"/>
          </w:tcPr>
          <w:p>
            <w:r>
              <w:rPr>
                <w:rFonts w:ascii="Arial" w:hAnsi="Arial"/>
                <w:b/>
                <w:sz w:val="18"/>
              </w:rPr>
              <w:t>Agent Tech Stack</w:t>
            </w:r>
          </w:p>
        </w:tc>
        <w:tc>
          <w:tcPr>
            <w:tcW w:type="dxa" w:w="4320"/>
          </w:tcPr>
          <w:p>
            <w:r>
              <w:rPr>
                <w:rFonts w:ascii="Arial" w:hAnsi="Arial"/>
                <w:sz w:val="18"/>
              </w:rPr>
              <w:t>• Zendesk (Sunshine Conversations)</w:t>
              <w:br/>
              <w:t>• Ultimate AI (current chatbot — contract ends October 2026)</w:t>
            </w:r>
          </w:p>
        </w:tc>
      </w:tr>
      <w:tr>
        <w:tc>
          <w:tcPr>
            <w:tcW w:type="dxa" w:w="4320"/>
          </w:tcPr>
          <w:p>
            <w:r>
              <w:rPr>
                <w:rFonts w:ascii="Arial" w:hAnsi="Arial"/>
                <w:b/>
                <w:sz w:val="18"/>
              </w:rPr>
              <w:t>KB Readiness</w:t>
              <w:br/>
              <w:br/>
              <w:t>Formatted and ready for AI agent ingestion or updates required</w:t>
            </w:r>
          </w:p>
        </w:tc>
        <w:tc>
          <w:tcPr>
            <w:tcW w:type="dxa" w:w="4320"/>
          </w:tcPr>
          <w:p>
            <w:r>
              <w:rPr>
                <w:rFonts w:ascii="Arial" w:hAnsi="Arial"/>
                <w:sz w:val="18"/>
              </w:rPr>
              <w:t>High readiness for agent ingestion.</w:t>
              <w:br/>
              <w:t>• B2C Knowledge Base (Zendesk): https://playerhelp.playtomic.com/hc/en-gb</w:t>
              <w:br/>
              <w:t>• B2B Knowledge Base (Zendesk): https://helpmanager.playtomic.com/</w:t>
              <w:br/>
              <w:t>Goal: reduce manual translation effort across 9 languages.</w:t>
            </w:r>
          </w:p>
        </w:tc>
      </w:tr>
      <w:tr>
        <w:tc>
          <w:tcPr>
            <w:tcW w:type="dxa" w:w="4320"/>
          </w:tcPr>
          <w:p>
            <w:r>
              <w:rPr>
                <w:rFonts w:ascii="Arial" w:hAnsi="Arial"/>
                <w:b/>
                <w:sz w:val="18"/>
              </w:rPr>
              <w:t>Project Scope</w:t>
              <w:br/>
              <w:br/>
              <w:t>What will Phase 1 include? What will Phase 2 include?</w:t>
            </w:r>
          </w:p>
        </w:tc>
        <w:tc>
          <w:tcPr>
            <w:tcW w:type="dxa" w:w="4320"/>
          </w:tcPr>
          <w:p>
            <w:r>
              <w:rPr>
                <w:rFonts w:ascii="Arial" w:hAnsi="Arial"/>
                <w:sz w:val="18"/>
              </w:rPr>
              <w:t>Phase 1: B2C automated resolution via Messaging (in-app chat) — covering match cancellations, refund inquiries, booking management, authentication. Target: 100% automated resolution (no human handoffs for B2C).</w:t>
              <w:br/>
              <w:br/>
              <w:t>Phase 2: B2B club support — triage and routing for club managers; Stripe payout/billing inquiries; authentication via tenant_id retrieval</w:t>
              <w:br/>
              <w:br/>
              <w:t>Phase 3: Email channel (future phase)</w:t>
              <w:br/>
              <w:br/>
              <w:t>Phase 4: Voice channel for premium B2B clubs — initial rollout to top 200 clubs in Spain</w:t>
              <w:br/>
              <w:br/>
              <w:t>Phase 5: Social channels (future phase)</w:t>
            </w:r>
          </w:p>
        </w:tc>
      </w:tr>
      <w:tr>
        <w:tc>
          <w:tcPr>
            <w:tcW w:type="dxa" w:w="4320"/>
          </w:tcPr>
          <w:p>
            <w:r>
              <w:rPr>
                <w:rFonts w:ascii="Arial" w:hAnsi="Arial"/>
                <w:b/>
                <w:sz w:val="18"/>
              </w:rPr>
              <w:t>Expected Launch Date?</w:t>
            </w:r>
          </w:p>
        </w:tc>
        <w:tc>
          <w:tcPr>
            <w:tcW w:type="dxa" w:w="4320"/>
          </w:tcPr>
          <w:p>
            <w:r>
              <w:rPr>
                <w:rFonts w:ascii="Arial" w:hAnsi="Arial"/>
                <w:sz w:val="18"/>
              </w:rPr>
              <w:t>October 2026</w:t>
            </w:r>
          </w:p>
        </w:tc>
      </w:tr>
      <w:tr>
        <w:tc>
          <w:tcPr>
            <w:tcW w:type="dxa" w:w="4320"/>
          </w:tcPr>
          <w:p>
            <w:r>
              <w:rPr>
                <w:rFonts w:ascii="Arial" w:hAnsi="Arial"/>
                <w:b/>
                <w:sz w:val="18"/>
              </w:rPr>
              <w:t>Success Criteria 30 days post launch</w:t>
            </w:r>
          </w:p>
        </w:tc>
        <w:tc>
          <w:tcPr>
            <w:tcW w:type="dxa" w:w="4320"/>
          </w:tcPr>
          <w:p>
            <w:r>
              <w:rPr>
                <w:rFonts w:ascii="Arial" w:hAnsi="Arial"/>
                <w:sz w:val="18"/>
              </w:rPr>
              <w:t>B2C: 100% Automated Resolution rate (no handoffs). Current baseline is &gt;85% with Ultimate — go-live target must match or exceed this.</w:t>
              <w:br/>
              <w:t>B2B: High-touch personalised support model; automation used for triage/routing and complex workflows (e.g. Stripe payout retrieval). Specific AR% not yet defined for B2B.</w:t>
            </w:r>
          </w:p>
        </w:tc>
      </w:tr>
      <w:tr>
        <w:tc>
          <w:tcPr>
            <w:tcW w:type="dxa" w:w="4320"/>
          </w:tcPr>
          <w:p>
            <w:r>
              <w:rPr>
                <w:rFonts w:ascii="Arial" w:hAnsi="Arial"/>
                <w:b/>
                <w:sz w:val="18"/>
              </w:rPr>
              <w:t>Channels</w:t>
              <w:br/>
              <w:br/>
              <w:t>What channels will they plan to deploy on?</w:t>
            </w:r>
          </w:p>
        </w:tc>
        <w:tc>
          <w:tcPr>
            <w:tcW w:type="dxa" w:w="4320"/>
          </w:tcPr>
          <w:p>
            <w:r>
              <w:rPr>
                <w:rFonts w:ascii="Arial" w:hAnsi="Arial"/>
                <w:sz w:val="18"/>
              </w:rPr>
              <w:t>• Messaging (Chat) — Phase 1</w:t>
              <w:br/>
              <w:t>• Email — future phase</w:t>
              <w:br/>
              <w:t>• Voice — future phase</w:t>
            </w:r>
          </w:p>
        </w:tc>
      </w:tr>
      <w:tr>
        <w:tc>
          <w:tcPr>
            <w:tcW w:type="dxa" w:w="4320"/>
          </w:tcPr>
          <w:p>
            <w:r>
              <w:rPr>
                <w:rFonts w:ascii="Arial" w:hAnsi="Arial"/>
                <w:b/>
                <w:sz w:val="18"/>
              </w:rPr>
              <w:t>Language Requirements</w:t>
            </w:r>
          </w:p>
        </w:tc>
        <w:tc>
          <w:tcPr>
            <w:tcW w:type="dxa" w:w="4320"/>
          </w:tcPr>
          <w:p>
            <w:r>
              <w:rPr>
                <w:rFonts w:ascii="Arial" w:hAnsi="Arial"/>
                <w:sz w:val="18"/>
              </w:rPr>
              <w:t>9 languages required with regional dialect variations:</w:t>
              <w:br/>
              <w:t>• Spanish • English • Italian • Swedish • German • Dutch • Finnish • French • Portuguese</w:t>
              <w:br/>
              <w:t>Key goal: reduce manual translation burden — knowledge exists in multiple languages but maintenance is time-intensive.</w:t>
            </w:r>
          </w:p>
        </w:tc>
      </w:tr>
      <w:tr>
        <w:tc>
          <w:tcPr>
            <w:tcW w:type="dxa" w:w="4320"/>
          </w:tcPr>
          <w:p>
            <w:r>
              <w:rPr>
                <w:rFonts w:ascii="Arial" w:hAnsi="Arial"/>
                <w:b/>
                <w:sz w:val="18"/>
              </w:rPr>
              <w:t>APIs / Personalization / Authentication Requirements</w:t>
            </w:r>
          </w:p>
        </w:tc>
        <w:tc>
          <w:tcPr>
            <w:tcW w:type="dxa" w:w="4320"/>
          </w:tcPr>
          <w:p>
            <w:r>
              <w:rPr>
                <w:rFonts w:ascii="Arial" w:hAnsi="Arial"/>
                <w:sz w:val="18"/>
              </w:rPr>
              <w:t>Playtomic has well-documented APIs for all major use cases.</w:t>
              <w:br/>
              <w:br/>
              <w:t>B2C API Examples:</w:t>
              <w:br/>
              <w:t>• List User Past Matches — retrieves matches a player has participated in or booked</w:t>
              <w:br/>
              <w:t>• List Players in Match — fetches all participants for a specific match</w:t>
              <w:br/>
              <w:t>• No-Show Process — applies penalties to absent players and issues refunds (via Make.com automation)</w:t>
              <w:br/>
              <w:t>• Match Validation Check — multi-parameter check for match eligibility</w:t>
              <w:br/>
              <w:t>• Fetch User Refunds — checks status of previous/pending refund requests</w:t>
              <w:br/>
              <w:br/>
              <w:t>B2B API Examples:</w:t>
              <w:br/>
              <w:t>• Retrieve User/Club Information — authenticates user and retrieves club profile at session start</w:t>
              <w:br/>
              <w:t>• Stripe ID Retrieval — fetches unique Stripe identifier for a club</w:t>
              <w:br/>
              <w:t>• Get Payment/Payout Details — uses Stripe ID to pull financial data</w:t>
              <w:br/>
              <w:br/>
              <w:t>Authentication:</w:t>
              <w:br/>
              <w:t>• B2C: Players must authenticate through sign-in flow before chat to confirm identity (required for match cancellations etc.)</w:t>
              <w:br/>
              <w:t>• B2B: Club managers authenticated at session start — Ada retrieves tenant_id and club profile immediately</w:t>
              <w:br/>
              <w:t>• Meta-variables populated via SDK also discussed as alternative to API call for passing data</w:t>
            </w:r>
          </w:p>
        </w:tc>
      </w:tr>
      <w:tr>
        <w:tc>
          <w:tcPr>
            <w:tcW w:type="dxa" w:w="4320"/>
          </w:tcPr>
          <w:p>
            <w:r>
              <w:rPr>
                <w:rFonts w:ascii="Arial" w:hAnsi="Arial"/>
                <w:b/>
                <w:sz w:val="18"/>
              </w:rPr>
              <w:t>Segmentation Requirements</w:t>
            </w:r>
          </w:p>
        </w:tc>
        <w:tc>
          <w:tcPr>
            <w:tcW w:type="dxa" w:w="4320"/>
          </w:tcPr>
          <w:p>
            <w:r>
              <w:rPr>
                <w:rFonts w:ascii="Arial" w:hAnsi="Arial"/>
                <w:sz w:val="18"/>
              </w:rPr>
              <w:t>B2B and B2C use cases differ significantly and will require separate playbooks/routing logic. One agent currently planned — pros/cons of separate B2C and B2B agents to be discussed with PS.</w:t>
            </w:r>
          </w:p>
        </w:tc>
      </w:tr>
      <w:tr>
        <w:tc>
          <w:tcPr>
            <w:tcW w:type="dxa" w:w="4320"/>
          </w:tcPr>
          <w:p>
            <w:r>
              <w:rPr>
                <w:rFonts w:ascii="Arial" w:hAnsi="Arial"/>
                <w:b/>
                <w:sz w:val="18"/>
              </w:rPr>
              <w:t>Product promises made to the client / FRs?</w:t>
            </w:r>
          </w:p>
        </w:tc>
        <w:tc>
          <w:tcPr>
            <w:tcW w:type="dxa" w:w="4320"/>
          </w:tcPr>
          <w:p>
            <w:r>
              <w:rPr>
                <w:rFonts w:ascii="Arial" w:hAnsi="Arial"/>
                <w:sz w:val="18"/>
              </w:rPr>
              <w:t>• Data Export API with no caps on export volumes</w:t>
              <w:br/>
              <w:t>• MCP Actions (Ada as MCP client connecting to external MCP servers) — in roadmap, coming in future months</w:t>
              <w:br/>
              <w:t>• Real-time data integration (previously 24hr delay — now resolved)</w:t>
            </w:r>
          </w:p>
        </w:tc>
      </w:tr>
      <w:tr>
        <w:tc>
          <w:tcPr>
            <w:tcW w:type="dxa" w:w="4320"/>
          </w:tcPr>
          <w:p>
            <w:r>
              <w:rPr>
                <w:rFonts w:ascii="Arial" w:hAnsi="Arial"/>
                <w:b/>
                <w:sz w:val="18"/>
              </w:rPr>
              <w:t>Cluster</w:t>
            </w:r>
          </w:p>
        </w:tc>
        <w:tc>
          <w:tcPr>
            <w:tcW w:type="dxa" w:w="4320"/>
          </w:tcPr>
          <w:p>
            <w:r>
              <w:rPr>
                <w:rFonts w:ascii="Arial" w:hAnsi="Arial"/>
                <w:sz w:val="18"/>
              </w:rPr>
              <w:t>• EU</w:t>
            </w:r>
          </w:p>
        </w:tc>
      </w:tr>
      <w:tr>
        <w:tc>
          <w:tcPr>
            <w:tcW w:type="dxa" w:w="4320"/>
          </w:tcPr>
          <w:p>
            <w:r>
              <w:rPr>
                <w:rFonts w:ascii="Arial" w:hAnsi="Arial"/>
                <w:b/>
                <w:sz w:val="18"/>
              </w:rPr>
              <w:t>Number of AI Agents</w:t>
            </w:r>
          </w:p>
        </w:tc>
        <w:tc>
          <w:tcPr>
            <w:tcW w:type="dxa" w:w="4320"/>
          </w:tcPr>
          <w:p>
            <w:r>
              <w:rPr>
                <w:rFonts w:ascii="Arial" w:hAnsi="Arial"/>
                <w:sz w:val="18"/>
              </w:rPr>
              <w:t>1 (recommended to discuss pros/cons of separate B2C vs B2B agents with PS)</w:t>
            </w:r>
          </w:p>
        </w:tc>
      </w:tr>
      <w:tr>
        <w:tc>
          <w:tcPr>
            <w:tcW w:type="dxa" w:w="8640"/>
            <w:gridSpan w:val="2"/>
            <w:shd w:fill="4472C4"/>
          </w:tcPr>
          <w:p>
            <w:r/>
            <w:r>
              <w:rPr>
                <w:rFonts w:ascii="Arial" w:hAnsi="Arial"/>
                <w:b/>
                <w:color w:val="FFFFFF"/>
                <w:sz w:val="20"/>
              </w:rPr>
              <w:t>Miscellaneous</w:t>
            </w:r>
          </w:p>
        </w:tc>
      </w:tr>
      <w:tr>
        <w:tc>
          <w:tcPr>
            <w:tcW w:type="dxa" w:w="4320"/>
          </w:tcPr>
          <w:p>
            <w:r>
              <w:rPr>
                <w:rFonts w:ascii="Arial" w:hAnsi="Arial"/>
                <w:b/>
                <w:sz w:val="18"/>
              </w:rPr>
              <w:t>Enrolled in Ada Academy</w:t>
            </w:r>
          </w:p>
        </w:tc>
        <w:tc>
          <w:tcPr>
            <w:tcW w:type="dxa" w:w="4320"/>
          </w:tcPr>
          <w:p>
            <w:r>
              <w:rPr>
                <w:rFonts w:ascii="Arial" w:hAnsi="Arial"/>
                <w:sz w:val="18"/>
              </w:rPr>
              <w:t>No (pre-signature)</w:t>
            </w:r>
          </w:p>
        </w:tc>
      </w:tr>
      <w:tr>
        <w:tc>
          <w:tcPr>
            <w:tcW w:type="dxa" w:w="4320"/>
          </w:tcPr>
          <w:p>
            <w:r>
              <w:rPr>
                <w:rFonts w:ascii="Arial" w:hAnsi="Arial"/>
                <w:b/>
                <w:sz w:val="18"/>
              </w:rPr>
              <w:t>Security Requirements</w:t>
            </w:r>
          </w:p>
        </w:tc>
        <w:tc>
          <w:tcPr>
            <w:tcW w:type="dxa" w:w="4320"/>
          </w:tcPr>
          <w:p>
            <w:r>
              <w:rPr>
                <w:rFonts w:ascii="Arial" w:hAnsi="Arial"/>
                <w:sz w:val="18"/>
              </w:rPr>
              <w:t>Not discussed</w:t>
            </w:r>
          </w:p>
        </w:tc>
      </w:tr>
      <w:tr>
        <w:tc>
          <w:tcPr>
            <w:tcW w:type="dxa" w:w="4320"/>
          </w:tcPr>
          <w:p>
            <w:r>
              <w:rPr>
                <w:rFonts w:ascii="Arial" w:hAnsi="Arial"/>
                <w:b/>
                <w:sz w:val="18"/>
              </w:rPr>
              <w:t>Link + invites to Demo/Sandbox instance</w:t>
            </w:r>
          </w:p>
        </w:tc>
        <w:tc>
          <w:tcPr>
            <w:tcW w:type="dxa" w:w="4320"/>
          </w:tcPr>
          <w:p>
            <w:r>
              <w:rPr>
                <w:rFonts w:ascii="Arial" w:hAnsi="Arial"/>
                <w:sz w:val="18"/>
              </w:rPr>
              <w:t>https://playtomic-ai-agent-demo.ada.support/</w:t>
            </w:r>
          </w:p>
        </w:tc>
      </w:tr>
      <w:tr>
        <w:tc>
          <w:tcPr>
            <w:tcW w:type="dxa" w:w="4320"/>
          </w:tcPr>
          <w:p>
            <w:r>
              <w:rPr>
                <w:rFonts w:ascii="Arial" w:hAnsi="Arial"/>
                <w:b/>
                <w:sz w:val="18"/>
              </w:rPr>
              <w:t>Pilot / Opt out</w:t>
            </w:r>
          </w:p>
        </w:tc>
        <w:tc>
          <w:tcPr>
            <w:tcW w:type="dxa" w:w="4320"/>
          </w:tcPr>
          <w:p>
            <w:r>
              <w:rPr>
                <w:rFonts w:ascii="Arial" w:hAnsi="Arial"/>
                <w:sz w:val="18"/>
              </w:rPr>
              <w:t>Not Discussed</w:t>
            </w:r>
          </w:p>
        </w:tc>
      </w:tr>
      <w:tr>
        <w:tc>
          <w:tcPr>
            <w:tcW w:type="dxa" w:w="4320"/>
          </w:tcPr>
          <w:p>
            <w:r>
              <w:rPr>
                <w:rFonts w:ascii="Arial" w:hAnsi="Arial"/>
                <w:b/>
                <w:sz w:val="18"/>
              </w:rPr>
              <w:t>Additional Notes / Risks</w:t>
            </w:r>
          </w:p>
        </w:tc>
        <w:tc>
          <w:tcPr>
            <w:tcW w:type="dxa" w:w="4320"/>
          </w:tcPr>
          <w:p>
            <w:r>
              <w:rPr>
                <w:rFonts w:ascii="Arial" w:hAnsi="Arial"/>
                <w:sz w:val="18"/>
              </w:rPr>
              <w:t>• Double-payment risk: Ultimate contract runs to October 2026 — implementation April–September creates overlap. Commercial solution needed (split contract, delayed conversation billing start).</w:t>
              <w:br/>
              <w:t>• Multi-conversation capability not currently supported by Ada — Playtomic wants ticket-based conversation retrieval (vs continuous WhatsApp-style chat). Recommendation: use Zendesk widget if multi-conversations critical.</w:t>
              <w:br/>
              <w:t>• MCP client functionality (Ada consuming external MCP servers) not yet available — on roadmap for future months. Customer understands but PS should set expectations clearly.</w:t>
              <w:br/>
              <w:t>• 9-language requirement with dialect variations is a significant scope item — translation automation is a key value driver but must be scoped carefully.</w:t>
              <w:br/>
              <w:t>• B2B segment has no defined AR% success criteria yet — needs to be established during PS scoping.</w:t>
              <w:br/>
              <w:t>• Voice channel is a future phase — voice playbooks not yet ready for full production use; PS to advise timeline carefully.</w:t>
            </w:r>
          </w:p>
        </w:tc>
      </w:tr>
    </w:tbl>
    <w:p/>
    <w:p>
      <w:pPr>
        <w:pStyle w:val="Heading2"/>
      </w:pPr>
      <w:r>
        <w:rPr>
          <w:color w:val="1F3864"/>
        </w:rPr>
        <w:t>KEY NEXT STEPS</w:t>
      </w:r>
    </w:p>
    <w:p>
      <w:pPr>
        <w:pStyle w:val="ListNumber"/>
      </w:pPr>
      <w:r>
        <w:t>Ashlee to finalise vendor comparison document (including other vendors Giulio requested) for C-level review</w:t>
      </w:r>
    </w:p>
    <w:p>
      <w:pPr>
        <w:pStyle w:val="ListNumber"/>
      </w:pPr>
      <w:r>
        <w:t>Wait for Marta to return from vacation, coordinate with Rafa's schedule</w:t>
      </w:r>
    </w:p>
    <w:p>
      <w:pPr>
        <w:pStyle w:val="ListNumber"/>
      </w:pPr>
      <w:r>
        <w:t>Schedule internal alignment meeting with Giulio, Marta, and Rafa to decide preferred path forward</w:t>
      </w:r>
    </w:p>
    <w:p>
      <w:pPr>
        <w:pStyle w:val="ListNumber"/>
      </w:pPr>
      <w:r>
        <w:t>Laura to send follow-up email with: detailed pricing breakdown, volume assumptions (100k min, ~180–200k conversations, current 35k/month), options for commercial flexibility (delayed billing start, April quarter incentive)</w:t>
      </w:r>
    </w:p>
    <w:p>
      <w:pPr>
        <w:pStyle w:val="ListNumber"/>
      </w:pPr>
      <w:r>
        <w:t>Offer to connect Giulio/team with reference customers in Barcelona (e.g. King.com)</w:t>
      </w:r>
    </w:p>
    <w:p/>
    <w:p>
      <w:pPr>
        <w:pStyle w:val="Heading2"/>
      </w:pPr>
      <w:r>
        <w:rPr>
          <w:color w:val="1F3864"/>
        </w:rPr>
        <w:t>MEETING NOTES (from Granola)</w:t>
      </w:r>
    </w:p>
    <w:p>
      <w:r>
        <w:rPr>
          <w:b/>
          <w:sz w:val="20"/>
        </w:rPr>
        <w:t>Playtomic x Ada — Catch-up</w:t>
      </w:r>
      <w:r>
        <w:rPr>
          <w:sz w:val="18"/>
        </w:rPr>
        <w:t xml:space="preserve"> (February 17, 2026)</w:t>
      </w:r>
    </w:p>
    <w:p>
      <w:r>
        <w:t>Attendees: Raf Silva, Laura Roscam (Ada); Giulio Castiglioni (Customer Care Director), Ashlee Harbert (Knowledge &amp; Training Manager) (Playtomic).</w:t>
        <w:br/>
        <w:br/>
        <w:t>Key topics:</w:t>
        <w:br/>
        <w:t>• MCP integration: Playtomic wants MCP client functionality for Ada to connect to internal APIs. Interested in Zendesk MCP for ticket history context (e.g. retrieve previous conversation on same issue). Ada's MCP server is live; MCP Actions (Ada as client) on roadmap.</w:t>
        <w:br/>
        <w:t>• Multi-conversation: Playtomic wants ticket-based conversations for easier retrieval of past topics — Ada does not currently support this. Recommendation: use Zendesk widget if this is critical.</w:t>
        <w:br/>
        <w:t>• Article pre-loading: Ada can surface contextual articles based on page context (e.g. reports page) and generate responses rather than just linking articles.</w:t>
        <w:br/>
        <w:t>• Voice: Wants voice for premium B2B clubs (top 200 in Spain initially). Same agent across all channels. Always disclose AI identity.</w:t>
        <w:br/>
        <w:t>• Pricing discussed: €17k implementation, €0.47/conversation, volume discounts &gt;500k. Commercial challenge around overlap with Ultimate contract (ends Oct 2026).</w:t>
        <w:br/>
        <w:t>• Team: dedicated AE + Consultant + Engineer; weekly → biweekly → monthly cadence; joint Slack channel; 24/7 technical support; QBRs included.</w:t>
      </w:r>
    </w:p>
    <w:p>
      <w:r>
        <w:rPr>
          <w:b/>
          <w:sz w:val="20"/>
        </w:rPr>
        <w:t>Raf / Anthony 1-1 (Pipeline mention)</w:t>
      </w:r>
      <w:r>
        <w:rPr>
          <w:sz w:val="18"/>
        </w:rPr>
        <w:t xml:space="preserve"> (February 18, 2026)</w:t>
      </w:r>
    </w:p>
    <w:p>
      <w:r>
        <w:t>Playtomic pipeline status: ~350k chats currently, asking for 500k, pushing for 2-year vs quarterly payment terms. Deal progressing positively alongside Eurostar, Smartbox voice POCs, and iHerb.</w:t>
      </w:r>
    </w:p>
    <w:p>
      <w:r>
        <w:br w:type="page"/>
      </w:r>
    </w:p>
    <w:p>
      <w:pPr>
        <w:pStyle w:val="Heading1"/>
      </w:pPr>
      <w:r>
        <w:rPr>
          <w:color w:val="1F3864"/>
        </w:rPr>
        <w:t>EMAIL SCOPING</w:t>
      </w:r>
    </w:p>
    <w:p/>
    <w:tbl>
      <w:tblPr>
        <w:tblStyle w:val="TableGrid"/>
        <w:tblW w:type="auto" w:w="0"/>
        <w:jc w:val="center"/>
        <w:tblLook w:firstColumn="1" w:firstRow="1" w:lastColumn="0" w:lastRow="0" w:noHBand="0" w:noVBand="1" w:val="04A0"/>
      </w:tblPr>
      <w:tblGrid>
        <w:gridCol w:w="4320"/>
        <w:gridCol w:w="4320"/>
      </w:tblGrid>
      <w:tr>
        <w:tc>
          <w:tcPr>
            <w:tcW w:type="dxa" w:w="3600"/>
            <w:shd w:fill="1F3864"/>
          </w:tcPr>
          <w:p>
            <w:r/>
            <w:r>
              <w:rPr>
                <w:rFonts w:ascii="Arial" w:hAnsi="Arial"/>
                <w:b/>
                <w:color w:val="FFFFFF"/>
                <w:sz w:val="20"/>
              </w:rPr>
              <w:t>Field</w:t>
            </w:r>
          </w:p>
        </w:tc>
        <w:tc>
          <w:tcPr>
            <w:tcW w:type="dxa" w:w="6480"/>
            <w:shd w:fill="1F3864"/>
          </w:tcPr>
          <w:p>
            <w:r/>
            <w:r>
              <w:rPr>
                <w:rFonts w:ascii="Arial" w:hAnsi="Arial"/>
                <w:b/>
                <w:color w:val="FFFFFF"/>
                <w:sz w:val="20"/>
              </w:rPr>
              <w:t>SC Input</w:t>
            </w:r>
          </w:p>
        </w:tc>
      </w:tr>
      <w:tr>
        <w:tc>
          <w:tcPr>
            <w:tcW w:type="dxa" w:w="8640"/>
            <w:gridSpan w:val="2"/>
            <w:shd w:fill="4472C4"/>
          </w:tcPr>
          <w:p>
            <w:r/>
            <w:r>
              <w:rPr>
                <w:rFonts w:ascii="Arial" w:hAnsi="Arial"/>
                <w:b/>
                <w:color w:val="FFFFFF"/>
                <w:sz w:val="20"/>
              </w:rPr>
              <w:t>Email Architecture</w:t>
            </w:r>
          </w:p>
        </w:tc>
      </w:tr>
      <w:tr>
        <w:tc>
          <w:tcPr>
            <w:tcW w:type="dxa" w:w="4320"/>
          </w:tcPr>
          <w:p>
            <w:r>
              <w:rPr>
                <w:rFonts w:ascii="Arial" w:hAnsi="Arial"/>
                <w:b/>
                <w:sz w:val="18"/>
              </w:rPr>
              <w:t>Tech Stack</w:t>
              <w:br/>
              <w:br/>
              <w:t>Is the system your agents use to receive and respond to emails the same as your chat? Name the system.</w:t>
            </w:r>
          </w:p>
        </w:tc>
        <w:tc>
          <w:tcPr>
            <w:tcW w:type="dxa" w:w="4320"/>
          </w:tcPr>
          <w:p>
            <w:r>
              <w:rPr>
                <w:rFonts w:ascii="Arial" w:hAnsi="Arial"/>
                <w:sz w:val="18"/>
              </w:rPr>
              <w:t>Out of Scope for Phase 1</w:t>
            </w:r>
          </w:p>
        </w:tc>
      </w:tr>
      <w:tr>
        <w:tc>
          <w:tcPr>
            <w:tcW w:type="dxa" w:w="4320"/>
          </w:tcPr>
          <w:p>
            <w:r>
              <w:rPr>
                <w:rFonts w:ascii="Arial" w:hAnsi="Arial"/>
                <w:b/>
                <w:sz w:val="18"/>
              </w:rPr>
              <w:t>Email landscape</w:t>
              <w:br/>
              <w:br/>
              <w:t>Which email address(es) are your customers emailing?</w:t>
            </w:r>
          </w:p>
        </w:tc>
        <w:tc>
          <w:tcPr>
            <w:tcW w:type="dxa" w:w="4320"/>
          </w:tcPr>
          <w:p>
            <w:r>
              <w:rPr>
                <w:rFonts w:ascii="Arial" w:hAnsi="Arial"/>
                <w:sz w:val="18"/>
              </w:rPr>
              <w:t>Out of Scope for Phase 1</w:t>
            </w:r>
          </w:p>
        </w:tc>
      </w:tr>
      <w:tr>
        <w:tc>
          <w:tcPr>
            <w:tcW w:type="dxa" w:w="4320"/>
          </w:tcPr>
          <w:p>
            <w:r>
              <w:rPr>
                <w:rFonts w:ascii="Arial" w:hAnsi="Arial"/>
                <w:b/>
                <w:sz w:val="18"/>
              </w:rPr>
              <w:t>Webform</w:t>
              <w:br/>
              <w:br/>
              <w:t>Do you have a webform or contact form on your website?</w:t>
            </w:r>
          </w:p>
        </w:tc>
        <w:tc>
          <w:tcPr>
            <w:tcW w:type="dxa" w:w="4320"/>
          </w:tcPr>
          <w:p>
            <w:r>
              <w:rPr>
                <w:rFonts w:ascii="Arial" w:hAnsi="Arial"/>
                <w:sz w:val="18"/>
              </w:rPr>
              <w:t>Out of Scope for Phase 1</w:t>
            </w:r>
          </w:p>
        </w:tc>
      </w:tr>
      <w:tr>
        <w:tc>
          <w:tcPr>
            <w:tcW w:type="dxa" w:w="4320"/>
          </w:tcPr>
          <w:p>
            <w:r>
              <w:rPr>
                <w:rFonts w:ascii="Arial" w:hAnsi="Arial"/>
                <w:b/>
                <w:sz w:val="18"/>
              </w:rPr>
              <w:t>Custom / Filter Incoming Emails</w:t>
              <w:br/>
              <w:br/>
              <w:t>Do you want to limit incoming emails to specific use cases/topics?</w:t>
            </w:r>
          </w:p>
        </w:tc>
        <w:tc>
          <w:tcPr>
            <w:tcW w:type="dxa" w:w="4320"/>
          </w:tcPr>
          <w:p>
            <w:r>
              <w:rPr>
                <w:rFonts w:ascii="Arial" w:hAnsi="Arial"/>
                <w:sz w:val="18"/>
              </w:rPr>
              <w:t>Out of Scope for Phase 1</w:t>
            </w:r>
          </w:p>
        </w:tc>
      </w:tr>
      <w:tr>
        <w:tc>
          <w:tcPr>
            <w:tcW w:type="dxa" w:w="4320"/>
          </w:tcPr>
          <w:p>
            <w:r>
              <w:rPr>
                <w:rFonts w:ascii="Arial" w:hAnsi="Arial"/>
                <w:b/>
                <w:sz w:val="18"/>
              </w:rPr>
              <w:t>AI Agent / Human support</w:t>
              <w:br/>
              <w:br/>
              <w:t>Which email address will the AI Agent respond as?</w:t>
            </w:r>
          </w:p>
        </w:tc>
        <w:tc>
          <w:tcPr>
            <w:tcW w:type="dxa" w:w="4320"/>
          </w:tcPr>
          <w:p>
            <w:r>
              <w:rPr>
                <w:rFonts w:ascii="Arial" w:hAnsi="Arial"/>
                <w:sz w:val="18"/>
              </w:rPr>
              <w:t>Out of Scope for Phase 1</w:t>
            </w:r>
          </w:p>
        </w:tc>
      </w:tr>
      <w:tr>
        <w:tc>
          <w:tcPr>
            <w:tcW w:type="dxa" w:w="4320"/>
          </w:tcPr>
          <w:p>
            <w:r>
              <w:rPr>
                <w:rFonts w:ascii="Arial" w:hAnsi="Arial"/>
                <w:b/>
                <w:sz w:val="18"/>
              </w:rPr>
              <w:t>Launch plan</w:t>
              <w:br/>
              <w:br/>
              <w:t>Do you require a gradual rollout?</w:t>
            </w:r>
          </w:p>
        </w:tc>
        <w:tc>
          <w:tcPr>
            <w:tcW w:type="dxa" w:w="4320"/>
          </w:tcPr>
          <w:p>
            <w:r>
              <w:rPr>
                <w:rFonts w:ascii="Arial" w:hAnsi="Arial"/>
                <w:sz w:val="18"/>
              </w:rPr>
              <w:t>Out of Scope for Phase 1</w:t>
            </w:r>
          </w:p>
        </w:tc>
      </w:tr>
      <w:tr>
        <w:tc>
          <w:tcPr>
            <w:tcW w:type="dxa" w:w="8640"/>
            <w:gridSpan w:val="2"/>
            <w:shd w:fill="4472C4"/>
          </w:tcPr>
          <w:p>
            <w:r/>
            <w:r>
              <w:rPr>
                <w:rFonts w:ascii="Arial" w:hAnsi="Arial"/>
                <w:b/>
                <w:color w:val="FFFFFF"/>
                <w:sz w:val="20"/>
              </w:rPr>
              <w:t>Email Configuration</w:t>
            </w:r>
          </w:p>
        </w:tc>
      </w:tr>
      <w:tr>
        <w:tc>
          <w:tcPr>
            <w:tcW w:type="dxa" w:w="4320"/>
          </w:tcPr>
          <w:p>
            <w:r>
              <w:rPr>
                <w:rFonts w:ascii="Arial" w:hAnsi="Arial"/>
                <w:b/>
                <w:sz w:val="18"/>
              </w:rPr>
              <w:t>Knowledge Base</w:t>
              <w:br/>
              <w:br/>
              <w:t>Any additional sources specific to email?</w:t>
            </w:r>
          </w:p>
        </w:tc>
        <w:tc>
          <w:tcPr>
            <w:tcW w:type="dxa" w:w="4320"/>
          </w:tcPr>
          <w:p>
            <w:r>
              <w:rPr>
                <w:rFonts w:ascii="Arial" w:hAnsi="Arial"/>
                <w:sz w:val="18"/>
              </w:rPr>
              <w:t>Same as chat channel</w:t>
            </w:r>
          </w:p>
        </w:tc>
      </w:tr>
      <w:tr>
        <w:tc>
          <w:tcPr>
            <w:tcW w:type="dxa" w:w="4320"/>
          </w:tcPr>
          <w:p>
            <w:r>
              <w:rPr>
                <w:rFonts w:ascii="Arial" w:hAnsi="Arial"/>
                <w:b/>
                <w:sz w:val="18"/>
              </w:rPr>
              <w:t>Use cases</w:t>
              <w:br/>
              <w:br/>
              <w:t>Are there any use cases unique to email vs chat/voice?</w:t>
            </w:r>
          </w:p>
        </w:tc>
        <w:tc>
          <w:tcPr>
            <w:tcW w:type="dxa" w:w="4320"/>
          </w:tcPr>
          <w:p>
            <w:r>
              <w:rPr>
                <w:rFonts w:ascii="Arial" w:hAnsi="Arial"/>
                <w:sz w:val="18"/>
              </w:rPr>
              <w:t>Out of Scope for Phase 1</w:t>
            </w:r>
          </w:p>
        </w:tc>
      </w:tr>
      <w:tr>
        <w:tc>
          <w:tcPr>
            <w:tcW w:type="dxa" w:w="4320"/>
          </w:tcPr>
          <w:p>
            <w:r>
              <w:rPr>
                <w:rFonts w:ascii="Arial" w:hAnsi="Arial"/>
                <w:b/>
                <w:sz w:val="18"/>
              </w:rPr>
              <w:t>Workflow Mapping</w:t>
              <w:br/>
              <w:br/>
              <w:t>Any notable differences in workflows for email vs chat?</w:t>
            </w:r>
          </w:p>
        </w:tc>
        <w:tc>
          <w:tcPr>
            <w:tcW w:type="dxa" w:w="4320"/>
          </w:tcPr>
          <w:p>
            <w:r>
              <w:rPr>
                <w:rFonts w:ascii="Arial" w:hAnsi="Arial"/>
                <w:sz w:val="18"/>
              </w:rPr>
              <w:t>Out of Scope for Phase 1</w:t>
            </w:r>
          </w:p>
        </w:tc>
      </w:tr>
      <w:tr>
        <w:tc>
          <w:tcPr>
            <w:tcW w:type="dxa" w:w="4320"/>
          </w:tcPr>
          <w:p>
            <w:r>
              <w:rPr>
                <w:rFonts w:ascii="Arial" w:hAnsi="Arial"/>
                <w:b/>
                <w:sz w:val="18"/>
              </w:rPr>
              <w:t>CC Support</w:t>
              <w:br/>
              <w:br/>
              <w:t>Do you need your AI Agent to support multiple email participants?</w:t>
            </w:r>
          </w:p>
        </w:tc>
        <w:tc>
          <w:tcPr>
            <w:tcW w:type="dxa" w:w="4320"/>
          </w:tcPr>
          <w:p>
            <w:r>
              <w:rPr>
                <w:rFonts w:ascii="Arial" w:hAnsi="Arial"/>
                <w:sz w:val="18"/>
              </w:rPr>
              <w:t>Out of Scope for Phase 1</w:t>
            </w:r>
          </w:p>
        </w:tc>
      </w:tr>
      <w:tr>
        <w:tc>
          <w:tcPr>
            <w:tcW w:type="dxa" w:w="4320"/>
          </w:tcPr>
          <w:p>
            <w:r>
              <w:rPr>
                <w:rFonts w:ascii="Arial" w:hAnsi="Arial"/>
                <w:b/>
                <w:sz w:val="18"/>
              </w:rPr>
              <w:t>Metadata</w:t>
              <w:br/>
              <w:br/>
              <w:t>Do you currently pass metadata about your customers to Ada?</w:t>
            </w:r>
          </w:p>
        </w:tc>
        <w:tc>
          <w:tcPr>
            <w:tcW w:type="dxa" w:w="4320"/>
          </w:tcPr>
          <w:p>
            <w:r>
              <w:rPr>
                <w:rFonts w:ascii="Arial" w:hAnsi="Arial"/>
                <w:sz w:val="18"/>
              </w:rPr>
              <w:t>Out of Scope for Phase 1</w:t>
            </w:r>
          </w:p>
        </w:tc>
      </w:tr>
      <w:tr>
        <w:tc>
          <w:tcPr>
            <w:tcW w:type="dxa" w:w="8640"/>
            <w:gridSpan w:val="2"/>
            <w:shd w:fill="4472C4"/>
          </w:tcPr>
          <w:p>
            <w:r/>
            <w:r>
              <w:rPr>
                <w:rFonts w:ascii="Arial" w:hAnsi="Arial"/>
                <w:b/>
                <w:color w:val="FFFFFF"/>
                <w:sz w:val="20"/>
              </w:rPr>
              <w:t>Email Handoffs</w:t>
            </w:r>
          </w:p>
        </w:tc>
      </w:tr>
      <w:tr>
        <w:tc>
          <w:tcPr>
            <w:tcW w:type="dxa" w:w="4320"/>
          </w:tcPr>
          <w:p>
            <w:r>
              <w:rPr>
                <w:rFonts w:ascii="Arial" w:hAnsi="Arial"/>
                <w:b/>
                <w:sz w:val="18"/>
              </w:rPr>
              <w:t>Email / Ticketing</w:t>
              <w:br/>
              <w:br/>
              <w:t>Any differences in how AI agent hands off on email?</w:t>
            </w:r>
          </w:p>
        </w:tc>
        <w:tc>
          <w:tcPr>
            <w:tcW w:type="dxa" w:w="4320"/>
          </w:tcPr>
          <w:p>
            <w:r>
              <w:rPr>
                <w:rFonts w:ascii="Arial" w:hAnsi="Arial"/>
                <w:sz w:val="18"/>
              </w:rPr>
              <w:t>Out of Scope for Phase 1</w:t>
            </w:r>
          </w:p>
        </w:tc>
      </w:tr>
      <w:tr>
        <w:tc>
          <w:tcPr>
            <w:tcW w:type="dxa" w:w="4320"/>
          </w:tcPr>
          <w:p>
            <w:r>
              <w:rPr>
                <w:rFonts w:ascii="Arial" w:hAnsi="Arial"/>
                <w:b/>
                <w:sz w:val="18"/>
              </w:rPr>
              <w:t>Routing</w:t>
              <w:br/>
              <w:br/>
              <w:t>Specific use cases forwarded to a separate inbox?</w:t>
            </w:r>
          </w:p>
        </w:tc>
        <w:tc>
          <w:tcPr>
            <w:tcW w:type="dxa" w:w="4320"/>
          </w:tcPr>
          <w:p>
            <w:r>
              <w:rPr>
                <w:rFonts w:ascii="Arial" w:hAnsi="Arial"/>
                <w:sz w:val="18"/>
              </w:rPr>
              <w:t>Out of Scope for Phase 1</w:t>
            </w:r>
          </w:p>
        </w:tc>
      </w:tr>
      <w:tr>
        <w:tc>
          <w:tcPr>
            <w:tcW w:type="dxa" w:w="8640"/>
            <w:gridSpan w:val="2"/>
            <w:shd w:fill="4472C4"/>
          </w:tcPr>
          <w:p>
            <w:r/>
            <w:r>
              <w:rPr>
                <w:rFonts w:ascii="Arial" w:hAnsi="Arial"/>
                <w:b/>
                <w:color w:val="FFFFFF"/>
                <w:sz w:val="20"/>
              </w:rPr>
              <w:t>Additional Requirements</w:t>
            </w:r>
          </w:p>
        </w:tc>
      </w:tr>
      <w:tr>
        <w:tc>
          <w:tcPr>
            <w:tcW w:type="dxa" w:w="4320"/>
          </w:tcPr>
          <w:p>
            <w:r>
              <w:rPr>
                <w:rFonts w:ascii="Arial" w:hAnsi="Arial"/>
                <w:b/>
                <w:sz w:val="18"/>
              </w:rPr>
              <w:t>Authentication</w:t>
              <w:br/>
              <w:br/>
              <w:t>Do you need the AI Agent to authenticate customers via email?</w:t>
            </w:r>
          </w:p>
        </w:tc>
        <w:tc>
          <w:tcPr>
            <w:tcW w:type="dxa" w:w="4320"/>
          </w:tcPr>
          <w:p>
            <w:r>
              <w:rPr>
                <w:rFonts w:ascii="Arial" w:hAnsi="Arial"/>
                <w:sz w:val="18"/>
              </w:rPr>
              <w:t>B2C: Players authenticated via sign-in flow before chat.</w:t>
              <w:br/>
              <w:t>B2B: Club managers authenticated at session start — Ada retrieves tenant_id and club profile.</w:t>
            </w:r>
          </w:p>
        </w:tc>
      </w:tr>
      <w:tr>
        <w:tc>
          <w:tcPr>
            <w:tcW w:type="dxa" w:w="4320"/>
          </w:tcPr>
          <w:p>
            <w:r>
              <w:rPr>
                <w:rFonts w:ascii="Arial" w:hAnsi="Arial"/>
                <w:b/>
                <w:sz w:val="18"/>
              </w:rPr>
              <w:t>Conversation Start</w:t>
              <w:br/>
              <w:br/>
              <w:t>Do you need a workflow at the start of each email conversation?</w:t>
            </w:r>
          </w:p>
        </w:tc>
        <w:tc>
          <w:tcPr>
            <w:tcW w:type="dxa" w:w="4320"/>
          </w:tcPr>
          <w:p>
            <w:r>
              <w:rPr>
                <w:rFonts w:ascii="Arial" w:hAnsi="Arial"/>
                <w:sz w:val="18"/>
              </w:rPr>
              <w:t>Yes — data will need to be passed to Ada at the start of every conversation, likely via API call or meta-variables populated by their SDK.</w:t>
            </w:r>
          </w:p>
        </w:tc>
      </w:tr>
    </w:tbl>
    <w:p>
      <w:r>
        <w:br w:type="page"/>
      </w:r>
    </w:p>
    <w:p>
      <w:pPr>
        <w:pStyle w:val="Heading1"/>
      </w:pPr>
      <w:r>
        <w:rPr>
          <w:color w:val="1F3864"/>
        </w:rPr>
        <w:t>VOICE SCOPING</w:t>
      </w:r>
    </w:p>
    <w:tbl>
      <w:tblPr>
        <w:tblStyle w:val="TableGrid"/>
        <w:tblW w:type="auto" w:w="0"/>
        <w:jc w:val="center"/>
        <w:tblLook w:firstColumn="1" w:firstRow="1" w:lastColumn="0" w:lastRow="0" w:noHBand="0" w:noVBand="1" w:val="04A0"/>
      </w:tblPr>
      <w:tblGrid>
        <w:gridCol w:w="4320"/>
        <w:gridCol w:w="4320"/>
      </w:tblGrid>
      <w:tr>
        <w:tc>
          <w:tcPr>
            <w:tcW w:type="dxa" w:w="3600"/>
            <w:shd w:fill="1F3864"/>
          </w:tcPr>
          <w:p>
            <w:r/>
            <w:r>
              <w:rPr>
                <w:rFonts w:ascii="Arial" w:hAnsi="Arial"/>
                <w:b/>
                <w:color w:val="FFFFFF"/>
                <w:sz w:val="20"/>
              </w:rPr>
              <w:t>Field</w:t>
            </w:r>
          </w:p>
        </w:tc>
        <w:tc>
          <w:tcPr>
            <w:tcW w:type="dxa" w:w="6480"/>
            <w:shd w:fill="1F3864"/>
          </w:tcPr>
          <w:p>
            <w:r/>
            <w:r>
              <w:rPr>
                <w:rFonts w:ascii="Arial" w:hAnsi="Arial"/>
                <w:b/>
                <w:color w:val="FFFFFF"/>
                <w:sz w:val="20"/>
              </w:rPr>
              <w:t>SC Input</w:t>
            </w:r>
          </w:p>
        </w:tc>
      </w:tr>
      <w:tr>
        <w:tc>
          <w:tcPr>
            <w:tcW w:type="dxa" w:w="8640"/>
            <w:gridSpan w:val="2"/>
            <w:shd w:fill="4472C4"/>
          </w:tcPr>
          <w:p>
            <w:r/>
            <w:r>
              <w:rPr>
                <w:rFonts w:ascii="Arial" w:hAnsi="Arial"/>
                <w:b/>
                <w:color w:val="FFFFFF"/>
                <w:sz w:val="20"/>
              </w:rPr>
              <w:t>Voice Architecture</w:t>
            </w:r>
          </w:p>
        </w:tc>
      </w:tr>
      <w:tr>
        <w:tc>
          <w:tcPr>
            <w:tcW w:type="dxa" w:w="4320"/>
          </w:tcPr>
          <w:p>
            <w:r>
              <w:rPr>
                <w:rFonts w:ascii="Arial" w:hAnsi="Arial"/>
                <w:b/>
                <w:sz w:val="18"/>
              </w:rPr>
              <w:t>Telephony Provider</w:t>
            </w:r>
          </w:p>
        </w:tc>
        <w:tc>
          <w:tcPr>
            <w:tcW w:type="dxa" w:w="4320"/>
          </w:tcPr>
          <w:p>
            <w:r>
              <w:rPr>
                <w:rFonts w:ascii="Arial" w:hAnsi="Arial"/>
                <w:sz w:val="18"/>
              </w:rPr>
              <w:t>TBD — not yet scoped</w:t>
            </w:r>
          </w:p>
        </w:tc>
      </w:tr>
      <w:tr>
        <w:tc>
          <w:tcPr>
            <w:tcW w:type="dxa" w:w="4320"/>
          </w:tcPr>
          <w:p>
            <w:r>
              <w:rPr>
                <w:rFonts w:ascii="Arial" w:hAnsi="Arial"/>
                <w:b/>
                <w:sz w:val="18"/>
              </w:rPr>
              <w:t>CCaaS / Agent System</w:t>
              <w:br/>
              <w:br/>
              <w:t>What system do your phone agents accept calls in?</w:t>
            </w:r>
          </w:p>
        </w:tc>
        <w:tc>
          <w:tcPr>
            <w:tcW w:type="dxa" w:w="4320"/>
          </w:tcPr>
          <w:p>
            <w:r>
              <w:rPr>
                <w:rFonts w:ascii="Arial" w:hAnsi="Arial"/>
                <w:sz w:val="18"/>
              </w:rPr>
              <w:t>TBD — Ada integrates with various CCaaS platforms beyond Zendesk</w:t>
            </w:r>
          </w:p>
        </w:tc>
      </w:tr>
      <w:tr>
        <w:tc>
          <w:tcPr>
            <w:tcW w:type="dxa" w:w="4320"/>
          </w:tcPr>
          <w:p>
            <w:r>
              <w:rPr>
                <w:rFonts w:ascii="Arial" w:hAnsi="Arial"/>
                <w:b/>
                <w:sz w:val="18"/>
              </w:rPr>
              <w:t>SIP Integration Type</w:t>
            </w:r>
          </w:p>
        </w:tc>
        <w:tc>
          <w:tcPr>
            <w:tcW w:type="dxa" w:w="4320"/>
          </w:tcPr>
          <w:p>
            <w:r>
              <w:rPr>
                <w:rFonts w:ascii="Arial" w:hAnsi="Arial"/>
                <w:sz w:val="18"/>
              </w:rPr>
              <w:t>TBD</w:t>
            </w:r>
          </w:p>
        </w:tc>
      </w:tr>
      <w:tr>
        <w:tc>
          <w:tcPr>
            <w:tcW w:type="dxa" w:w="4320"/>
          </w:tcPr>
          <w:p>
            <w:r>
              <w:rPr>
                <w:rFonts w:ascii="Arial" w:hAnsi="Arial"/>
                <w:b/>
                <w:sz w:val="18"/>
              </w:rPr>
              <w:t>Current IVR</w:t>
              <w:br/>
              <w:br/>
              <w:t>Can you share an IVR map?</w:t>
            </w:r>
          </w:p>
        </w:tc>
        <w:tc>
          <w:tcPr>
            <w:tcW w:type="dxa" w:w="4320"/>
          </w:tcPr>
          <w:p>
            <w:r>
              <w:rPr>
                <w:rFonts w:ascii="Arial" w:hAnsi="Arial"/>
                <w:sz w:val="18"/>
              </w:rPr>
              <w:t>TBD</w:t>
            </w:r>
          </w:p>
        </w:tc>
      </w:tr>
      <w:tr>
        <w:tc>
          <w:tcPr>
            <w:tcW w:type="dxa" w:w="4320"/>
          </w:tcPr>
          <w:p>
            <w:r>
              <w:rPr>
                <w:rFonts w:ascii="Arial" w:hAnsi="Arial"/>
                <w:b/>
                <w:sz w:val="18"/>
              </w:rPr>
              <w:t>Inbound vs Outbound</w:t>
            </w:r>
          </w:p>
        </w:tc>
        <w:tc>
          <w:tcPr>
            <w:tcW w:type="dxa" w:w="4320"/>
          </w:tcPr>
          <w:p>
            <w:r>
              <w:rPr>
                <w:rFonts w:ascii="Arial" w:hAnsi="Arial"/>
                <w:sz w:val="18"/>
              </w:rPr>
              <w:t>Inbound only (initial)</w:t>
            </w:r>
          </w:p>
        </w:tc>
      </w:tr>
      <w:tr>
        <w:tc>
          <w:tcPr>
            <w:tcW w:type="dxa" w:w="4320"/>
          </w:tcPr>
          <w:p>
            <w:r>
              <w:rPr>
                <w:rFonts w:ascii="Arial" w:hAnsi="Arial"/>
                <w:b/>
                <w:sz w:val="18"/>
              </w:rPr>
              <w:t>Call Volume</w:t>
            </w:r>
          </w:p>
        </w:tc>
        <w:tc>
          <w:tcPr>
            <w:tcW w:type="dxa" w:w="4320"/>
          </w:tcPr>
          <w:p>
            <w:r>
              <w:rPr>
                <w:rFonts w:ascii="Arial" w:hAnsi="Arial"/>
                <w:sz w:val="18"/>
              </w:rPr>
              <w:t>TBD — initial rollout limited to top 200 premium clubs in Spain</w:t>
            </w:r>
          </w:p>
        </w:tc>
      </w:tr>
      <w:tr>
        <w:tc>
          <w:tcPr>
            <w:tcW w:type="dxa" w:w="4320"/>
          </w:tcPr>
          <w:p>
            <w:r>
              <w:rPr>
                <w:rFonts w:ascii="Arial" w:hAnsi="Arial"/>
                <w:b/>
                <w:sz w:val="18"/>
              </w:rPr>
              <w:t>Current Agent Count</w:t>
            </w:r>
          </w:p>
        </w:tc>
        <w:tc>
          <w:tcPr>
            <w:tcW w:type="dxa" w:w="4320"/>
          </w:tcPr>
          <w:p>
            <w:r>
              <w:rPr>
                <w:rFonts w:ascii="Arial" w:hAnsi="Arial"/>
                <w:sz w:val="18"/>
              </w:rPr>
              <w:t>TBD</w:t>
            </w:r>
          </w:p>
        </w:tc>
      </w:tr>
      <w:tr>
        <w:tc>
          <w:tcPr>
            <w:tcW w:type="dxa" w:w="4320"/>
          </w:tcPr>
          <w:p>
            <w:r>
              <w:rPr>
                <w:rFonts w:ascii="Arial" w:hAnsi="Arial"/>
                <w:b/>
                <w:sz w:val="18"/>
              </w:rPr>
              <w:t>Missed Call Rate</w:t>
            </w:r>
          </w:p>
        </w:tc>
        <w:tc>
          <w:tcPr>
            <w:tcW w:type="dxa" w:w="4320"/>
          </w:tcPr>
          <w:p>
            <w:r>
              <w:rPr>
                <w:rFonts w:ascii="Arial" w:hAnsi="Arial"/>
                <w:sz w:val="18"/>
              </w:rPr>
              <w:t>TBD</w:t>
            </w:r>
          </w:p>
        </w:tc>
      </w:tr>
      <w:tr>
        <w:tc>
          <w:tcPr>
            <w:tcW w:type="dxa" w:w="8640"/>
            <w:gridSpan w:val="2"/>
            <w:shd w:fill="4472C4"/>
          </w:tcPr>
          <w:p>
            <w:r/>
            <w:r>
              <w:rPr>
                <w:rFonts w:ascii="Arial" w:hAnsi="Arial"/>
                <w:b/>
                <w:color w:val="FFFFFF"/>
                <w:sz w:val="20"/>
              </w:rPr>
              <w:t>Voice Use Cases</w:t>
            </w:r>
          </w:p>
        </w:tc>
      </w:tr>
      <w:tr>
        <w:tc>
          <w:tcPr>
            <w:tcW w:type="dxa" w:w="4320"/>
          </w:tcPr>
          <w:p>
            <w:r>
              <w:rPr>
                <w:rFonts w:ascii="Arial" w:hAnsi="Arial"/>
                <w:b/>
                <w:sz w:val="18"/>
              </w:rPr>
              <w:t>Primary Voice Use Case</w:t>
            </w:r>
          </w:p>
        </w:tc>
        <w:tc>
          <w:tcPr>
            <w:tcW w:type="dxa" w:w="4320"/>
          </w:tcPr>
          <w:p>
            <w:r>
              <w:rPr>
                <w:rFonts w:ascii="Arial" w:hAnsi="Arial"/>
                <w:sz w:val="18"/>
              </w:rPr>
              <w:t>Premium B2B club support — top 200 clubs in Spain initially. Same AI agent across all channels (chat, email, voice).</w:t>
            </w:r>
          </w:p>
        </w:tc>
      </w:tr>
      <w:tr>
        <w:tc>
          <w:tcPr>
            <w:tcW w:type="dxa" w:w="4320"/>
          </w:tcPr>
          <w:p>
            <w:r>
              <w:rPr>
                <w:rFonts w:ascii="Arial" w:hAnsi="Arial"/>
                <w:b/>
                <w:sz w:val="18"/>
              </w:rPr>
              <w:t>Call Categorization / Triage</w:t>
            </w:r>
          </w:p>
        </w:tc>
        <w:tc>
          <w:tcPr>
            <w:tcW w:type="dxa" w:w="4320"/>
          </w:tcPr>
          <w:p>
            <w:r>
              <w:rPr>
                <w:rFonts w:ascii="Arial" w:hAnsi="Arial"/>
                <w:sz w:val="18"/>
              </w:rPr>
              <w:t>TBD</w:t>
            </w:r>
          </w:p>
        </w:tc>
      </w:tr>
      <w:tr>
        <w:tc>
          <w:tcPr>
            <w:tcW w:type="dxa" w:w="4320"/>
          </w:tcPr>
          <w:p>
            <w:r>
              <w:rPr>
                <w:rFonts w:ascii="Arial" w:hAnsi="Arial"/>
                <w:b/>
                <w:sz w:val="18"/>
              </w:rPr>
              <w:t>Secondary Voice Use Cases</w:t>
            </w:r>
          </w:p>
        </w:tc>
        <w:tc>
          <w:tcPr>
            <w:tcW w:type="dxa" w:w="4320"/>
          </w:tcPr>
          <w:p>
            <w:r>
              <w:rPr>
                <w:rFonts w:ascii="Arial" w:hAnsi="Arial"/>
                <w:sz w:val="18"/>
              </w:rPr>
              <w:t>TBD</w:t>
            </w:r>
          </w:p>
        </w:tc>
      </w:tr>
      <w:tr>
        <w:tc>
          <w:tcPr>
            <w:tcW w:type="dxa" w:w="8640"/>
            <w:gridSpan w:val="2"/>
            <w:shd w:fill="4472C4"/>
          </w:tcPr>
          <w:p>
            <w:r/>
            <w:r>
              <w:rPr>
                <w:rFonts w:ascii="Arial" w:hAnsi="Arial"/>
                <w:b/>
                <w:color w:val="FFFFFF"/>
                <w:sz w:val="20"/>
              </w:rPr>
              <w:t>Voice Technical Requirements</w:t>
            </w:r>
          </w:p>
        </w:tc>
      </w:tr>
      <w:tr>
        <w:tc>
          <w:tcPr>
            <w:tcW w:type="dxa" w:w="4320"/>
          </w:tcPr>
          <w:p>
            <w:r>
              <w:rPr>
                <w:rFonts w:ascii="Arial" w:hAnsi="Arial"/>
                <w:b/>
                <w:sz w:val="18"/>
              </w:rPr>
              <w:t>APIs Required for Voice</w:t>
            </w:r>
          </w:p>
        </w:tc>
        <w:tc>
          <w:tcPr>
            <w:tcW w:type="dxa" w:w="4320"/>
          </w:tcPr>
          <w:p>
            <w:r>
              <w:rPr>
                <w:rFonts w:ascii="Arial" w:hAnsi="Arial"/>
                <w:sz w:val="18"/>
              </w:rPr>
              <w:t>Same API set as B2B chat — club authentication, Stripe payout retrieval, payment details</w:t>
            </w:r>
          </w:p>
        </w:tc>
      </w:tr>
      <w:tr>
        <w:tc>
          <w:tcPr>
            <w:tcW w:type="dxa" w:w="4320"/>
          </w:tcPr>
          <w:p>
            <w:r>
              <w:rPr>
                <w:rFonts w:ascii="Arial" w:hAnsi="Arial"/>
                <w:b/>
                <w:sz w:val="18"/>
              </w:rPr>
              <w:t>DTMF / Dial Pad Input</w:t>
            </w:r>
          </w:p>
        </w:tc>
        <w:tc>
          <w:tcPr>
            <w:tcW w:type="dxa" w:w="4320"/>
          </w:tcPr>
          <w:p>
            <w:r>
              <w:rPr>
                <w:rFonts w:ascii="Arial" w:hAnsi="Arial"/>
                <w:sz w:val="18"/>
              </w:rPr>
              <w:t>TBD</w:t>
            </w:r>
          </w:p>
        </w:tc>
      </w:tr>
      <w:tr>
        <w:tc>
          <w:tcPr>
            <w:tcW w:type="dxa" w:w="4320"/>
          </w:tcPr>
          <w:p>
            <w:r>
              <w:rPr>
                <w:rFonts w:ascii="Arial" w:hAnsi="Arial"/>
                <w:b/>
                <w:sz w:val="18"/>
              </w:rPr>
              <w:t>SMS Capabilities</w:t>
            </w:r>
          </w:p>
        </w:tc>
        <w:tc>
          <w:tcPr>
            <w:tcW w:type="dxa" w:w="4320"/>
          </w:tcPr>
          <w:p>
            <w:r>
              <w:rPr>
                <w:rFonts w:ascii="Arial" w:hAnsi="Arial"/>
                <w:sz w:val="18"/>
              </w:rPr>
              <w:t>TBD</w:t>
            </w:r>
          </w:p>
        </w:tc>
      </w:tr>
      <w:tr>
        <w:tc>
          <w:tcPr>
            <w:tcW w:type="dxa" w:w="4320"/>
          </w:tcPr>
          <w:p>
            <w:r>
              <w:rPr>
                <w:rFonts w:ascii="Arial" w:hAnsi="Arial"/>
                <w:b/>
                <w:sz w:val="18"/>
              </w:rPr>
              <w:t>Cross-Channel Interoperability</w:t>
            </w:r>
          </w:p>
        </w:tc>
        <w:tc>
          <w:tcPr>
            <w:tcW w:type="dxa" w:w="4320"/>
          </w:tcPr>
          <w:p>
            <w:r>
              <w:rPr>
                <w:rFonts w:ascii="Arial" w:hAnsi="Arial"/>
                <w:sz w:val="18"/>
              </w:rPr>
              <w:t>Goal is same AI agent across chat, email, and voice channels for consistency</w:t>
            </w:r>
          </w:p>
        </w:tc>
      </w:tr>
      <w:tr>
        <w:tc>
          <w:tcPr>
            <w:tcW w:type="dxa" w:w="8640"/>
            <w:gridSpan w:val="2"/>
            <w:shd w:fill="4472C4"/>
          </w:tcPr>
          <w:p>
            <w:r/>
            <w:r>
              <w:rPr>
                <w:rFonts w:ascii="Arial" w:hAnsi="Arial"/>
                <w:b/>
                <w:color w:val="FFFFFF"/>
                <w:sz w:val="20"/>
              </w:rPr>
              <w:t>Voice Handoffs</w:t>
            </w:r>
          </w:p>
        </w:tc>
      </w:tr>
      <w:tr>
        <w:tc>
          <w:tcPr>
            <w:tcW w:type="dxa" w:w="4320"/>
          </w:tcPr>
          <w:p>
            <w:r>
              <w:rPr>
                <w:rFonts w:ascii="Arial" w:hAnsi="Arial"/>
                <w:b/>
                <w:sz w:val="18"/>
              </w:rPr>
              <w:t>Handoff to Human Agents</w:t>
            </w:r>
          </w:p>
        </w:tc>
        <w:tc>
          <w:tcPr>
            <w:tcW w:type="dxa" w:w="4320"/>
          </w:tcPr>
          <w:p>
            <w:r>
              <w:rPr>
                <w:rFonts w:ascii="Arial" w:hAnsi="Arial"/>
                <w:sz w:val="18"/>
              </w:rPr>
              <w:t>Current model: premium clubs get human agent option; others get email follow-up. Ada to mirror this routing.</w:t>
            </w:r>
          </w:p>
        </w:tc>
      </w:tr>
      <w:tr>
        <w:tc>
          <w:tcPr>
            <w:tcW w:type="dxa" w:w="4320"/>
          </w:tcPr>
          <w:p>
            <w:r>
              <w:rPr>
                <w:rFonts w:ascii="Arial" w:hAnsi="Arial"/>
                <w:b/>
                <w:sz w:val="18"/>
              </w:rPr>
              <w:t>Routing Requirements</w:t>
            </w:r>
          </w:p>
        </w:tc>
        <w:tc>
          <w:tcPr>
            <w:tcW w:type="dxa" w:w="4320"/>
          </w:tcPr>
          <w:p>
            <w:r>
              <w:rPr>
                <w:rFonts w:ascii="Arial" w:hAnsi="Arial"/>
                <w:sz w:val="18"/>
              </w:rPr>
              <w:t>TBD</w:t>
            </w:r>
          </w:p>
        </w:tc>
      </w:tr>
      <w:tr>
        <w:tc>
          <w:tcPr>
            <w:tcW w:type="dxa" w:w="8640"/>
            <w:gridSpan w:val="2"/>
            <w:shd w:fill="4472C4"/>
          </w:tcPr>
          <w:p>
            <w:r/>
            <w:r>
              <w:rPr>
                <w:rFonts w:ascii="Arial" w:hAnsi="Arial"/>
                <w:b/>
                <w:color w:val="FFFFFF"/>
                <w:sz w:val="20"/>
              </w:rPr>
              <w:t>Voice Quality &amp; Success Criteria</w:t>
            </w:r>
          </w:p>
        </w:tc>
      </w:tr>
      <w:tr>
        <w:tc>
          <w:tcPr>
            <w:tcW w:type="dxa" w:w="4320"/>
          </w:tcPr>
          <w:p>
            <w:r>
              <w:rPr>
                <w:rFonts w:ascii="Arial" w:hAnsi="Arial"/>
                <w:b/>
                <w:sz w:val="18"/>
              </w:rPr>
              <w:t>Voice Quality Feedback from Demo</w:t>
            </w:r>
          </w:p>
        </w:tc>
        <w:tc>
          <w:tcPr>
            <w:tcW w:type="dxa" w:w="4320"/>
          </w:tcPr>
          <w:p>
            <w:r>
              <w:rPr>
                <w:rFonts w:ascii="Arial" w:hAnsi="Arial"/>
                <w:sz w:val="18"/>
              </w:rPr>
              <w:t>Voice technology discussed — 'sounds human' quality acknowledged. Ethical requirement: always disclose AI agent identity to customers.</w:t>
            </w:r>
          </w:p>
        </w:tc>
      </w:tr>
      <w:tr>
        <w:tc>
          <w:tcPr>
            <w:tcW w:type="dxa" w:w="4320"/>
          </w:tcPr>
          <w:p>
            <w:r>
              <w:rPr>
                <w:rFonts w:ascii="Arial" w:hAnsi="Arial"/>
                <w:b/>
                <w:sz w:val="18"/>
              </w:rPr>
              <w:t>Success Criteria for Voice</w:t>
            </w:r>
          </w:p>
        </w:tc>
        <w:tc>
          <w:tcPr>
            <w:tcW w:type="dxa" w:w="4320"/>
          </w:tcPr>
          <w:p>
            <w:r>
              <w:rPr>
                <w:rFonts w:ascii="Arial" w:hAnsi="Arial"/>
                <w:sz w:val="18"/>
              </w:rPr>
              <w:t>TBD — not yet defined</w:t>
            </w:r>
          </w:p>
        </w:tc>
      </w:tr>
      <w:tr>
        <w:tc>
          <w:tcPr>
            <w:tcW w:type="dxa" w:w="4320"/>
          </w:tcPr>
          <w:p>
            <w:r>
              <w:rPr>
                <w:rFonts w:ascii="Arial" w:hAnsi="Arial"/>
                <w:b/>
                <w:sz w:val="18"/>
              </w:rPr>
              <w:t>Voice-Specific Risks</w:t>
            </w:r>
          </w:p>
        </w:tc>
        <w:tc>
          <w:tcPr>
            <w:tcW w:type="dxa" w:w="4320"/>
          </w:tcPr>
          <w:p>
            <w:r>
              <w:rPr>
                <w:rFonts w:ascii="Arial" w:hAnsi="Arial"/>
                <w:sz w:val="18"/>
              </w:rPr>
              <w:t>• Double-payment risk: Ultimate contract runs to October 2026 — implementation April–September creates overlap. Commercial solution needed (split contract, delayed conversation billing start).</w:t>
              <w:br/>
              <w:t>• Multi-conversation capability not currently supported by Ada — Playtomic wants ticket-based conversation retrieval (vs continuous WhatsApp-style chat). Recommendation: use Zendesk widget if multi-conversations critical.</w:t>
              <w:br/>
              <w:t>• MCP client functionality (Ada consuming external MCP servers) not yet available — on roadmap for future months. Customer understands but PS should set expectations clearly.</w:t>
              <w:br/>
              <w:t>• 9-language requirement with dialect variations is a significant scope item — translation automation is a key value driver but must be scoped carefully.</w:t>
              <w:br/>
              <w:t>• B2B segment has no defined AR% success criteria yet — needs to be established during PS scoping.</w:t>
              <w:br/>
              <w:t>• Voice channel is a future phase — voice playbooks not yet ready for full production use; PS to advise timeline carefully.</w:t>
            </w:r>
          </w:p>
        </w:tc>
      </w:tr>
      <w:tr>
        <w:tc>
          <w:tcPr>
            <w:tcW w:type="dxa" w:w="4320"/>
          </w:tcPr>
          <w:p>
            <w:r>
              <w:rPr>
                <w:rFonts w:ascii="Arial" w:hAnsi="Arial"/>
                <w:b/>
                <w:sz w:val="18"/>
              </w:rPr>
              <w:t>Timeline</w:t>
            </w:r>
          </w:p>
        </w:tc>
        <w:tc>
          <w:tcPr>
            <w:tcW w:type="dxa" w:w="4320"/>
          </w:tcPr>
          <w:p>
            <w:r>
              <w:rPr>
                <w:rFonts w:ascii="Arial" w:hAnsi="Arial"/>
                <w:sz w:val="18"/>
              </w:rPr>
              <w:t>Future phase — after messaging (chat) go-live in October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