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287CB" w14:textId="207D93BD" w:rsidR="004F3031" w:rsidRDefault="00E47110" w:rsidP="009C580E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Dimensioning </w:t>
      </w:r>
      <w:r w:rsidR="00317574">
        <w:rPr>
          <w:b/>
          <w:bCs/>
          <w:i/>
          <w:iCs/>
          <w:lang w:val="en-US"/>
        </w:rPr>
        <w:t>C</w:t>
      </w:r>
      <w:r>
        <w:rPr>
          <w:b/>
          <w:bCs/>
          <w:i/>
          <w:iCs/>
          <w:lang w:val="en-US"/>
        </w:rPr>
        <w:t xml:space="preserve">apping </w:t>
      </w:r>
      <w:r w:rsidR="00317574">
        <w:rPr>
          <w:b/>
          <w:bCs/>
          <w:i/>
          <w:iCs/>
          <w:lang w:val="en-US"/>
        </w:rPr>
        <w:t>B</w:t>
      </w:r>
      <w:r>
        <w:rPr>
          <w:b/>
          <w:bCs/>
          <w:i/>
          <w:iCs/>
          <w:lang w:val="en-US"/>
        </w:rPr>
        <w:t>eam</w:t>
      </w:r>
    </w:p>
    <w:p w14:paraId="2E34539F" w14:textId="2878D1E8" w:rsidR="008F0F29" w:rsidRDefault="008F0F29" w:rsidP="009C580E">
      <w:pPr>
        <w:rPr>
          <w:b/>
          <w:bCs/>
          <w:i/>
          <w:iCs/>
          <w:lang w:val="en-US"/>
        </w:rPr>
      </w:pPr>
    </w:p>
    <w:p w14:paraId="3E196E46" w14:textId="077431DD" w:rsidR="008F0F29" w:rsidRPr="008F0F29" w:rsidRDefault="008F0F29" w:rsidP="008F0F2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</w:t>
      </w:r>
      <w:r>
        <w:rPr>
          <w:i/>
          <w:iCs/>
          <w:lang w:val="en-US"/>
        </w:rPr>
        <w:t xml:space="preserve">Outputs </w:t>
      </w:r>
      <w:r>
        <w:rPr>
          <w:lang w:val="en-US"/>
        </w:rPr>
        <w:t xml:space="preserve">window, click on </w:t>
      </w:r>
      <w:r>
        <w:rPr>
          <w:i/>
          <w:iCs/>
          <w:lang w:val="en-US"/>
        </w:rPr>
        <w:t xml:space="preserve">Dim cross-section (1 in fig 1), </w:t>
      </w:r>
      <w:r>
        <w:rPr>
          <w:lang w:val="en-US"/>
        </w:rPr>
        <w:t xml:space="preserve">which opens </w:t>
      </w:r>
      <w:r>
        <w:rPr>
          <w:i/>
          <w:iCs/>
          <w:lang w:val="en-US"/>
        </w:rPr>
        <w:t xml:space="preserve">Cross-section dimensioning </w:t>
      </w:r>
      <w:r>
        <w:rPr>
          <w:lang w:val="en-US"/>
        </w:rPr>
        <w:t xml:space="preserve">window </w:t>
      </w:r>
      <w:r>
        <w:rPr>
          <w:i/>
          <w:iCs/>
          <w:lang w:val="en-US"/>
        </w:rPr>
        <w:t>(fig 2).</w:t>
      </w:r>
    </w:p>
    <w:p w14:paraId="6F2E6CBB" w14:textId="1069B085" w:rsidR="00E47110" w:rsidRDefault="00E47110" w:rsidP="009C580E">
      <w:pPr>
        <w:rPr>
          <w:b/>
          <w:bCs/>
          <w:i/>
          <w:iCs/>
          <w:lang w:val="en-US"/>
        </w:rPr>
      </w:pPr>
    </w:p>
    <w:p w14:paraId="41A59F6E" w14:textId="2F7462C6" w:rsidR="00E47110" w:rsidRDefault="00E47110" w:rsidP="00E4711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6E21F5" wp14:editId="40C96A08">
            <wp:extent cx="3402280" cy="2887738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564" cy="290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E071F" w14:textId="7B232C7C" w:rsidR="008F0F29" w:rsidRDefault="008F0F29" w:rsidP="00E47110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(fig 1)</w:t>
      </w:r>
    </w:p>
    <w:p w14:paraId="0F6E9320" w14:textId="77777777" w:rsidR="00E45D7E" w:rsidRDefault="00E45D7E" w:rsidP="00E47110">
      <w:pPr>
        <w:jc w:val="center"/>
        <w:rPr>
          <w:i/>
          <w:iCs/>
          <w:lang w:val="en-US"/>
        </w:rPr>
      </w:pPr>
    </w:p>
    <w:p w14:paraId="48A56EBD" w14:textId="77777777" w:rsidR="008F0F29" w:rsidRDefault="008F0F29" w:rsidP="008F0F29">
      <w:pPr>
        <w:rPr>
          <w:i/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 xml:space="preserve">Materials and PSF </w:t>
      </w:r>
      <w:r>
        <w:rPr>
          <w:lang w:val="en-US"/>
        </w:rPr>
        <w:t xml:space="preserve">menu consist of settings to select the </w:t>
      </w:r>
      <w:r>
        <w:rPr>
          <w:i/>
          <w:lang w:val="en-US"/>
        </w:rPr>
        <w:t xml:space="preserve">Code, Concrete grade, Steel grade </w:t>
      </w:r>
      <w:r>
        <w:rPr>
          <w:lang w:val="en-US"/>
        </w:rPr>
        <w:t xml:space="preserve">and </w:t>
      </w:r>
      <w:r>
        <w:rPr>
          <w:i/>
          <w:lang w:val="en-US"/>
        </w:rPr>
        <w:t>Design situation.</w:t>
      </w:r>
    </w:p>
    <w:p w14:paraId="0D962B7E" w14:textId="77777777" w:rsidR="008F0F29" w:rsidRPr="008B2D60" w:rsidRDefault="008F0F29" w:rsidP="008F0F29">
      <w:pPr>
        <w:rPr>
          <w:i/>
          <w:lang w:val="en-US"/>
        </w:rPr>
      </w:pPr>
    </w:p>
    <w:p w14:paraId="550F4AA7" w14:textId="4F146E22" w:rsidR="008F0F29" w:rsidRDefault="008F0F29" w:rsidP="008F0F29">
      <w:pPr>
        <w:pStyle w:val="Listenabsatz"/>
        <w:numPr>
          <w:ilvl w:val="0"/>
          <w:numId w:val="2"/>
        </w:numPr>
      </w:pPr>
      <w:r>
        <w:t xml:space="preserve">In </w:t>
      </w:r>
      <w:r>
        <w:rPr>
          <w:i/>
        </w:rPr>
        <w:t xml:space="preserve">Code </w:t>
      </w:r>
      <w:r w:rsidR="00E45D7E">
        <w:t>menu</w:t>
      </w:r>
      <w:r>
        <w:t>, s</w:t>
      </w:r>
      <w:r w:rsidRPr="00714C66">
        <w:t xml:space="preserve">elect </w:t>
      </w:r>
      <w:r w:rsidRPr="00714C66">
        <w:rPr>
          <w:i/>
        </w:rPr>
        <w:t xml:space="preserve">EN 1992-1-1:2004 </w:t>
      </w:r>
      <w:r w:rsidR="00083D70">
        <w:rPr>
          <w:i/>
        </w:rPr>
        <w:t xml:space="preserve">+ AX:2010 + </w:t>
      </w:r>
      <w:r w:rsidR="00E45D7E">
        <w:rPr>
          <w:i/>
        </w:rPr>
        <w:t xml:space="preserve">NA:2011 </w:t>
      </w:r>
      <w:r>
        <w:rPr>
          <w:i/>
        </w:rPr>
        <w:t>(1 in fig 2)</w:t>
      </w:r>
      <w:r>
        <w:t>.</w:t>
      </w:r>
    </w:p>
    <w:p w14:paraId="46AFC641" w14:textId="77777777" w:rsidR="008F0F29" w:rsidRDefault="008F0F29" w:rsidP="008F0F29">
      <w:pPr>
        <w:pStyle w:val="Listenabsatz"/>
        <w:numPr>
          <w:ilvl w:val="0"/>
          <w:numId w:val="2"/>
        </w:numPr>
        <w:rPr>
          <w:lang w:val="en-US"/>
        </w:rPr>
      </w:pPr>
      <w:r w:rsidRPr="00B10262">
        <w:rPr>
          <w:lang w:val="en-US"/>
        </w:rPr>
        <w:t xml:space="preserve">Select the </w:t>
      </w:r>
      <w:r w:rsidRPr="00B10262">
        <w:rPr>
          <w:i/>
          <w:lang w:val="en-US"/>
        </w:rPr>
        <w:t xml:space="preserve">C 30/37 </w:t>
      </w:r>
      <w:r w:rsidRPr="00B10262">
        <w:rPr>
          <w:lang w:val="en-US"/>
        </w:rPr>
        <w:t xml:space="preserve">for </w:t>
      </w:r>
      <w:r w:rsidRPr="00B10262">
        <w:rPr>
          <w:i/>
          <w:lang w:val="en-US"/>
        </w:rPr>
        <w:t xml:space="preserve">Concrete grade </w:t>
      </w:r>
      <w:r>
        <w:rPr>
          <w:lang w:val="en-US"/>
        </w:rPr>
        <w:t xml:space="preserve">under </w:t>
      </w:r>
      <w:r>
        <w:rPr>
          <w:i/>
          <w:lang w:val="en-US"/>
        </w:rPr>
        <w:t xml:space="preserve">Concrete </w:t>
      </w:r>
      <w:r>
        <w:rPr>
          <w:lang w:val="en-US"/>
        </w:rPr>
        <w:t xml:space="preserve">menu </w:t>
      </w:r>
      <w:r>
        <w:rPr>
          <w:i/>
          <w:lang w:val="en-US"/>
        </w:rPr>
        <w:t>(2 in fig 2).</w:t>
      </w:r>
    </w:p>
    <w:p w14:paraId="6055806E" w14:textId="77777777" w:rsidR="008F0F29" w:rsidRPr="000C58AA" w:rsidRDefault="008F0F29" w:rsidP="008F0F2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r>
        <w:rPr>
          <w:i/>
          <w:lang w:val="en-US"/>
        </w:rPr>
        <w:t xml:space="preserve">B500A </w:t>
      </w:r>
      <w:r>
        <w:rPr>
          <w:lang w:val="en-US"/>
        </w:rPr>
        <w:t xml:space="preserve">for </w:t>
      </w:r>
      <w:r>
        <w:rPr>
          <w:i/>
          <w:lang w:val="en-US"/>
        </w:rPr>
        <w:t xml:space="preserve">Steel grade, no crack </w:t>
      </w:r>
      <w:r>
        <w:rPr>
          <w:lang w:val="en-US"/>
        </w:rPr>
        <w:t xml:space="preserve">for </w:t>
      </w:r>
      <w:r>
        <w:rPr>
          <w:i/>
          <w:lang w:val="en-US"/>
        </w:rPr>
        <w:t xml:space="preserve">Crack width </w:t>
      </w:r>
      <w:r>
        <w:rPr>
          <w:lang w:val="en-US"/>
        </w:rPr>
        <w:t xml:space="preserve">in </w:t>
      </w:r>
      <w:r>
        <w:rPr>
          <w:i/>
          <w:lang w:val="en-US"/>
        </w:rPr>
        <w:t>Reinforcement menu (3 in fig 2).</w:t>
      </w:r>
    </w:p>
    <w:p w14:paraId="4B2CED7A" w14:textId="77777777" w:rsidR="008F0F29" w:rsidRPr="0003671F" w:rsidRDefault="008F0F29" w:rsidP="008F0F2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r>
        <w:rPr>
          <w:i/>
          <w:lang w:val="en-US"/>
        </w:rPr>
        <w:t xml:space="preserve">BS-P: Persistent </w:t>
      </w:r>
      <w:r>
        <w:rPr>
          <w:lang w:val="en-US"/>
        </w:rPr>
        <w:t xml:space="preserve">for </w:t>
      </w:r>
      <w:r>
        <w:rPr>
          <w:i/>
          <w:lang w:val="en-US"/>
        </w:rPr>
        <w:t xml:space="preserve">Design situation </w:t>
      </w:r>
      <w:r>
        <w:rPr>
          <w:lang w:val="en-US"/>
        </w:rPr>
        <w:t xml:space="preserve">in </w:t>
      </w:r>
      <w:r>
        <w:rPr>
          <w:i/>
          <w:lang w:val="en-US"/>
        </w:rPr>
        <w:t xml:space="preserve">PSF </w:t>
      </w:r>
      <w:r>
        <w:rPr>
          <w:lang w:val="en-US"/>
        </w:rPr>
        <w:t xml:space="preserve">menu </w:t>
      </w:r>
      <w:r>
        <w:rPr>
          <w:i/>
          <w:lang w:val="en-US"/>
        </w:rPr>
        <w:t>(4 in fig 2).</w:t>
      </w:r>
    </w:p>
    <w:p w14:paraId="159F4248" w14:textId="77777777" w:rsidR="008F0F29" w:rsidRPr="00ED106A" w:rsidRDefault="008F0F29" w:rsidP="008F0F2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materials concrete </w:t>
      </w:r>
      <w:r>
        <w:rPr>
          <w:i/>
          <w:lang w:val="en-US"/>
        </w:rPr>
        <w:t xml:space="preserve">C 30/37 </w:t>
      </w:r>
      <w:r>
        <w:rPr>
          <w:lang w:val="en-US"/>
        </w:rPr>
        <w:t xml:space="preserve">and steel </w:t>
      </w:r>
      <w:r>
        <w:rPr>
          <w:i/>
          <w:lang w:val="en-US"/>
        </w:rPr>
        <w:t xml:space="preserve">B500A </w:t>
      </w:r>
      <w:r>
        <w:rPr>
          <w:lang w:val="en-US"/>
        </w:rPr>
        <w:t xml:space="preserve">are visible from the right side of </w:t>
      </w:r>
      <w:r>
        <w:rPr>
          <w:i/>
          <w:iCs/>
          <w:lang w:val="en-US"/>
        </w:rPr>
        <w:t xml:space="preserve">Wall </w:t>
      </w:r>
      <w:r>
        <w:rPr>
          <w:i/>
          <w:lang w:val="en-US"/>
        </w:rPr>
        <w:t xml:space="preserve">dimensioning </w:t>
      </w:r>
      <w:r>
        <w:rPr>
          <w:lang w:val="en-US"/>
        </w:rPr>
        <w:t>window</w:t>
      </w:r>
      <w:r>
        <w:rPr>
          <w:i/>
          <w:lang w:val="en-US"/>
        </w:rPr>
        <w:t xml:space="preserve"> (5 in fig 2).</w:t>
      </w:r>
    </w:p>
    <w:p w14:paraId="2F1A57A9" w14:textId="34967694" w:rsidR="008F0F29" w:rsidRDefault="00E45D7E" w:rsidP="008F0F2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7F5F9C" wp14:editId="17BFCFE0">
            <wp:extent cx="5760720" cy="3678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FDA12" w14:textId="200EF2B1" w:rsidR="00E45D7E" w:rsidRDefault="00E45D7E" w:rsidP="00E45D7E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(fig 2)</w:t>
      </w:r>
    </w:p>
    <w:p w14:paraId="78812F63" w14:textId="0F03E6EC" w:rsidR="00E45D7E" w:rsidRDefault="00E45D7E" w:rsidP="00E45D7E">
      <w:pPr>
        <w:rPr>
          <w:i/>
          <w:iCs/>
          <w:lang w:val="en-US"/>
        </w:rPr>
      </w:pPr>
    </w:p>
    <w:p w14:paraId="23BEAC40" w14:textId="78C741C5" w:rsidR="00E45D7E" w:rsidRDefault="00E45D7E" w:rsidP="00E45D7E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Rectangular Cross-section</w:t>
      </w:r>
    </w:p>
    <w:p w14:paraId="0F331895" w14:textId="0C2436EB" w:rsidR="00E45D7E" w:rsidRDefault="00E45D7E" w:rsidP="00E45D7E">
      <w:pPr>
        <w:rPr>
          <w:b/>
          <w:bCs/>
          <w:lang w:val="en-US"/>
        </w:rPr>
      </w:pPr>
    </w:p>
    <w:p w14:paraId="645B84F3" w14:textId="0338CCE5" w:rsidR="002940A7" w:rsidRPr="009035FC" w:rsidRDefault="002940A7" w:rsidP="00E45D7E">
      <w:pPr>
        <w:rPr>
          <w:i/>
          <w:iCs/>
          <w:lang w:val="en-US"/>
        </w:rPr>
      </w:pPr>
      <w:r>
        <w:rPr>
          <w:lang w:val="en-US"/>
        </w:rPr>
        <w:t xml:space="preserve">Select </w:t>
      </w:r>
      <w:r>
        <w:rPr>
          <w:i/>
          <w:iCs/>
          <w:lang w:val="en-US"/>
        </w:rPr>
        <w:t xml:space="preserve">Rectangular </w:t>
      </w:r>
      <w:r>
        <w:rPr>
          <w:lang w:val="en-US"/>
        </w:rPr>
        <w:t>from the top bar</w:t>
      </w:r>
      <w:r w:rsidR="009035FC">
        <w:rPr>
          <w:lang w:val="en-US"/>
        </w:rPr>
        <w:t xml:space="preserve"> </w:t>
      </w:r>
      <w:r w:rsidR="009035FC">
        <w:rPr>
          <w:i/>
          <w:iCs/>
          <w:lang w:val="en-US"/>
        </w:rPr>
        <w:t>(1 in fig3).</w:t>
      </w:r>
    </w:p>
    <w:p w14:paraId="6070BBD6" w14:textId="48625AA9" w:rsidR="00EB7142" w:rsidRDefault="00EB7142" w:rsidP="00E45D7E">
      <w:pPr>
        <w:rPr>
          <w:lang w:val="en-US"/>
        </w:rPr>
      </w:pPr>
      <w:r>
        <w:rPr>
          <w:lang w:val="en-US"/>
        </w:rPr>
        <w:t xml:space="preserve">The </w:t>
      </w:r>
      <w:r w:rsidRPr="00EB7142">
        <w:rPr>
          <w:i/>
          <w:iCs/>
          <w:lang w:val="en-US"/>
        </w:rPr>
        <w:t>Cross-section</w:t>
      </w:r>
      <w:r>
        <w:rPr>
          <w:lang w:val="en-US"/>
        </w:rPr>
        <w:t xml:space="preserve"> menu allows defining the geometry for capping beam</w:t>
      </w:r>
      <w:r w:rsidR="00B15E51">
        <w:rPr>
          <w:lang w:val="en-US"/>
        </w:rPr>
        <w:t xml:space="preserve"> </w:t>
      </w:r>
      <w:r w:rsidR="00B15E51">
        <w:rPr>
          <w:i/>
          <w:iCs/>
          <w:lang w:val="en-US"/>
        </w:rPr>
        <w:t>(2 in fig3)</w:t>
      </w:r>
      <w:r>
        <w:rPr>
          <w:lang w:val="en-US"/>
        </w:rPr>
        <w:t>.</w:t>
      </w:r>
    </w:p>
    <w:p w14:paraId="6270E943" w14:textId="77777777" w:rsidR="00EB7142" w:rsidRPr="00EB7142" w:rsidRDefault="00EB7142" w:rsidP="00E45D7E">
      <w:pPr>
        <w:rPr>
          <w:lang w:val="en-US"/>
        </w:rPr>
      </w:pPr>
    </w:p>
    <w:p w14:paraId="30FAE576" w14:textId="4EAF836B" w:rsidR="00B10538" w:rsidRPr="00B10538" w:rsidRDefault="00E45D7E" w:rsidP="00B1053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r w:rsidR="00EB7142" w:rsidRPr="00EB7142">
        <w:rPr>
          <w:i/>
          <w:iCs/>
          <w:lang w:val="en-US"/>
        </w:rPr>
        <w:t>C</w:t>
      </w:r>
      <w:r w:rsidRPr="00EB7142">
        <w:rPr>
          <w:i/>
          <w:iCs/>
          <w:lang w:val="en-US"/>
        </w:rPr>
        <w:t>ross</w:t>
      </w:r>
      <w:r w:rsidR="00EB7142" w:rsidRPr="00EB7142">
        <w:rPr>
          <w:i/>
          <w:iCs/>
          <w:lang w:val="en-US"/>
        </w:rPr>
        <w:t>-</w:t>
      </w:r>
      <w:r w:rsidRPr="00EB7142">
        <w:rPr>
          <w:i/>
          <w:iCs/>
          <w:lang w:val="en-US"/>
        </w:rPr>
        <w:t>section</w:t>
      </w:r>
      <w:r>
        <w:rPr>
          <w:lang w:val="en-US"/>
        </w:rPr>
        <w:t xml:space="preserve"> menu, assign </w:t>
      </w:r>
      <w:r>
        <w:rPr>
          <w:i/>
          <w:iCs/>
          <w:lang w:val="en-US"/>
        </w:rPr>
        <w:t>Thickness D [m] = 1.2, Width of trench BT [m] = 2.8</w:t>
      </w:r>
      <w:r w:rsidR="00B10538">
        <w:rPr>
          <w:i/>
          <w:iCs/>
          <w:lang w:val="en-US"/>
        </w:rPr>
        <w:t>, Sep. to edge H1 [mm] = 100, Sep. to edge H2 [mm] = 100.</w:t>
      </w:r>
    </w:p>
    <w:p w14:paraId="41D39A25" w14:textId="1396AE8A" w:rsidR="00D65CCE" w:rsidRDefault="00B15E51" w:rsidP="00D65CC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B10538">
        <w:rPr>
          <w:lang w:val="en-US"/>
        </w:rPr>
        <w:t xml:space="preserve">he two dash </w:t>
      </w:r>
      <w:r w:rsidR="00D65CCE">
        <w:rPr>
          <w:lang w:val="en-US"/>
        </w:rPr>
        <w:t xml:space="preserve">line </w:t>
      </w:r>
      <w:r w:rsidR="00B10538">
        <w:rPr>
          <w:i/>
          <w:iCs/>
          <w:lang w:val="en-US"/>
        </w:rPr>
        <w:t>(</w:t>
      </w:r>
      <w:r w:rsidR="00B10538">
        <w:rPr>
          <w:b/>
          <w:bCs/>
          <w:i/>
          <w:iCs/>
          <w:lang w:val="en-US"/>
        </w:rPr>
        <w:t xml:space="preserve">- </w:t>
      </w:r>
      <w:r w:rsidR="00B10538">
        <w:rPr>
          <w:i/>
          <w:iCs/>
          <w:lang w:val="en-US"/>
        </w:rPr>
        <w:t xml:space="preserve">- </w:t>
      </w:r>
      <w:r w:rsidR="00B10538">
        <w:rPr>
          <w:b/>
          <w:bCs/>
          <w:i/>
          <w:iCs/>
          <w:lang w:val="en-US"/>
        </w:rPr>
        <w:t xml:space="preserve">- </w:t>
      </w:r>
      <w:r w:rsidR="00B10538">
        <w:rPr>
          <w:i/>
          <w:iCs/>
          <w:lang w:val="en-US"/>
        </w:rPr>
        <w:t xml:space="preserve">- </w:t>
      </w:r>
      <w:r w:rsidR="00B10538">
        <w:rPr>
          <w:b/>
          <w:bCs/>
          <w:i/>
          <w:iCs/>
          <w:lang w:val="en-US"/>
        </w:rPr>
        <w:t xml:space="preserve">- </w:t>
      </w:r>
      <w:r w:rsidR="00B10538">
        <w:rPr>
          <w:i/>
          <w:iCs/>
          <w:lang w:val="en-US"/>
        </w:rPr>
        <w:t xml:space="preserve">-) </w:t>
      </w:r>
      <w:r w:rsidR="00B10538">
        <w:rPr>
          <w:lang w:val="en-US"/>
        </w:rPr>
        <w:t>indicates main direction and long dash line</w:t>
      </w:r>
      <w:r w:rsidR="00D65CCE">
        <w:rPr>
          <w:lang w:val="en-US"/>
        </w:rPr>
        <w:t xml:space="preserve"> </w:t>
      </w:r>
      <w:r w:rsidR="00D65CCE">
        <w:rPr>
          <w:i/>
          <w:iCs/>
          <w:lang w:val="en-US"/>
        </w:rPr>
        <w:t xml:space="preserve">(- - - - - ) </w:t>
      </w:r>
      <w:r w:rsidR="00D65CCE">
        <w:rPr>
          <w:lang w:val="en-US"/>
        </w:rPr>
        <w:t>indicates the orthogonal direction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(3 in fig 3)</w:t>
      </w:r>
      <w:r w:rsidR="00D65CCE">
        <w:rPr>
          <w:lang w:val="en-US"/>
        </w:rPr>
        <w:t>.</w:t>
      </w:r>
    </w:p>
    <w:p w14:paraId="0FE1C1D3" w14:textId="3533A14C" w:rsidR="00D65CCE" w:rsidRDefault="00D65CCE" w:rsidP="00D65CCE">
      <w:pPr>
        <w:rPr>
          <w:lang w:val="en-US"/>
        </w:rPr>
      </w:pPr>
    </w:p>
    <w:p w14:paraId="751CD5EF" w14:textId="41E9751A" w:rsidR="00D65CCE" w:rsidRDefault="00D65CCE" w:rsidP="00D65CCE">
      <w:pPr>
        <w:rPr>
          <w:lang w:val="en-US"/>
        </w:rPr>
      </w:pPr>
      <w:r>
        <w:rPr>
          <w:lang w:val="en-US"/>
        </w:rPr>
        <w:t xml:space="preserve">In the </w:t>
      </w:r>
      <w:r w:rsidRPr="00D65CCE">
        <w:rPr>
          <w:i/>
          <w:iCs/>
          <w:lang w:val="en-US"/>
        </w:rPr>
        <w:t>Internal forces and required reinforcement</w:t>
      </w:r>
      <w:r>
        <w:rPr>
          <w:lang w:val="en-US"/>
        </w:rPr>
        <w:t xml:space="preserve"> menu</w:t>
      </w:r>
      <w:r w:rsidR="00205D73">
        <w:rPr>
          <w:lang w:val="en-US"/>
        </w:rPr>
        <w:t xml:space="preserve">, </w:t>
      </w:r>
      <w:r>
        <w:rPr>
          <w:lang w:val="en-US"/>
        </w:rPr>
        <w:t>required reinforcement area</w:t>
      </w:r>
      <w:r w:rsidR="00205D73">
        <w:rPr>
          <w:lang w:val="en-US"/>
        </w:rPr>
        <w:t>s</w:t>
      </w:r>
      <w:r>
        <w:rPr>
          <w:lang w:val="en-US"/>
        </w:rPr>
        <w:t xml:space="preserve"> </w:t>
      </w:r>
      <w:r w:rsidR="00205D73">
        <w:rPr>
          <w:lang w:val="en-US"/>
        </w:rPr>
        <w:t>are</w:t>
      </w:r>
      <w:r>
        <w:rPr>
          <w:lang w:val="en-US"/>
        </w:rPr>
        <w:t xml:space="preserve"> calculated</w:t>
      </w:r>
      <w:r w:rsidR="00205D73">
        <w:rPr>
          <w:lang w:val="en-US"/>
        </w:rPr>
        <w:t xml:space="preserve"> for the given forces.</w:t>
      </w:r>
    </w:p>
    <w:p w14:paraId="67091078" w14:textId="61C9C5BA" w:rsidR="00D65CCE" w:rsidRDefault="00D65CCE" w:rsidP="00D65CCE">
      <w:pPr>
        <w:rPr>
          <w:lang w:val="en-US"/>
        </w:rPr>
      </w:pPr>
    </w:p>
    <w:p w14:paraId="605ECA8D" w14:textId="6A02249E" w:rsidR="00D65CCE" w:rsidRPr="00D65CCE" w:rsidRDefault="00D65CCE" w:rsidP="00D65CC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Assign </w:t>
      </w:r>
      <w:r>
        <w:rPr>
          <w:i/>
          <w:iCs/>
          <w:lang w:val="en-US"/>
        </w:rPr>
        <w:t xml:space="preserve">Permanent force </w:t>
      </w:r>
      <w:r>
        <w:rPr>
          <w:lang w:val="en-US"/>
        </w:rPr>
        <w:t>for</w:t>
      </w:r>
      <w:r>
        <w:rPr>
          <w:i/>
          <w:iCs/>
          <w:lang w:val="en-US"/>
        </w:rPr>
        <w:t xml:space="preserve"> Normal force</w:t>
      </w:r>
      <w:r w:rsidR="00317574">
        <w:rPr>
          <w:i/>
          <w:iCs/>
          <w:lang w:val="en-US"/>
        </w:rPr>
        <w:t xml:space="preserve"> (compression is negative)</w:t>
      </w:r>
      <w:r>
        <w:rPr>
          <w:i/>
          <w:iCs/>
          <w:lang w:val="en-US"/>
        </w:rPr>
        <w:t xml:space="preserve"> N [kN] = </w:t>
      </w:r>
      <w:r>
        <w:rPr>
          <w:lang w:val="en-US"/>
        </w:rPr>
        <w:t xml:space="preserve">-1000, </w:t>
      </w:r>
      <w:r>
        <w:rPr>
          <w:i/>
          <w:iCs/>
          <w:lang w:val="en-US"/>
        </w:rPr>
        <w:t xml:space="preserve">Bending moment M [kNm] = 2000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>Shear force Q [kN] = 1000</w:t>
      </w:r>
      <w:r w:rsidR="00B15E51">
        <w:rPr>
          <w:i/>
          <w:iCs/>
          <w:lang w:val="en-US"/>
        </w:rPr>
        <w:t xml:space="preserve"> (4 in fig 3)</w:t>
      </w:r>
      <w:r>
        <w:rPr>
          <w:i/>
          <w:iCs/>
          <w:lang w:val="en-US"/>
        </w:rPr>
        <w:t>.</w:t>
      </w:r>
    </w:p>
    <w:p w14:paraId="63481A19" w14:textId="38A448F2" w:rsidR="00205D73" w:rsidRDefault="00D65CCE" w:rsidP="00D65CC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required reinforcement area for main and orthogonal direction for </w:t>
      </w:r>
      <w:r>
        <w:rPr>
          <w:i/>
          <w:iCs/>
          <w:lang w:val="en-US"/>
        </w:rPr>
        <w:t xml:space="preserve">Symmetry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>Non-symmetry</w:t>
      </w:r>
      <w:r w:rsidR="00205D73">
        <w:rPr>
          <w:i/>
          <w:iCs/>
          <w:lang w:val="en-US"/>
        </w:rPr>
        <w:t xml:space="preserve"> </w:t>
      </w:r>
      <w:r w:rsidR="00205D73">
        <w:rPr>
          <w:lang w:val="en-US"/>
        </w:rPr>
        <w:t>are calculated</w:t>
      </w:r>
      <w:r w:rsidR="00B15E51">
        <w:rPr>
          <w:lang w:val="en-US"/>
        </w:rPr>
        <w:t xml:space="preserve"> </w:t>
      </w:r>
      <w:r w:rsidR="00B15E51">
        <w:rPr>
          <w:i/>
          <w:iCs/>
          <w:lang w:val="en-US"/>
        </w:rPr>
        <w:t>(5 in fig 3)</w:t>
      </w:r>
      <w:r w:rsidR="00205D73">
        <w:rPr>
          <w:lang w:val="en-US"/>
        </w:rPr>
        <w:t>.</w:t>
      </w:r>
    </w:p>
    <w:p w14:paraId="063E2707" w14:textId="77777777" w:rsidR="00205D73" w:rsidRDefault="00205D73" w:rsidP="00205D73">
      <w:pPr>
        <w:rPr>
          <w:i/>
          <w:iCs/>
          <w:lang w:val="en-US"/>
        </w:rPr>
      </w:pPr>
    </w:p>
    <w:p w14:paraId="14B34D42" w14:textId="65B32FEB" w:rsidR="00D65CCE" w:rsidRDefault="002102CF" w:rsidP="00205D73">
      <w:pPr>
        <w:rPr>
          <w:lang w:val="en-US"/>
        </w:rPr>
      </w:pPr>
      <w:r>
        <w:rPr>
          <w:lang w:val="en-US"/>
        </w:rPr>
        <w:t xml:space="preserve">The </w:t>
      </w:r>
      <w:r w:rsidR="00205D73">
        <w:rPr>
          <w:i/>
          <w:iCs/>
          <w:lang w:val="en-US"/>
        </w:rPr>
        <w:t xml:space="preserve">Given reinforcement </w:t>
      </w:r>
      <w:r w:rsidR="00205D73">
        <w:rPr>
          <w:lang w:val="en-US"/>
        </w:rPr>
        <w:t xml:space="preserve">menu, </w:t>
      </w:r>
      <w:r>
        <w:rPr>
          <w:lang w:val="en-US"/>
        </w:rPr>
        <w:t>consists of sheets</w:t>
      </w:r>
      <w:r w:rsidR="00EB7142">
        <w:rPr>
          <w:lang w:val="en-US"/>
        </w:rPr>
        <w:t xml:space="preserve"> to assign the values for </w:t>
      </w:r>
      <w:r w:rsidR="00EB7142">
        <w:rPr>
          <w:i/>
          <w:iCs/>
          <w:lang w:val="en-US"/>
        </w:rPr>
        <w:t xml:space="preserve">n </w:t>
      </w:r>
      <w:r w:rsidR="00EB7142">
        <w:rPr>
          <w:lang w:val="en-US"/>
        </w:rPr>
        <w:t xml:space="preserve">number of bars and </w:t>
      </w:r>
      <w:r w:rsidR="00EB7142">
        <w:rPr>
          <w:i/>
          <w:iCs/>
          <w:lang w:val="en-US"/>
        </w:rPr>
        <w:t>Dia. [mm]</w:t>
      </w:r>
      <w:r>
        <w:rPr>
          <w:lang w:val="en-US"/>
        </w:rPr>
        <w:t xml:space="preserve"> for designing the reinforcement.</w:t>
      </w:r>
    </w:p>
    <w:p w14:paraId="337ECC00" w14:textId="70B305D9" w:rsidR="002102CF" w:rsidRDefault="002102CF" w:rsidP="00205D73">
      <w:pPr>
        <w:rPr>
          <w:lang w:val="en-US"/>
        </w:rPr>
      </w:pPr>
    </w:p>
    <w:p w14:paraId="1EF442C8" w14:textId="3C0D0135" w:rsidR="002102CF" w:rsidRDefault="00FF10AD" w:rsidP="00FF10A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Considering the symmetry,</w:t>
      </w:r>
      <w:r w:rsidR="00EB7142">
        <w:rPr>
          <w:lang w:val="en-US"/>
        </w:rPr>
        <w:t xml:space="preserve"> the </w:t>
      </w:r>
      <w:r w:rsidR="00F43A56">
        <w:rPr>
          <w:i/>
          <w:iCs/>
          <w:lang w:val="en-US"/>
        </w:rPr>
        <w:t xml:space="preserve">Required A_s1 [cm^2] </w:t>
      </w:r>
      <w:r w:rsidR="00F43A56" w:rsidRPr="00F43A56">
        <w:rPr>
          <w:lang w:val="en-US"/>
        </w:rPr>
        <w:t>and</w:t>
      </w:r>
      <w:r w:rsidR="00F43A56">
        <w:rPr>
          <w:i/>
          <w:iCs/>
          <w:lang w:val="en-US"/>
        </w:rPr>
        <w:t xml:space="preserve"> Required A_s1 [cm^2] </w:t>
      </w:r>
      <w:r w:rsidR="00F43A56">
        <w:rPr>
          <w:lang w:val="en-US"/>
        </w:rPr>
        <w:t>are 42.84.</w:t>
      </w:r>
    </w:p>
    <w:p w14:paraId="59F41596" w14:textId="19BF6C93" w:rsidR="00F43A56" w:rsidRDefault="00040DA5" w:rsidP="00FF10A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</w:t>
      </w:r>
      <w:r w:rsidRPr="00040DA5">
        <w:rPr>
          <w:i/>
          <w:iCs/>
          <w:lang w:val="en-US"/>
        </w:rPr>
        <w:t>Vertical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reinforcement</w:t>
      </w:r>
      <w:r>
        <w:rPr>
          <w:lang w:val="en-US"/>
        </w:rPr>
        <w:t xml:space="preserve"> sheet</w:t>
      </w:r>
      <w:r w:rsidR="00B15E51">
        <w:rPr>
          <w:lang w:val="en-US"/>
        </w:rPr>
        <w:t xml:space="preserve"> </w:t>
      </w:r>
      <w:r w:rsidR="00B15E51">
        <w:rPr>
          <w:i/>
          <w:iCs/>
          <w:lang w:val="en-US"/>
        </w:rPr>
        <w:t>(6 in fig 3)</w:t>
      </w:r>
      <w:r>
        <w:rPr>
          <w:lang w:val="en-US"/>
        </w:rPr>
        <w:t>, a</w:t>
      </w:r>
      <w:r w:rsidR="00F43A56">
        <w:rPr>
          <w:lang w:val="en-US"/>
        </w:rPr>
        <w:t xml:space="preserve">ssign </w:t>
      </w:r>
      <w:r w:rsidR="00F43A56">
        <w:rPr>
          <w:i/>
          <w:iCs/>
          <w:lang w:val="en-US"/>
        </w:rPr>
        <w:t xml:space="preserve">n </w:t>
      </w:r>
      <w:r w:rsidR="00F43A56">
        <w:rPr>
          <w:lang w:val="en-US"/>
        </w:rPr>
        <w:t xml:space="preserve">= 9 </w:t>
      </w:r>
      <w:r w:rsidR="0068519D">
        <w:rPr>
          <w:lang w:val="en-US"/>
        </w:rPr>
        <w:t xml:space="preserve">and </w:t>
      </w:r>
      <w:r w:rsidR="0068519D">
        <w:rPr>
          <w:i/>
          <w:iCs/>
          <w:lang w:val="en-US"/>
        </w:rPr>
        <w:t xml:space="preserve">Dia. [mm] = </w:t>
      </w:r>
      <w:r w:rsidR="0068519D">
        <w:rPr>
          <w:lang w:val="en-US"/>
        </w:rPr>
        <w:t>25 for first main direction and second main direction.</w:t>
      </w:r>
    </w:p>
    <w:p w14:paraId="7B29C837" w14:textId="629EC87C" w:rsidR="0068519D" w:rsidRDefault="0068519D" w:rsidP="0068519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Provide the minimum reinforcement at first and second orthogonal directions, i.e., </w:t>
      </w:r>
      <w:r>
        <w:rPr>
          <w:i/>
          <w:iCs/>
          <w:lang w:val="en-US"/>
        </w:rPr>
        <w:t xml:space="preserve">n = 2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 xml:space="preserve">Dia. [mm] = </w:t>
      </w:r>
      <w:r>
        <w:rPr>
          <w:lang w:val="en-US"/>
        </w:rPr>
        <w:t>25.</w:t>
      </w:r>
    </w:p>
    <w:p w14:paraId="007E189D" w14:textId="0FA82D8F" w:rsidR="0068519D" w:rsidRPr="0019440E" w:rsidRDefault="00787285" w:rsidP="0068519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F26FFB">
        <w:rPr>
          <w:lang w:val="en-US"/>
        </w:rPr>
        <w:t>given reinforcement can be verified visually from the reinforcement diagram at right side</w:t>
      </w:r>
      <w:r w:rsidR="00B15E51">
        <w:rPr>
          <w:lang w:val="en-US"/>
        </w:rPr>
        <w:t xml:space="preserve"> </w:t>
      </w:r>
      <w:r w:rsidR="00B15E51">
        <w:rPr>
          <w:i/>
          <w:iCs/>
          <w:lang w:val="en-US"/>
        </w:rPr>
        <w:t>(7 in fig 3).</w:t>
      </w:r>
    </w:p>
    <w:p w14:paraId="41E88943" w14:textId="0439FF42" w:rsidR="0019440E" w:rsidRDefault="0019440E" w:rsidP="0019440E">
      <w:pPr>
        <w:rPr>
          <w:lang w:val="en-US"/>
        </w:rPr>
      </w:pPr>
    </w:p>
    <w:p w14:paraId="40023A9A" w14:textId="36340654" w:rsidR="0019440E" w:rsidRDefault="0019440E" w:rsidP="0019440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17A045" wp14:editId="7E379AA1">
            <wp:extent cx="5760720" cy="2738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39777" w14:textId="541D7EE2" w:rsidR="0019440E" w:rsidRPr="0019440E" w:rsidRDefault="0019440E" w:rsidP="0019440E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(fig 3)</w:t>
      </w:r>
    </w:p>
    <w:p w14:paraId="447A57DC" w14:textId="77777777" w:rsidR="0019440E" w:rsidRPr="0019440E" w:rsidRDefault="0019440E" w:rsidP="0019440E">
      <w:pPr>
        <w:rPr>
          <w:lang w:val="en-US"/>
        </w:rPr>
      </w:pPr>
    </w:p>
    <w:p w14:paraId="7266B21C" w14:textId="77AEB887" w:rsidR="00F26FFB" w:rsidRDefault="00681DD2" w:rsidP="0068519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horizontal reinforcement the</w:t>
      </w:r>
      <w:r w:rsidR="00040DA5">
        <w:rPr>
          <w:lang w:val="en-US"/>
        </w:rPr>
        <w:t xml:space="preserve"> </w:t>
      </w:r>
      <w:r>
        <w:rPr>
          <w:i/>
          <w:iCs/>
          <w:lang w:val="en-US"/>
        </w:rPr>
        <w:t xml:space="preserve">Required a_s [cm^2/m] </w:t>
      </w:r>
      <w:r>
        <w:rPr>
          <w:lang w:val="en-US"/>
        </w:rPr>
        <w:t>= 14.41.</w:t>
      </w:r>
    </w:p>
    <w:p w14:paraId="04EA1AD1" w14:textId="4120DA4F" w:rsidR="00681DD2" w:rsidRDefault="00681DD2" w:rsidP="0068519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</w:t>
      </w:r>
      <w:r>
        <w:rPr>
          <w:i/>
          <w:iCs/>
          <w:lang w:val="en-US"/>
        </w:rPr>
        <w:t xml:space="preserve">Horizontal reinforcement </w:t>
      </w:r>
      <w:r>
        <w:rPr>
          <w:lang w:val="en-US"/>
        </w:rPr>
        <w:t xml:space="preserve"> sheet</w:t>
      </w:r>
      <w:r w:rsidR="00B15E51">
        <w:rPr>
          <w:lang w:val="en-US"/>
        </w:rPr>
        <w:t xml:space="preserve"> </w:t>
      </w:r>
      <w:r w:rsidR="00B15E51">
        <w:rPr>
          <w:i/>
          <w:iCs/>
          <w:lang w:val="en-US"/>
        </w:rPr>
        <w:t>(fig 4)</w:t>
      </w:r>
      <w:r>
        <w:rPr>
          <w:lang w:val="en-US"/>
        </w:rPr>
        <w:t xml:space="preserve">, for </w:t>
      </w:r>
      <w:r>
        <w:rPr>
          <w:i/>
          <w:iCs/>
          <w:lang w:val="en-US"/>
        </w:rPr>
        <w:t xml:space="preserve">Main direction, </w:t>
      </w:r>
      <w:r>
        <w:rPr>
          <w:lang w:val="en-US"/>
        </w:rPr>
        <w:t xml:space="preserve">select 12 for </w:t>
      </w:r>
      <w:r>
        <w:rPr>
          <w:i/>
          <w:iCs/>
          <w:lang w:val="en-US"/>
        </w:rPr>
        <w:t xml:space="preserve">dia. d [mm] </w:t>
      </w:r>
      <w:r w:rsidR="00100D96">
        <w:rPr>
          <w:lang w:val="en-US"/>
        </w:rPr>
        <w:t xml:space="preserve">and assign </w:t>
      </w:r>
      <w:r w:rsidR="00100D96">
        <w:rPr>
          <w:i/>
          <w:iCs/>
          <w:lang w:val="en-US"/>
        </w:rPr>
        <w:t xml:space="preserve">n legs = </w:t>
      </w:r>
      <w:r w:rsidR="00100D96" w:rsidRPr="002D1596">
        <w:rPr>
          <w:lang w:val="en-US"/>
        </w:rPr>
        <w:t>4</w:t>
      </w:r>
      <w:r w:rsidR="00100D96">
        <w:rPr>
          <w:i/>
          <w:iCs/>
          <w:lang w:val="en-US"/>
        </w:rPr>
        <w:t xml:space="preserve">, spacing [cm] = </w:t>
      </w:r>
      <w:r w:rsidR="00100D96" w:rsidRPr="002D1596">
        <w:rPr>
          <w:lang w:val="en-US"/>
        </w:rPr>
        <w:t>25</w:t>
      </w:r>
      <w:r w:rsidR="00100D96">
        <w:rPr>
          <w:i/>
          <w:iCs/>
          <w:lang w:val="en-US"/>
        </w:rPr>
        <w:t xml:space="preserve"> </w:t>
      </w:r>
      <w:r w:rsidR="00100D96">
        <w:rPr>
          <w:lang w:val="en-US"/>
        </w:rPr>
        <w:t xml:space="preserve">and </w:t>
      </w:r>
      <w:r w:rsidR="00100D96">
        <w:rPr>
          <w:i/>
          <w:iCs/>
          <w:lang w:val="en-US"/>
        </w:rPr>
        <w:t xml:space="preserve">Embraces [-] = </w:t>
      </w:r>
      <w:r w:rsidR="002D1596">
        <w:rPr>
          <w:lang w:val="en-US"/>
        </w:rPr>
        <w:t>1 9; 3 7.</w:t>
      </w:r>
    </w:p>
    <w:p w14:paraId="150D183B" w14:textId="27DC0DB2" w:rsidR="002102CF" w:rsidRDefault="002D1596" w:rsidP="00205D7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</w:t>
      </w:r>
      <w:r w:rsidR="00906DA6" w:rsidRPr="00906DA6">
        <w:rPr>
          <w:i/>
          <w:iCs/>
          <w:lang w:val="en-US"/>
        </w:rPr>
        <w:t xml:space="preserve">‘ </w:t>
      </w:r>
      <w:r w:rsidR="00906DA6" w:rsidRPr="00906DA6">
        <w:rPr>
          <w:b/>
          <w:bCs/>
          <w:i/>
          <w:iCs/>
          <w:lang w:val="en-US"/>
        </w:rPr>
        <w:t>;</w:t>
      </w:r>
      <w:r w:rsidR="00906DA6" w:rsidRPr="00906DA6">
        <w:rPr>
          <w:i/>
          <w:iCs/>
          <w:lang w:val="en-US"/>
        </w:rPr>
        <w:t xml:space="preserve"> ’</w:t>
      </w:r>
      <w:r>
        <w:rPr>
          <w:lang w:val="en-US"/>
        </w:rPr>
        <w:t xml:space="preserve"> between two different set of </w:t>
      </w:r>
      <w:r>
        <w:rPr>
          <w:i/>
          <w:iCs/>
          <w:lang w:val="en-US"/>
        </w:rPr>
        <w:t xml:space="preserve">Embraces. </w:t>
      </w:r>
      <w:r>
        <w:rPr>
          <w:lang w:val="en-US"/>
        </w:rPr>
        <w:t>For above value, 1 9 is first set and 3 7 i</w:t>
      </w:r>
      <w:r w:rsidR="00906DA6">
        <w:rPr>
          <w:lang w:val="en-US"/>
        </w:rPr>
        <w:t>s</w:t>
      </w:r>
      <w:r>
        <w:rPr>
          <w:lang w:val="en-US"/>
        </w:rPr>
        <w:t xml:space="preserve"> second set</w:t>
      </w:r>
      <w:r w:rsidR="00906DA6">
        <w:rPr>
          <w:lang w:val="en-US"/>
        </w:rPr>
        <w:t>.</w:t>
      </w:r>
    </w:p>
    <w:p w14:paraId="40063BFB" w14:textId="0A998C8E" w:rsidR="00906DA6" w:rsidRDefault="00906DA6" w:rsidP="002940A7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</w:t>
      </w:r>
      <w:r>
        <w:rPr>
          <w:i/>
          <w:iCs/>
          <w:lang w:val="en-US"/>
        </w:rPr>
        <w:t xml:space="preserve">Orthogonal direction </w:t>
      </w:r>
      <w:r w:rsidR="002940A7">
        <w:rPr>
          <w:lang w:val="en-US"/>
        </w:rPr>
        <w:t xml:space="preserve">to </w:t>
      </w:r>
      <w:r>
        <w:rPr>
          <w:lang w:val="en-US"/>
        </w:rPr>
        <w:t xml:space="preserve">provide a minimum reinforcement, select </w:t>
      </w:r>
      <w:r w:rsidR="002940A7">
        <w:rPr>
          <w:lang w:val="en-US"/>
        </w:rPr>
        <w:t xml:space="preserve">10 </w:t>
      </w:r>
      <w:r>
        <w:rPr>
          <w:lang w:val="en-US"/>
        </w:rPr>
        <w:t xml:space="preserve">for </w:t>
      </w:r>
      <w:r>
        <w:rPr>
          <w:i/>
          <w:iCs/>
          <w:lang w:val="en-US"/>
        </w:rPr>
        <w:t xml:space="preserve">dia. d [mm] </w:t>
      </w:r>
      <w:r>
        <w:rPr>
          <w:lang w:val="en-US"/>
        </w:rPr>
        <w:t xml:space="preserve">and assign </w:t>
      </w:r>
      <w:r>
        <w:rPr>
          <w:i/>
          <w:iCs/>
          <w:lang w:val="en-US"/>
        </w:rPr>
        <w:t xml:space="preserve">n legs = </w:t>
      </w:r>
      <w:r w:rsidRPr="002D1596">
        <w:rPr>
          <w:lang w:val="en-US"/>
        </w:rPr>
        <w:t>4</w:t>
      </w:r>
      <w:r>
        <w:rPr>
          <w:i/>
          <w:iCs/>
          <w:lang w:val="en-US"/>
        </w:rPr>
        <w:t xml:space="preserve">, spacing [cm] = </w:t>
      </w:r>
      <w:r w:rsidRPr="002D1596">
        <w:rPr>
          <w:lang w:val="en-US"/>
        </w:rPr>
        <w:t>25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 xml:space="preserve">Embraces [-] = </w:t>
      </w:r>
      <w:r w:rsidR="002940A7">
        <w:rPr>
          <w:lang w:val="en-US"/>
        </w:rPr>
        <w:t xml:space="preserve">2 3 </w:t>
      </w:r>
    </w:p>
    <w:p w14:paraId="3FB1DF01" w14:textId="54D5992E" w:rsidR="0019440E" w:rsidRDefault="0019440E" w:rsidP="0019440E">
      <w:pPr>
        <w:rPr>
          <w:lang w:val="en-US"/>
        </w:rPr>
      </w:pPr>
    </w:p>
    <w:p w14:paraId="21625B92" w14:textId="7F693F4D" w:rsidR="0019440E" w:rsidRDefault="0019440E" w:rsidP="0019440E">
      <w:pPr>
        <w:rPr>
          <w:lang w:val="en-US"/>
        </w:rPr>
      </w:pPr>
      <w:r>
        <w:rPr>
          <w:noProof/>
        </w:rPr>
        <w:drawing>
          <wp:inline distT="0" distB="0" distL="0" distR="0" wp14:anchorId="2692444C" wp14:editId="45523FE0">
            <wp:extent cx="5760720" cy="1488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E5F64" w14:textId="5FD01675" w:rsidR="0019440E" w:rsidRDefault="0019440E" w:rsidP="0019440E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(fig 4)</w:t>
      </w:r>
    </w:p>
    <w:p w14:paraId="4CFA7087" w14:textId="3EBBC5B5" w:rsidR="00207F49" w:rsidRDefault="00207F49" w:rsidP="0019440E">
      <w:pPr>
        <w:jc w:val="center"/>
        <w:rPr>
          <w:i/>
          <w:iCs/>
          <w:lang w:val="en-US"/>
        </w:rPr>
      </w:pPr>
    </w:p>
    <w:p w14:paraId="449C825A" w14:textId="7FF54633" w:rsidR="00207F49" w:rsidRDefault="00207F49" w:rsidP="0019440E">
      <w:pPr>
        <w:jc w:val="center"/>
        <w:rPr>
          <w:i/>
          <w:iCs/>
          <w:lang w:val="en-US"/>
        </w:rPr>
      </w:pPr>
      <w:r>
        <w:rPr>
          <w:noProof/>
        </w:rPr>
        <w:lastRenderedPageBreak/>
        <w:drawing>
          <wp:inline distT="0" distB="0" distL="0" distR="0" wp14:anchorId="25C81234" wp14:editId="20C9FCD5">
            <wp:extent cx="5760720" cy="2892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1606" w14:textId="418FB36A" w:rsidR="00207F49" w:rsidRPr="0019440E" w:rsidRDefault="00207F49" w:rsidP="0019440E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(fig 5)</w:t>
      </w:r>
    </w:p>
    <w:sectPr w:rsidR="00207F49" w:rsidRPr="0019440E" w:rsidSect="00D719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76453"/>
    <w:multiLevelType w:val="hybridMultilevel"/>
    <w:tmpl w:val="1B5CFE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977F63"/>
    <w:multiLevelType w:val="hybridMultilevel"/>
    <w:tmpl w:val="44FE1F74"/>
    <w:lvl w:ilvl="0" w:tplc="EF845D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5C06B5"/>
    <w:multiLevelType w:val="hybridMultilevel"/>
    <w:tmpl w:val="F05A5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A702D4"/>
    <w:multiLevelType w:val="hybridMultilevel"/>
    <w:tmpl w:val="5D004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10"/>
    <w:rsid w:val="00040DA5"/>
    <w:rsid w:val="0006140A"/>
    <w:rsid w:val="0006145C"/>
    <w:rsid w:val="00083D70"/>
    <w:rsid w:val="000A03F9"/>
    <w:rsid w:val="000B1944"/>
    <w:rsid w:val="00100D96"/>
    <w:rsid w:val="00117DBA"/>
    <w:rsid w:val="0013524A"/>
    <w:rsid w:val="0019440E"/>
    <w:rsid w:val="00205D73"/>
    <w:rsid w:val="00207F49"/>
    <w:rsid w:val="002102CF"/>
    <w:rsid w:val="002940A7"/>
    <w:rsid w:val="002A07D2"/>
    <w:rsid w:val="002D1596"/>
    <w:rsid w:val="00317574"/>
    <w:rsid w:val="003A2B1B"/>
    <w:rsid w:val="004F3031"/>
    <w:rsid w:val="00585EE3"/>
    <w:rsid w:val="005A511D"/>
    <w:rsid w:val="00634531"/>
    <w:rsid w:val="00681DD2"/>
    <w:rsid w:val="0068519D"/>
    <w:rsid w:val="0072637F"/>
    <w:rsid w:val="00787285"/>
    <w:rsid w:val="007B255A"/>
    <w:rsid w:val="00807118"/>
    <w:rsid w:val="00834F5A"/>
    <w:rsid w:val="008F0F29"/>
    <w:rsid w:val="009035FC"/>
    <w:rsid w:val="00906DA6"/>
    <w:rsid w:val="009433B2"/>
    <w:rsid w:val="009644EA"/>
    <w:rsid w:val="009C580E"/>
    <w:rsid w:val="00A13AEB"/>
    <w:rsid w:val="00AB73F8"/>
    <w:rsid w:val="00B10538"/>
    <w:rsid w:val="00B15E51"/>
    <w:rsid w:val="00B2545C"/>
    <w:rsid w:val="00B81544"/>
    <w:rsid w:val="00BB533E"/>
    <w:rsid w:val="00C84941"/>
    <w:rsid w:val="00CD59A0"/>
    <w:rsid w:val="00CE13BB"/>
    <w:rsid w:val="00D1483C"/>
    <w:rsid w:val="00D179C8"/>
    <w:rsid w:val="00D65CCE"/>
    <w:rsid w:val="00D7195E"/>
    <w:rsid w:val="00E21368"/>
    <w:rsid w:val="00E42D6E"/>
    <w:rsid w:val="00E45D7E"/>
    <w:rsid w:val="00E47110"/>
    <w:rsid w:val="00E848D4"/>
    <w:rsid w:val="00EA61F4"/>
    <w:rsid w:val="00EB491E"/>
    <w:rsid w:val="00EB7142"/>
    <w:rsid w:val="00EC01A5"/>
    <w:rsid w:val="00EC1A0B"/>
    <w:rsid w:val="00F22C23"/>
    <w:rsid w:val="00F26FFB"/>
    <w:rsid w:val="00F43A56"/>
    <w:rsid w:val="00FC68B3"/>
    <w:rsid w:val="00FF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7955F"/>
  <w15:chartTrackingRefBased/>
  <w15:docId w15:val="{A11CC049-0D4B-4808-BA67-A3569B90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3031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C1A0B"/>
    <w:pPr>
      <w:keepNext/>
      <w:keepLines/>
      <w:spacing w:before="280" w:after="12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1A0B"/>
    <w:pPr>
      <w:keepNext/>
      <w:keepLines/>
      <w:spacing w:before="240" w:after="80"/>
      <w:outlineLvl w:val="1"/>
    </w:pPr>
    <w:rPr>
      <w:rFonts w:eastAsiaTheme="majorEastAsia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1483C"/>
    <w:pPr>
      <w:keepNext/>
      <w:keepLines/>
      <w:spacing w:before="24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848D4"/>
    <w:pPr>
      <w:keepNext/>
      <w:keepLines/>
      <w:spacing w:before="220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C68B3"/>
    <w:pPr>
      <w:keepNext/>
      <w:keepLines/>
      <w:spacing w:before="220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C68B3"/>
    <w:pPr>
      <w:keepNext/>
      <w:keepLines/>
      <w:spacing w:before="220"/>
      <w:outlineLvl w:val="5"/>
    </w:pPr>
    <w:rPr>
      <w:rFonts w:eastAsiaTheme="majorEastAsia" w:cstheme="majorBidi"/>
      <w:b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FC68B3"/>
    <w:pPr>
      <w:keepNext/>
      <w:keepLines/>
      <w:spacing w:before="220"/>
      <w:outlineLvl w:val="6"/>
    </w:pPr>
    <w:rPr>
      <w:rFonts w:eastAsiaTheme="majorEastAsia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FC68B3"/>
    <w:pPr>
      <w:keepNext/>
      <w:keepLines/>
      <w:spacing w:before="220"/>
      <w:outlineLvl w:val="7"/>
    </w:pPr>
    <w:rPr>
      <w:rFonts w:eastAsiaTheme="majorEastAsia" w:cstheme="majorBidi"/>
      <w:b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FC68B3"/>
    <w:pPr>
      <w:keepNext/>
      <w:keepLines/>
      <w:spacing w:before="200"/>
      <w:outlineLvl w:val="8"/>
    </w:pPr>
    <w:rPr>
      <w:rFonts w:eastAsiaTheme="majorEastAsia" w:cstheme="majorBidi"/>
      <w:b/>
      <w:iCs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1A0B"/>
    <w:rPr>
      <w:rFonts w:eastAsiaTheme="majorEastAsia" w:cstheme="majorBidi"/>
      <w:b/>
      <w:bCs/>
      <w:sz w:val="24"/>
      <w:szCs w:val="28"/>
    </w:rPr>
  </w:style>
  <w:style w:type="character" w:styleId="Hyperlink">
    <w:name w:val="Hyperlink"/>
    <w:basedOn w:val="Absatz-Standardschriftart"/>
    <w:uiPriority w:val="99"/>
    <w:unhideWhenUsed/>
    <w:rsid w:val="00AB73F8"/>
    <w:rPr>
      <w:i/>
      <w:color w:val="0000FF" w:themeColor="hyperlink"/>
      <w:u w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1A0B"/>
    <w:rPr>
      <w:rFonts w:eastAsiaTheme="majorEastAsia" w:cstheme="majorBidi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1483C"/>
    <w:rPr>
      <w:rFonts w:eastAsiaTheme="majorEastAsia" w:cstheme="majorBidi"/>
      <w:b/>
      <w:bCs/>
    </w:rPr>
  </w:style>
  <w:style w:type="paragraph" w:styleId="Titel">
    <w:name w:val="Title"/>
    <w:basedOn w:val="Standard"/>
    <w:next w:val="Standard"/>
    <w:link w:val="TitelZchn"/>
    <w:uiPriority w:val="10"/>
    <w:qFormat/>
    <w:rsid w:val="00117DBA"/>
    <w:pPr>
      <w:spacing w:after="400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17DBA"/>
    <w:rPr>
      <w:rFonts w:eastAsiaTheme="majorEastAsia" w:cstheme="majorBidi"/>
      <w:spacing w:val="5"/>
      <w:kern w:val="28"/>
      <w:sz w:val="40"/>
      <w:szCs w:val="5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848D4"/>
    <w:rPr>
      <w:rFonts w:eastAsiaTheme="majorEastAsia" w:cstheme="majorBidi"/>
      <w:b/>
      <w:bCs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C68B3"/>
    <w:rPr>
      <w:rFonts w:eastAsiaTheme="majorEastAsia" w:cstheme="majorBidi"/>
      <w:b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C68B3"/>
    <w:rPr>
      <w:rFonts w:eastAsiaTheme="majorEastAsia" w:cstheme="majorBidi"/>
      <w:b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FC68B3"/>
    <w:rPr>
      <w:rFonts w:eastAsiaTheme="majorEastAsia" w:cstheme="majorBidi"/>
      <w:b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FC68B3"/>
    <w:rPr>
      <w:rFonts w:eastAsiaTheme="majorEastAsia" w:cstheme="majorBidi"/>
      <w:b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FC68B3"/>
    <w:rPr>
      <w:rFonts w:eastAsiaTheme="majorEastAsia" w:cstheme="majorBidi"/>
      <w:b/>
      <w:iCs/>
      <w:szCs w:val="20"/>
    </w:rPr>
  </w:style>
  <w:style w:type="paragraph" w:styleId="Listenabsatz">
    <w:name w:val="List Paragraph"/>
    <w:basedOn w:val="Standard"/>
    <w:uiPriority w:val="34"/>
    <w:qFormat/>
    <w:rsid w:val="008F0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Somanakatti, Basanagouda</dc:creator>
  <cp:keywords/>
  <dc:description/>
  <cp:lastModifiedBy>Nguyen, Luan</cp:lastModifiedBy>
  <cp:revision>3</cp:revision>
  <cp:lastPrinted>2010-09-21T06:00:00Z</cp:lastPrinted>
  <dcterms:created xsi:type="dcterms:W3CDTF">2021-06-22T15:10:00Z</dcterms:created>
  <dcterms:modified xsi:type="dcterms:W3CDTF">2021-06-22T15:12:00Z</dcterms:modified>
</cp:coreProperties>
</file>