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微软雅黑" w:hAnsi="微软雅黑" w:eastAsia="微软雅黑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悬赏任务</w:t>
      </w:r>
      <w:r>
        <w:rPr>
          <w:rFonts w:hint="eastAsia" w:ascii="微软雅黑" w:hAnsi="微软雅黑" w:eastAsia="微软雅黑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专区</w:t>
      </w:r>
    </w:p>
    <w:p>
      <w:pPr>
        <w:pStyle w:val="6"/>
        <w:numPr>
          <w:ilvl w:val="0"/>
          <w:numId w:val="1"/>
        </w:numPr>
        <w:ind w:firstLineChars="0"/>
        <w:jc w:val="left"/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专区介绍</w:t>
      </w:r>
    </w:p>
    <w:p>
      <w:pPr>
        <w:pStyle w:val="6"/>
        <w:numPr>
          <w:ilvl w:val="0"/>
          <w:numId w:val="0"/>
        </w:numPr>
        <w:ind w:leftChars="0" w:firstLine="440"/>
        <w:jc w:val="left"/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通过任务有奖形式，促进用户活跃；</w:t>
      </w:r>
    </w:p>
    <w:p>
      <w:pPr>
        <w:rPr>
          <w:rFonts w:hint="eastAsia" w:ascii="微软雅黑" w:hAnsi="微软雅黑" w:eastAsia="微软雅黑" w:cs="微软雅黑"/>
          <w:sz w:val="18"/>
          <w:szCs w:val="16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6"/>
          <w:lang w:eastAsia="zh-CN"/>
        </w:rPr>
        <w:t>任务机制有三种：</w:t>
      </w:r>
    </w:p>
    <w:p>
      <w:pPr>
        <w:rPr>
          <w:rFonts w:ascii="微软雅黑" w:hAnsi="微软雅黑" w:eastAsia="微软雅黑" w:cs="微软雅黑"/>
          <w:sz w:val="18"/>
          <w:szCs w:val="16"/>
          <w:highlight w:val="yellow"/>
        </w:rPr>
      </w:pPr>
      <w:r>
        <w:rPr>
          <w:rFonts w:hint="eastAsia" w:ascii="微软雅黑" w:hAnsi="微软雅黑" w:eastAsia="微软雅黑" w:cs="微软雅黑"/>
          <w:sz w:val="16"/>
          <w:szCs w:val="15"/>
          <w:highlight w:val="yellow"/>
        </w:rPr>
        <w:t>（1）</w:t>
      </w:r>
      <w:r>
        <w:rPr>
          <w:rFonts w:hint="eastAsia" w:ascii="微软雅黑" w:hAnsi="微软雅黑" w:eastAsia="微软雅黑" w:cs="微软雅黑"/>
          <w:sz w:val="18"/>
          <w:szCs w:val="16"/>
          <w:highlight w:val="yellow"/>
        </w:rPr>
        <w:t>每日奖励</w:t>
      </w:r>
    </w:p>
    <w:p>
      <w:pPr>
        <w:ind w:left="420" w:leftChars="200"/>
        <w:rPr>
          <w:rFonts w:ascii="微软雅黑" w:hAnsi="微软雅黑" w:eastAsia="微软雅黑" w:cs="微软雅黑"/>
          <w:sz w:val="18"/>
          <w:szCs w:val="16"/>
        </w:rPr>
      </w:pPr>
      <w:r>
        <w:rPr>
          <w:rFonts w:hint="eastAsia" w:ascii="微软雅黑" w:hAnsi="微软雅黑" w:eastAsia="微软雅黑" w:cs="微软雅黑"/>
          <w:sz w:val="18"/>
          <w:szCs w:val="16"/>
        </w:rPr>
        <w:t>1.</w:t>
      </w:r>
      <w:r>
        <w:rPr>
          <w:rFonts w:hint="eastAsia" w:ascii="微软雅黑" w:hAnsi="微软雅黑" w:eastAsia="微软雅黑" w:cs="微软雅黑"/>
          <w:sz w:val="18"/>
          <w:szCs w:val="1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6"/>
          <w:lang w:eastAsia="zh-CN"/>
        </w:rPr>
        <w:t>促进用户</w:t>
      </w:r>
      <w:r>
        <w:rPr>
          <w:rFonts w:hint="eastAsia" w:ascii="微软雅黑" w:hAnsi="微软雅黑" w:eastAsia="微软雅黑" w:cs="微软雅黑"/>
          <w:sz w:val="18"/>
          <w:szCs w:val="16"/>
        </w:rPr>
        <w:t>每日登录游戏</w:t>
      </w:r>
      <w:r>
        <w:rPr>
          <w:rFonts w:hint="eastAsia" w:ascii="微软雅黑" w:hAnsi="微软雅黑" w:eastAsia="微软雅黑" w:cs="微软雅黑"/>
          <w:sz w:val="18"/>
          <w:szCs w:val="16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6"/>
        </w:rPr>
        <w:t>奖励：奖励内容为游戏内货币或物品</w:t>
      </w:r>
    </w:p>
    <w:p>
      <w:pPr>
        <w:rPr>
          <w:rFonts w:ascii="微软雅黑" w:hAnsi="微软雅黑" w:eastAsia="微软雅黑" w:cs="微软雅黑"/>
          <w:sz w:val="18"/>
          <w:szCs w:val="16"/>
          <w:highlight w:val="yellow"/>
        </w:rPr>
      </w:pPr>
      <w:r>
        <w:rPr>
          <w:rFonts w:hint="eastAsia" w:ascii="微软雅黑" w:hAnsi="微软雅黑" w:eastAsia="微软雅黑" w:cs="微软雅黑"/>
          <w:sz w:val="16"/>
          <w:szCs w:val="15"/>
          <w:highlight w:val="yellow"/>
        </w:rPr>
        <w:t>（2）</w:t>
      </w:r>
      <w:r>
        <w:rPr>
          <w:rFonts w:hint="eastAsia" w:ascii="微软雅黑" w:hAnsi="微软雅黑" w:eastAsia="微软雅黑" w:cs="微软雅黑"/>
          <w:sz w:val="18"/>
          <w:szCs w:val="16"/>
          <w:highlight w:val="yellow"/>
        </w:rPr>
        <w:t>成长奖励</w:t>
      </w:r>
    </w:p>
    <w:p>
      <w:pPr>
        <w:ind w:left="420" w:leftChars="200"/>
        <w:rPr>
          <w:rFonts w:ascii="微软雅黑" w:hAnsi="微软雅黑" w:eastAsia="微软雅黑" w:cs="微软雅黑"/>
          <w:sz w:val="18"/>
          <w:szCs w:val="16"/>
        </w:rPr>
      </w:pPr>
      <w:r>
        <w:rPr>
          <w:rFonts w:hint="eastAsia" w:ascii="微软雅黑" w:hAnsi="微软雅黑" w:eastAsia="微软雅黑" w:cs="微软雅黑"/>
          <w:sz w:val="18"/>
          <w:szCs w:val="16"/>
        </w:rPr>
        <w:t>1.</w:t>
      </w:r>
      <w:r>
        <w:rPr>
          <w:rFonts w:hint="eastAsia" w:ascii="微软雅黑" w:hAnsi="微软雅黑" w:eastAsia="微软雅黑" w:cs="微软雅黑"/>
          <w:sz w:val="18"/>
          <w:szCs w:val="1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6"/>
        </w:rPr>
        <w:t>首发登录奖励</w:t>
      </w:r>
      <w:r>
        <w:rPr>
          <w:rFonts w:hint="eastAsia" w:ascii="微软雅黑" w:hAnsi="微软雅黑" w:eastAsia="微软雅黑" w:cs="微软雅黑"/>
          <w:sz w:val="18"/>
          <w:szCs w:val="16"/>
          <w:lang w:eastAsia="zh-CN"/>
        </w:rPr>
        <w:t>：首发当天特殊奖励</w:t>
      </w:r>
    </w:p>
    <w:p>
      <w:pPr>
        <w:ind w:left="420" w:leftChars="200"/>
        <w:rPr>
          <w:rFonts w:hint="eastAsia" w:ascii="微软雅黑" w:hAnsi="微软雅黑" w:eastAsia="微软雅黑" w:cs="微软雅黑"/>
          <w:sz w:val="18"/>
          <w:szCs w:val="16"/>
        </w:rPr>
      </w:pPr>
      <w:r>
        <w:rPr>
          <w:rFonts w:hint="eastAsia" w:ascii="微软雅黑" w:hAnsi="微软雅黑" w:eastAsia="微软雅黑" w:cs="微软雅黑"/>
          <w:sz w:val="18"/>
          <w:szCs w:val="16"/>
        </w:rPr>
        <w:t>2.</w:t>
      </w:r>
      <w:r>
        <w:rPr>
          <w:rFonts w:hint="eastAsia" w:ascii="微软雅黑" w:hAnsi="微软雅黑" w:eastAsia="微软雅黑" w:cs="微软雅黑"/>
          <w:sz w:val="18"/>
          <w:szCs w:val="1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6"/>
        </w:rPr>
        <w:t>连续登陆、等级达到一定级别</w:t>
      </w:r>
      <w:r>
        <w:rPr>
          <w:rFonts w:hint="eastAsia" w:ascii="微软雅黑" w:hAnsi="微软雅黑" w:eastAsia="微软雅黑" w:cs="微软雅黑"/>
          <w:sz w:val="18"/>
          <w:szCs w:val="16"/>
          <w:lang w:eastAsia="zh-CN"/>
        </w:rPr>
        <w:t>：分阶段性发放奖励，可放置一定面额的助手现金红包奖励吸引用户。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</w:t>
      </w:r>
    </w:p>
    <w:tbl>
      <w:tblPr>
        <w:tblStyle w:val="5"/>
        <w:tblW w:w="8036" w:type="dxa"/>
        <w:tblInd w:w="4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4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举例</w:t>
            </w:r>
          </w:p>
        </w:tc>
        <w:tc>
          <w:tcPr>
            <w:tcW w:w="4561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  <w:t>连续登陆</w:t>
            </w: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5天，等级达到10级</w:t>
            </w:r>
          </w:p>
        </w:tc>
        <w:tc>
          <w:tcPr>
            <w:tcW w:w="4561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最高5元现金红包（也可以游戏内奖励，需要吸引人的）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  <w:t>连续登陆</w:t>
            </w: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15天</w:t>
            </w:r>
          </w:p>
        </w:tc>
        <w:tc>
          <w:tcPr>
            <w:tcW w:w="4561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  <w:t>最高</w:t>
            </w: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8元现金红包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eastAsia="zh-CN"/>
              </w:rPr>
              <w:t>连续登陆</w:t>
            </w: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180天，等级达到100级</w:t>
            </w:r>
          </w:p>
        </w:tc>
        <w:tc>
          <w:tcPr>
            <w:tcW w:w="4561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0"/>
                <w:vertAlign w:val="baseline"/>
                <w:lang w:val="en-US" w:eastAsia="zh-CN"/>
              </w:rPr>
              <w:t>1000元现金红包</w:t>
            </w:r>
          </w:p>
        </w:tc>
      </w:tr>
    </w:tbl>
    <w:p>
      <w:pPr>
        <w:rPr>
          <w:rFonts w:ascii="微软雅黑" w:hAnsi="微软雅黑" w:eastAsia="微软雅黑" w:cs="微软雅黑"/>
          <w:sz w:val="18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5"/>
        </w:rPr>
        <w:t>（3）</w:t>
      </w:r>
      <w:r>
        <w:rPr>
          <w:rFonts w:hint="eastAsia" w:ascii="微软雅黑" w:hAnsi="微软雅黑" w:eastAsia="微软雅黑" w:cs="微软雅黑"/>
          <w:sz w:val="18"/>
          <w:szCs w:val="16"/>
        </w:rPr>
        <w:t>VIP奖励</w:t>
      </w:r>
    </w:p>
    <w:p>
      <w:pPr>
        <w:pStyle w:val="6"/>
        <w:numPr>
          <w:ilvl w:val="0"/>
          <w:numId w:val="0"/>
        </w:numPr>
        <w:ind w:leftChars="0" w:firstLine="440"/>
        <w:jc w:val="left"/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1. 达到vipX可在专区领取额外奖励</w:t>
      </w:r>
    </w:p>
    <w:p>
      <w:pPr>
        <w:pStyle w:val="6"/>
        <w:numPr>
          <w:ilvl w:val="0"/>
          <w:numId w:val="0"/>
        </w:numPr>
        <w:ind w:leftChars="0" w:firstLine="440"/>
        <w:jc w:val="left"/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 充值够x元可领取额外奖励</w:t>
      </w:r>
    </w:p>
    <w:p>
      <w:pPr>
        <w:pStyle w:val="6"/>
        <w:numPr>
          <w:ilvl w:val="0"/>
          <w:numId w:val="0"/>
        </w:numPr>
        <w:jc w:val="left"/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000000" w:themeColor="text1"/>
          <w:sz w:val="18"/>
          <w:szCs w:val="18"/>
          <w:u w:val="single"/>
          <w:lang w:val="en-US" w:eastAsia="zh-CN"/>
          <w14:textFill>
            <w14:solidFill>
              <w14:schemeClr w14:val="tx1"/>
            </w14:solidFill>
          </w14:textFill>
        </w:rPr>
        <w:t>注：1,2标黄任务必须有，任务条件可自由组合。</w:t>
      </w:r>
    </w:p>
    <w:p>
      <w:pPr>
        <w:pStyle w:val="6"/>
        <w:numPr>
          <w:ilvl w:val="0"/>
          <w:numId w:val="1"/>
        </w:numPr>
        <w:ind w:firstLineChars="0"/>
        <w:jc w:val="left"/>
        <w:rPr>
          <w:rFonts w:hint="eastAsia" w:ascii="微软雅黑" w:hAnsi="微软雅黑" w:eastAsia="微软雅黑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3504565</wp:posOffset>
                </wp:positionH>
                <wp:positionV relativeFrom="paragraph">
                  <wp:posOffset>70485</wp:posOffset>
                </wp:positionV>
                <wp:extent cx="1079500" cy="324485"/>
                <wp:effectExtent l="6350" t="6350" r="19050" b="12065"/>
                <wp:wrapNone/>
                <wp:docPr id="5" name="单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24485"/>
                        </a:xfrm>
                        <a:prstGeom prst="snipRoundRect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新宋体" w:hAnsi="新宋体" w:eastAsia="新宋体" w:cs="新宋体"/>
                                <w:b/>
                                <w:bCs/>
                                <w:sz w:val="21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新宋体" w:hAnsi="新宋体" w:eastAsia="新宋体" w:cs="新宋体"/>
                                <w:b/>
                                <w:bCs/>
                                <w:sz w:val="21"/>
                                <w:szCs w:val="22"/>
                                <w:lang w:val="en-US" w:eastAsia="zh-CN"/>
                              </w:rPr>
                              <w:t>详情展示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75.95pt;margin-top:5.55pt;height:25.55pt;width:85pt;z-index:251659264;v-text-anchor:middle;mso-width-relative:page;mso-height-relative:page;" fillcolor="#FFFFFF [3201]" filled="t" stroked="t" coordsize="1079500,324485" o:gfxdata="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X0y06NoAAAAJAQAADwAA&#10;AAAAAAABACAAAAAiAAAAZHJzL2Rvd25yZXYueG1sUEsBAhQAFAAAAAgAh07iQI+Rlf6GAgAA5QQA&#10;AA4AAAAAAAAAAQAgAAAAKQEAAGRycy9lMm9Eb2MueG1sUEsFBgAAAAAGAAYAWQEAACEGAAAAAA==&#10;" path="m54081,0l1025418,0,1079500,54081,1079500,324485,0,324485,0,54081c0,24213,24213,0,54081,0xe">
                <v:path textboxrect="0,0,1079500,324485" o:connectlocs="1079500,162242;539750,324485;0,162242;539750,0" o:connectangles="0,5400000,10800000,16200000"/>
                <v:fill on="t" focussize="0,0"/>
                <v:stroke weight="1pt" color="#41719C [3204]" miterlimit="8" joinstyle="miter" dashstyle="1 1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新宋体" w:hAnsi="新宋体" w:eastAsia="新宋体" w:cs="新宋体"/>
                          <w:b/>
                          <w:bCs/>
                          <w:sz w:val="21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新宋体" w:hAnsi="新宋体" w:eastAsia="新宋体" w:cs="新宋体"/>
                          <w:b/>
                          <w:bCs/>
                          <w:sz w:val="21"/>
                          <w:szCs w:val="22"/>
                          <w:lang w:val="en-US" w:eastAsia="zh-CN"/>
                        </w:rPr>
                        <w:t>详情展示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展现样式</w:t>
      </w:r>
    </w:p>
    <w:p>
      <w:pPr>
        <w:rPr>
          <w:rFonts w:hint="eastAsia"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1077595</wp:posOffset>
                </wp:positionV>
                <wp:extent cx="1079500" cy="324485"/>
                <wp:effectExtent l="6350" t="6350" r="19050" b="12065"/>
                <wp:wrapNone/>
                <wp:docPr id="4" name="单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2280" y="6445885"/>
                          <a:ext cx="1079500" cy="324485"/>
                        </a:xfrm>
                        <a:prstGeom prst="snipRoundRect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新宋体" w:hAnsi="新宋体" w:eastAsia="新宋体" w:cs="新宋体"/>
                                <w:b/>
                                <w:bCs/>
                                <w:sz w:val="21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新宋体" w:hAnsi="新宋体" w:eastAsia="新宋体" w:cs="新宋体"/>
                                <w:b/>
                                <w:bCs/>
                                <w:sz w:val="21"/>
                                <w:szCs w:val="22"/>
                                <w:lang w:val="en-US" w:eastAsia="zh-CN"/>
                              </w:rPr>
                              <w:t>专区展示列表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6.45pt;margin-top:84.85pt;height:25.55pt;width:85pt;z-index:251658240;v-text-anchor:middle;mso-width-relative:page;mso-height-relative:page;" fillcolor="#FFFFFF [3201]" filled="t" stroked="t" coordsize="1079500,324485" o:gfxdata="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zW9AotsAAAALAQAADwAAAAAAAAABACAAAAAiAAAAZHJzL2Rvd25yZXYueG1sUEsBAhQAFAAAAAgA&#10;h07iQBYlAc6UAgAA8QQAAA4AAAAAAAAAAQAgAAAAKgEAAGRycy9lMm9Eb2MueG1sUEsFBgAAAAAG&#10;AAYAWQEAADAGAAAAAA==&#10;" path="m54081,0l1025418,0,1079500,54081,1079500,324485,0,324485,0,54081c0,24213,24213,0,54081,0xe">
                <v:path textboxrect="0,0,1079500,324485" o:connectlocs="1079500,162242;539750,324485;0,162242;539750,0" o:connectangles="0,5400000,10800000,16200000"/>
                <v:fill on="t" focussize="0,0"/>
                <v:stroke weight="1pt" color="#41719C [3204]" miterlimit="8" joinstyle="miter" dashstyle="1 1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新宋体" w:hAnsi="新宋体" w:eastAsia="新宋体" w:cs="新宋体"/>
                          <w:b/>
                          <w:bCs/>
                          <w:sz w:val="21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新宋体" w:hAnsi="新宋体" w:eastAsia="新宋体" w:cs="新宋体"/>
                          <w:b/>
                          <w:bCs/>
                          <w:sz w:val="21"/>
                          <w:szCs w:val="22"/>
                          <w:lang w:val="en-US" w:eastAsia="zh-CN"/>
                        </w:rPr>
                        <w:t>专区展示列表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795270" cy="2801620"/>
            <wp:effectExtent l="0" t="0" r="5080" b="1778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80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drawing>
          <wp:inline distT="0" distB="0" distL="0" distR="0">
            <wp:extent cx="2381250" cy="4236085"/>
            <wp:effectExtent l="0" t="0" r="0" b="12065"/>
            <wp:docPr id="1" name="图片 1" descr="C:\Users\MSI\Desktop\超级游礼\游戏\1\更多游奖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MSI\Desktop\超级游礼\游戏\1\更多游奖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639" cy="4241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rFonts w:hint="eastAsia"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领取流程：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object>
          <v:shape id="_x0000_i1025" o:spt="75" type="#_x0000_t75" style="height:242.65pt;width:414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领取流程概述：</w:t>
      </w:r>
    </w:p>
    <w:p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用户点击领取</w:t>
      </w:r>
      <w:r>
        <w:rPr>
          <w:rFonts w:hint="eastAsia" w:ascii="微软雅黑" w:hAnsi="微软雅黑" w:eastAsia="微软雅黑" w:cs="微软雅黑"/>
          <w:lang w:val="en-US" w:eastAsia="zh-CN"/>
        </w:rPr>
        <w:t>----助手给CP用户所选任务编号，同时CP返回用户区服账号信息----用户选择账号并点击确认后----CP判断该账号是否符合领奖条件------【符合：若为游戏内奖励，CP直接发放，同时返回给助手发放成功】【符合：若为助手现金红包奖励，则直接返回可发奖】【不符合：直接返回不符合条件】</w:t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ascii="微软雅黑" w:hAnsi="微软雅黑" w:eastAsia="微软雅黑" w:cs="微软雅黑"/>
          <w:sz w:val="20"/>
          <w:szCs w:val="21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1"/>
          <w:highlight w:val="yellow"/>
          <w:lang w:eastAsia="zh-CN"/>
        </w:rPr>
        <w:t>任务确定：</w:t>
      </w:r>
    </w:p>
    <w:p>
      <w:pPr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需要手游与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CP协商后确定具体任务条件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，及奖励；</w:t>
      </w:r>
    </w:p>
    <w:p>
      <w:pPr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确定任务奖励后，助手与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CP确定任务唯一标识即编号；</w:t>
      </w:r>
    </w:p>
    <w:p>
      <w:pPr>
        <w:rPr>
          <w:rFonts w:hint="eastAsia" w:ascii="微软雅黑" w:hAnsi="微软雅黑" w:eastAsia="微软雅黑" w:cs="微软雅黑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highlight w:val="yellow"/>
          <w:lang w:eastAsia="zh-CN"/>
        </w:rPr>
        <w:t>技术对接：</w:t>
      </w:r>
    </w:p>
    <w:p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对接文档见，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"C:\\Users\\gaoyu-iri\\Desktop\\cp接口规范.docx"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3"/>
          <w:rFonts w:hint="eastAsia" w:ascii="微软雅黑" w:hAnsi="微软雅黑" w:eastAsia="微软雅黑" w:cs="微软雅黑"/>
          <w:lang w:val="en-US" w:eastAsia="zh-CN"/>
        </w:rPr>
        <w:t>CP接口规范文档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唐楷简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张海山锐谐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A03F8A"/>
    <w:multiLevelType w:val="multilevel"/>
    <w:tmpl w:val="37A03F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27C9"/>
    <w:rsid w:val="41CE38F2"/>
    <w:rsid w:val="6FBB4455"/>
    <w:rsid w:val="75D127C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2016-05-30T07:47:00Z</dcterms:created>
  <dc:creator>gaoyu-iri</dc:creator>
  <cp:lastModifiedBy>gaoyu-iri</cp:lastModifiedBy>
  <dcterms:modified xsi:type="dcterms:W3CDTF">2016-05-30T08:44:02Z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