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Accessoire-Interface zeigt nun die jeweiligen Tags der Accessoires an.</w:t>
      </w:r>
    </w:p>
    <w:p>
      <w:pPr>
        <w:spacing w:after="80" w:before="0"/>
      </w:pPr>
      <w:r>
        <w:rPr>
          <w:rFonts w:ascii="Calibri" w:hAnsi="Calibri" w:eastAsia="Calibri"/>
          <w:b/>
          <w:i w:val="0"/>
          <w:sz w:val="22"/>
        </w:rPr>
        <w:t>2. Shurado-Eremiten-Schriftrolle kann nun im Raum-Zeit Händler eingetauscht werden.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