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26.06.2025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26.06.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Die Obergrenze des durch die Status [Vergiftet] und [Giftig] (einschließlich nicht-immun und nicht-auflösbar) verursachten Schadens wird von 20.000 auf 25.000 angepasst.</w:t>
      </w:r>
    </w:p>
    <w:p>
      <w:pPr>
        <w:spacing w:after="80" w:before="0"/>
      </w:pPr>
      <w:r>
        <w:rPr>
          <w:rFonts w:ascii="Calibri" w:hAnsi="Calibri" w:eastAsia="Calibri"/>
          <w:b/>
          <w:i w:val="0"/>
          <w:sz w:val="22"/>
        </w:rPr>
        <w:t>2. Die Charakterressourcen von Uchiha Madara [Rinne Tensei] wurden geändert.</w:t>
      </w:r>
    </w:p>
    <w:p>
      <w:pPr>
        <w:spacing w:after="80" w:before="0"/>
      </w:pPr>
      <w:r>
        <w:rPr>
          <w:rFonts w:ascii="Calibri" w:hAnsi="Calibri" w:eastAsia="Calibri"/>
          <w:b/>
          <w:i w:val="0"/>
          <w:sz w:val="22"/>
        </w:rPr>
        <w:t>3. Die Tags [Bloodline Limit] wurden sortiert.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XVII*3, 2025 Neues Myoboku-Berg-Auswahlpaket (20)*5</w:t>
      </w:r>
    </w:p>
    <w:p>
      <w:pPr>
        <w:spacing w:after="80" w:before="0"/>
      </w:pPr>
      <w:r>
        <w:rPr>
          <w:rFonts w:ascii="Calibri" w:hAnsi="Calibri" w:eastAsia="Calibri"/>
          <w:b/>
          <w:i w:val="0"/>
          <w:sz w:val="22"/>
        </w:rPr>
        <w:t>3000 Goldbarren: Ninja-Auswahl-Sparpaket XVII*7, 2025 Neues Myoboku-Berg-Auswahlpaket (20)*15, Kostbarer Stoff*5</w:t>
      </w:r>
    </w:p>
    <w:p>
      <w:pPr>
        <w:spacing w:after="80" w:before="0"/>
      </w:pPr>
      <w:r>
        <w:rPr>
          <w:rFonts w:ascii="Calibri" w:hAnsi="Calibri" w:eastAsia="Calibri"/>
          <w:b/>
          <w:i w:val="0"/>
          <w:sz w:val="22"/>
        </w:rPr>
        <w:t>4400 Goldbarren: Ninja-Auswahl-Sparpaket XVII*10, 2025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22000 Goldbarren: Superpsychisches Biest Durchbruchstein*2, Luxus-Teamarbeitspaket*1, Kampfkraftpaket*65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Chojuro [Badeanzug]-Fragment*1(Limit: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VI*1(Limit: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Madara Uchiha-[Endkampf]-Fragment*1(Limit: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