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Проект «Apex»</w:t>
      </w:r>
    </w:p>
    <w:p>
      <w:pPr>
        <w:spacing w:after="320"/>
        <w:jc w:val="center"/>
      </w:pPr>
      <w:r>
        <w:rPr>
          <w:rFonts w:ascii="Times New Roman" w:cs="Times New Roman" w:eastAsia="Times New Roman" w:hAnsi="Times New Roman"/>
          <w:i/>
          <w:iCs/>
          <w:sz w:val="26"/>
          <w:szCs w:val="26"/>
        </w:rPr>
        <w:t xml:space="preserve">пространство для совместной работы над проектами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Дисциплина: ОСМиПА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Задание №1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Команда: Мавлютов М.Р., Никитин Е.Н., Пятков В.С., Евстифеева К.С.</w:t>
      </w:r>
    </w:p>
    <w:p>
      <w:pPr>
        <w:spacing w:after="32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31.10.2026</w:t>
      </w:r>
    </w:p>
    <w:p>
      <w:pPr>
        <w:pStyle w:val="Heading2"/>
        <w:spacing w:after="120" w:before="240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Краткая справка о продукте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Apex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- веб-приложение (SaaS), в котором небольшая команда ведёт проект целиком: проекты и направления, задачи и канбан-доска, лента дел «на сегодня», общий календарь, быстрые заметки, прогресс и достижения, фокус-режим с таймером, профиль и настройки, уведомления (в том числе через Telegram-бот). Клиент - одностраничное веб-приложение на JavaScript, сервер - REST API с сессионной авторизацией и защитой от CSRF; подключена аналитика Яндекс.Метрики; реализованы бесплатный пробный период, тарифы на 1/3/12 месяцев и приём платежей.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Целевая аудитория - команды 3-15 человек в России: студенческие и учебные проектные группы, микро-агентства и студии, малый бизнес с командой, продуктовые микро-команды. Базовая цена - 225 ₽ за участника в месяц. Текущий этап жизненного цикла проекта - производство и пилотный запуск.</w:t>
      </w:r>
    </w:p>
    <w:p>
      <w:r>
        <w:br w:type="page"/>
      </w:r>
    </w:p>
    <w:p>
      <w:pPr>
        <w:pStyle w:val="Heading1"/>
        <w:spacing w:after="180" w:before="320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30"/>
          <w:szCs w:val="30"/>
        </w:rPr>
        <w:t xml:space="preserve">Задание №1. Аннотация, бизнес-модель, объём рынка, этап проекта и дорожная карта</w:t>
      </w:r>
    </w:p>
    <w:p>
      <w:pPr>
        <w:pStyle w:val="Heading2"/>
        <w:spacing w:after="120" w:before="240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Задание 1. Аннотация продукта</w:t>
      </w:r>
    </w:p>
    <w:p>
      <w:pPr>
        <w:spacing w:after="160" w:before="80" w:line="260"/>
        <w:jc w:val="both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Формула: «A - это B для C, которое D».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Apex - это веб-пространство для совместной работы над проектами для небольших команд из 3-15 человек (студенческих проектных групп, микро-агентств и студий, малого бизнеса и продуктовых микро-команд), которое собирает задачи, канбан-доску, общий календарь, заметки и прогресс команды в одном окне, чтобы договорённости не терялись в мессенджерах, дедлайны не держались «в голове», а статус проекта был виден без планёрок и ручных отчётов.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3277"/>
        <w:gridCol w:w="4819"/>
      </w:tblGrid>
      <w:tr>
        <w:trPr>
          <w:tblHeader/>
        </w:trPr>
        <w:tc>
          <w:tcPr>
            <w:tcW w:type="dxa" w:w="1542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Элемент</w:t>
            </w:r>
          </w:p>
        </w:tc>
        <w:tc>
          <w:tcPr>
            <w:tcW w:type="dxa" w:w="3277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Содержание</w:t>
            </w:r>
          </w:p>
        </w:tc>
        <w:tc>
          <w:tcPr>
            <w:tcW w:type="dxa" w:w="4819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Пояснение</w:t>
            </w:r>
          </w:p>
        </w:tc>
      </w:tr>
      <w:tr>
        <w:trPr>
          <w:tblHeader w:val="false"/>
        </w:trPr>
        <w:tc>
          <w:tcPr>
            <w:tcW w:type="dxa" w:w="1542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 - название</w:t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Apex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Имя собственное. Продукт развивается на основе собственной кодовой базы, прошедшей полный ребрендинг.</w:t>
            </w:r>
          </w:p>
        </w:tc>
      </w:tr>
      <w:tr>
        <w:trPr>
          <w:tblHeader w:val="false"/>
        </w:trPr>
        <w:tc>
          <w:tcPr>
            <w:tcW w:type="dxa" w:w="1542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B - форма/вид продукта</w:t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Веб-приложение (SaaS) - единое пространство для ведения проектов небольшой командой: проекты/направления, задачи и канбан-доска, общий календарь, заметки, прогресс и достижения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Не «ещё один таск-трекер»: ключевая форма - одно окно, в котором закрыт весь цикл работы команды над проектом, без переключения между 3-5 сервисами. Доступно из браузера на ПК и телефоне.</w:t>
            </w:r>
          </w:p>
        </w:tc>
      </w:tr>
      <w:tr>
        <w:trPr>
          <w:tblHeader w:val="false"/>
        </w:trPr>
        <w:tc>
          <w:tcPr>
            <w:tcW w:type="dxa" w:w="1542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C - целевая аудитория</w:t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Небольшие команды 3-15 человек в России: студенческие и учебные проектные группы; микро-агентства и студии (дизайн, маркетинг, разработка, видео); малый бизнес и ИП с командой; продуктовые микро-команды внутри среднего бизнеса, которым не выдают корпоративные системы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Общий признак сегмента: проектный характер работы, отсутствие выделенного администратора инструментов и бюджета на «тяжёлое» ПО, высокая чувствительность к порогу входа.</w:t>
            </w:r>
          </w:p>
        </w:tc>
      </w:tr>
      <w:tr>
        <w:trPr>
          <w:tblHeader w:val="false"/>
        </w:trPr>
        <w:tc>
          <w:tcPr>
            <w:tcW w:type="dxa" w:w="1542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D - ценность/решаемая проблема</w:t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Проект перестаёт «разваливаться» в переписке: задачи, сроки, ответственные и договорённости лежат в одном месте, прогресс виден в любой момент, старт занимает около 10 минут без настройки процессов и без администратора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Экономический эффект для команды: меньше срывов сроков и переделок, экономия 30-60 минут в неделю на сборе статуса, цена ниже платных тарифов аналогов (225 ₽ за участника в месяц против 430-990 ₽ у сопоставимых сервисов).</w:t>
            </w:r>
          </w:p>
        </w:tc>
      </w:tr>
    </w:tbl>
    <w:p>
      <w:pPr>
        <w:pStyle w:val="Heading2"/>
        <w:spacing w:after="120" w:before="240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Задание 2. Бизнес-модель продукта (Lean Canvas)</w:t>
      </w:r>
    </w:p>
    <w:p>
      <w:pPr>
        <w:spacing w:after="160" w:before="80" w:line="260"/>
        <w:jc w:val="both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Блоки приведены в нумерации шаблона (1-9).</w:t>
      </w:r>
    </w:p>
    <w:p>
      <w:pPr>
        <w:pStyle w:val="Heading3"/>
        <w:spacing w:after="100" w:before="18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color w:val="000000"/>
          <w:sz w:val="24"/>
          <w:szCs w:val="24"/>
        </w:rPr>
        <w:t xml:space="preserve">1. Целевая аудитория продукта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Ядро (сегмент №1) - студенческие и учебные проектные команды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(3-7 человек): курсовые и дипломные проекты, хакатоны, акселераторы, студенческие стартапы. Задачи: распределить роли, не сорвать срок сдачи, показать преподавателю/куратору вклад каждого участника. Выгода: проект сдаётся в срок без авралов в последнюю ночь, а вклад участников виден и подтверждён историей задач.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Сегмент №2 - микро-агентства и студии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(дизайн, маркетинг, веб-разработка, видеопродакшн), 3-15 человек, 5-15 параллельных клиентских проектов. Задачи: держать все проекты и дедлайны в одном месте, не терять правки заказчика, видеть загрузку людей. Выгода: меньше потерянных правок и сорванных сроков, статус для клиента собирается из системы, а не из переписки.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Сегмент №3 - малый бизнес и ИП с командой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(ремонт и отделка, event, образовательные проекты, локальные услуги), 3-10 человек. Задачи: планировать работы и выезды, назначать ответственных, контролировать выполнение. Выгода: прозрачное расписание и ответственность без «ручного» контроля.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Сегмент №4 - продуктовые микро-команды внутри среднего бизнеса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(3-8 человек), которым не выделены корпоративные лицензии или чьи процессы не укладываются в тяжёлый корпоративный контур. Выгода: быстрый старт без заявки в ИТ-отдел.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Роли в принятии решения: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решение принимает и платит руководитель команды - капитан студенческой группы, владелец студии, тимлид (ЛПР и плательщик совпадают, чек небольшой, цикл сделки - часы/дни). Пользователи - все участники команды; именно они «голосуют» за продукт фактическим использованием, поэтому порог входа участника критичен. В образовательном канале влияющее лицо - преподаватель/куратор проектной деятельности: он рекомендует инструмент сразу 10-30 командам.</w:t>
      </w:r>
    </w:p>
    <w:p>
      <w:pPr>
        <w:pStyle w:val="Heading3"/>
        <w:spacing w:after="100" w:before="18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color w:val="000000"/>
          <w:sz w:val="24"/>
          <w:szCs w:val="24"/>
        </w:rPr>
        <w:t xml:space="preserve">2. Проблема целевой аудитории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Функциональные сложности.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Работа над проектом размазана по мессенджерам (Telegram, WhatsApp), Google-таблицам, заметкам в телефоне и памяти участников. Задача, поставленная в чате, живёт до следующих 50 сообщений; дедлайны хранятся в закреплённом сообщении или в голове руководителя; договорённости со встреч нигде не фиксируются. Нового участника невозможно подключить без пересказа: контекста в одном месте нет. Статус проекта собирается вручную - через планёрку или рассылку вопросов «что по твоей задаче?».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Экономические сложности.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Зрелые инструменты тарифицируются за каждого пользователя: при команде из 5-10 человек платные тарифы российских сервисов дают счёт 2 000-6 000 ₽ в месяц, а пакетные решения (например, Трекер в составе офисного пакета) - ещё больше, поскольку покупается весь пакет. Для студенческой команды и микро-бизнеса это ощутимая сумма при неочевидной отдаче, поэтому команды остаются на бесплатных тарифах с лимитами или делят один аккаунт. Отдельный фактор - уход зарубежных сервисов (Jira, Trello, Confluence) с российского рынка: оплата и доступ стали неудобными или невозможными, а миграция делалась спешно и не всегда завершилась.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Социальные и организационные сложности.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«Взрослые» трекеры требуют настройки воркфлоу, прав, досок и, фактически, администратора. В команде без выделенного менеджера внедрение ложится на одного энтузиаста: он заводит пространство, остальные продолжают писать в чат, и через две недели пространство мертво. Возникают конфликты ответственности («я думал, это делает не я»), споры о вкладе при оценке работы, и - как следствие - недоверие к инструментам вообще: «нам это не нужно, мы маленькие».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 чём это проявляется (наблюдаемые признаки):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сорванные или сдвинутые сроки, которые становятся известны в последний день;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двойная работа и потерянные правки: двое делают одно и то же, правка заказчика «утонула» в переписке;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перед сдачей проекта команда восстанавливает хронологию работ по чату и скриншотам;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на вопрос «назови три ближайших дела по проекту и ответственных» участник уходит искать ответ в чат;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- 30-60 минут в неделю руководителя уходит на сбор статуса, который система могла бы показывать сама;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событие есть в календаре, а задачи под него нет - двойной учёт дедлайнов в календаре и в списке задач.</w:t>
      </w:r>
    </w:p>
    <w:p>
      <w:pPr>
        <w:pStyle w:val="Heading3"/>
        <w:spacing w:after="100" w:before="18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color w:val="000000"/>
          <w:sz w:val="24"/>
          <w:szCs w:val="24"/>
        </w:rPr>
        <w:t xml:space="preserve">Как проблема решается сейчас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13"/>
        <w:gridCol w:w="2891"/>
        <w:gridCol w:w="4433"/>
      </w:tblGrid>
      <w:tr>
        <w:trPr>
          <w:tblHeader/>
        </w:trPr>
        <w:tc>
          <w:tcPr>
            <w:tcW w:type="dxa" w:w="2313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Текущее решение</w:t>
            </w:r>
          </w:p>
        </w:tc>
        <w:tc>
          <w:tcPr>
            <w:tcW w:type="dxa" w:w="2891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 в нём устраивает</w:t>
            </w:r>
          </w:p>
        </w:tc>
        <w:tc>
          <w:tcPr>
            <w:tcW w:type="dxa" w:w="4433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 не устраивает</w:t>
            </w:r>
          </w:p>
        </w:tc>
      </w:tr>
      <w:tr>
        <w:trPr>
          <w:tblHeader w:val="false"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Мессенджер (Telegram/WhatsApp) + закреплённые сообщения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Ноль порога входа, все уже внутри, мгновенные уведомления</w:t>
            </w:r>
          </w:p>
        </w:tc>
        <w:tc>
          <w:tcPr>
            <w:tcW w:type="dxa" w:w="44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Нет структуры и статусов, задачи теряются в потоке, нет связи с датами, невозможно увидеть картину проекта, при подключении нового человека контекст недоступен</w:t>
            </w:r>
          </w:p>
        </w:tc>
      </w:tr>
      <w:tr>
        <w:trPr>
          <w:tblHeader w:val="false"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Google-таблица или Excel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Бесплатно, гибко, привычно</w:t>
            </w:r>
          </w:p>
        </w:tc>
        <w:tc>
          <w:tcPr>
            <w:tcW w:type="dxa" w:w="44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Ручной труд, нет уведомлений и напоминаний, конфликты одновременного редактирования, нет комментариев по задаче и истории, через месяц таблица не поддерживается</w:t>
            </w:r>
          </w:p>
        </w:tc>
      </w:tr>
      <w:tr>
        <w:trPr>
          <w:tblHeader w:val="false"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Бесплатные тарифы таск-трекеров (Kaiten, YouGile, Weeek и др.)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Функционально сильные, бесплатны для малых команд</w:t>
            </w:r>
          </w:p>
        </w:tc>
        <w:tc>
          <w:tcPr>
            <w:tcW w:type="dxa" w:w="44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Лимиты (число досок, проектов, объём хранения) ломают процесс в середине работы; высокий порог настройки; календарь и заметки - отдельные модули или отсутствуют; платные тарифы считаются за каждого участника</w:t>
            </w:r>
          </w:p>
        </w:tc>
      </w:tr>
      <w:tr>
        <w:trPr>
          <w:tblHeader w:val="false"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Зарубежные сервисы (Trello, Notion, Jira)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Привычка и зрелость продукта</w:t>
            </w:r>
          </w:p>
        </w:tc>
        <w:tc>
          <w:tcPr>
            <w:tcW w:type="dxa" w:w="44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Ушли с российского рынка: сложности с оплатой и доступом, риск потери данных, нет поддержки на русском и закрывающих документов для юрлиц</w:t>
            </w:r>
          </w:p>
        </w:tc>
      </w:tr>
      <w:tr>
        <w:trPr>
          <w:tblHeader w:val="false"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Бумажный блокнот, стикеры, личные заметки в телефоне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Быстро и лично</w:t>
            </w:r>
          </w:p>
        </w:tc>
        <w:tc>
          <w:tcPr>
            <w:tcW w:type="dxa" w:w="44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Не командно: информация не видна остальным, теряется, не синхронизируется</w:t>
            </w:r>
          </w:p>
        </w:tc>
      </w:tr>
      <w:tr>
        <w:trPr>
          <w:tblHeader w:val="false"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Корпоративные системы (Битрикс24, Яндекс 360 + Трекер, 1С)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Полный охват процессов компании</w:t>
            </w:r>
          </w:p>
        </w:tc>
        <w:tc>
          <w:tcPr>
            <w:tcW w:type="dxa" w:w="44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Избыточны и дороги для команды из 5 человек, требуют администрирования и обучения, оплата пакетом за все сервисы</w:t>
            </w:r>
          </w:p>
        </w:tc>
      </w:tr>
    </w:tbl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Главный вывод: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проблема решается не отсутствием инструментов, а их неподходящим масштабом. Малые команды выбирают между «слишком просто» (чат и таблица) и «слишком сложно/дорого» (корпоративные системы и per-seat тарифы). Apex целится ровно в этот разрыв.</w:t>
      </w:r>
    </w:p>
    <w:p>
      <w:pPr>
        <w:pStyle w:val="Heading3"/>
        <w:spacing w:after="100" w:before="18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color w:val="000000"/>
          <w:sz w:val="24"/>
          <w:szCs w:val="24"/>
        </w:rPr>
        <w:t xml:space="preserve">3. Ценностное предложение (УТП)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Одно окно вместо пяти вкладок.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Задачи и канбан-доска, общий календарь, заметки, прогресс и достижения команды - в одном пространстве, со сквозными связями (заметка переносится в задачу, задача попадает в календарь, закрытая задача - в прогресс).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Старт за 10 минут без администратора.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Нет обязательной настройки воркфлоу, прав и схем: создал проект, пригласил участников по e-mail, завёл задачи - работает. Порог входа участника - один экран «на сегодня».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Цена, посильная для микро-команды.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225 ₽ за участника в месяц, бесплатный пробный период, тарифы на 3 и 12 месяцев со скидкой и явно показанной экономией, оплата российскими картами без зарубежных платёжных систем.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Прогресс виден сам.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Карточки релизов и побед, статистика по проектам: отчёт для заказчика или преподавателя не нужно собирать руками - он складывается из реальной работы команды.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Фокус-режим с таймером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внутри командного пространства: личная продуктивность и командный контекст не разнесены по разным приложениям.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Без рекламы и перегруза.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Мы сознательно не добавляем функции, которые нужны корпорациям и мешают команде из пяти человек.</w:t>
      </w:r>
    </w:p>
    <w:p>
      <w:pPr>
        <w:pStyle w:val="Heading3"/>
        <w:spacing w:after="100" w:before="18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color w:val="000000"/>
          <w:sz w:val="24"/>
          <w:szCs w:val="24"/>
        </w:rPr>
        <w:t xml:space="preserve">4. Решение: как функционирует продукт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Архитектура.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Клиент - одностраничное веб-приложение (HTML/CSS/JavaScript, модульная структура: отдельные модули проектов, задач, календаря, заметок, достижений, профиля, подписки). Сервер - REST API; аутентификация по сессионным cookie с защитой от CSRF (XSRF-токен в заголовке), таймауты и единая обработка ошибок на клиенте. Аналитика поведения - Яндекс.Метрика (вебвизор, карта кликов) для продуктовых решений.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Модель данных и основные сценарии.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Проект (направление)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- контейнер работы: цвет, иконка, участники. Приглашение участника по e-mail, общий доступ к содержимому проекта.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Задача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- статус (новая / в работе / готово / закрыта), срок, ответственный, чек-лист, комментарии с эмодзи и вложениями, связь с проектом. Полноэкранное окно обсуждения задачи.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Лента «на сегодня»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- таймлайн задач и событий текущего дня: главный ежедневный экран участника.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Календарь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- мини-календарь в сайд-баре и полноэкранный режим со всеми событиями команды: дедлайны, встречи, спринты без двойного учёта.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Заметки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- быстрая фиксация идей, решений встреч, чек-листов и ссылок с переносом в задачу одним действием.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Прогресс и достижения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- фиксация релизов и ключевых результатов, статистика закрытых задач, доля выполненного в срок.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Фокус-режим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- таймер на задачу для работы без переключений.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Профиль и настройки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- аватар, имя, e-mail, уведомления (в том числе через Telegram-бот), тёмная тема, язык интерфейса.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Подписка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- бесплатный пробный период, затем тарифы на 1/3/12 месяцев; создание платежа через платёжный шлюз, хранение статуса подписки, разграничение доступа к приложению по статусу.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Логика удержания.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Ценность растёт от количества людей в пространстве: продукт специально подталкивает к приглашению команды (без второго участника пространство бессмысленно). Поэтому ключевая продуктовая метрика - не регистрация, а приглашение хотя бы одного участника и две недели совместной активности.</w:t>
      </w:r>
    </w:p>
    <w:p>
      <w:pPr>
        <w:pStyle w:val="Heading3"/>
        <w:spacing w:after="100" w:before="18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color w:val="000000"/>
          <w:sz w:val="24"/>
          <w:szCs w:val="24"/>
        </w:rPr>
        <w:t xml:space="preserve">5. Каналы коммуникации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3470"/>
        <w:gridCol w:w="4048"/>
      </w:tblGrid>
      <w:tr>
        <w:trPr>
          <w:tblHeader/>
        </w:trPr>
        <w:tc>
          <w:tcPr>
            <w:tcW w:type="dxa" w:w="2120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Канал</w:t>
            </w:r>
          </w:p>
        </w:tc>
        <w:tc>
          <w:tcPr>
            <w:tcW w:type="dxa" w:w="3470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Почему он привычен для ЦА</w:t>
            </w:r>
          </w:p>
        </w:tc>
        <w:tc>
          <w:tcPr>
            <w:tcW w:type="dxa" w:w="4048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 делаем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Вузы и студенческие сообщества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Студенческие команды живут в чатах потоков и групп, доверяют рекомендации преподавателя и куратора проектной деятельности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Пилоты на курсах по проектной деятельности, выступления на хакатонах и акселераторах, бесплатные пространства для учебных команд, шаблон «курсовой проект». Один куратор даёт доступ сразу к 10-30 командам - самый дешёвый канал на старте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Telegram: каналы и чаты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Основная рабочая среда ЦА (продакт, дизайн, фриланс, студенчество)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Посевы и обзоры в профильных каналах, собственный канал продукта с публичным роадмапом, бот поддержки и уведомлений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Habr, VC.ru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ЦА читает истории разработки и сравнения инструментов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Статьи «как мы делали таск-трекер для своей же команды», разборы миграции с ушедших сервисов, честные сравнения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Поиск и контент (SEO)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Запросы «чем заменить Trello/Jira», «бесплатный таск-трекер для команды»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Страницы-сравнения, шаблоны пространств, инструкции миграции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VK-сообщества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Малый бизнес и студенты активно используют VK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Публикации в сообществах предпринимателей и студенческих объединений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Сарафанное радио и рефералы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Решение о инструменте принимается по рекомендации знакомого руководителя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Механика «пригласи команду - месяц бесплатно», публичные карточки достижений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Прямые касания и партнёрства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Микро-агентства находят инструменты через личные сети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Коворкинги, школы и курсы по дизайну/маркетингу/программированию, студенческие акселераторы</w:t>
            </w:r>
          </w:p>
        </w:tc>
      </w:tr>
    </w:tbl>
    <w:p>
      <w:pPr>
        <w:pStyle w:val="Heading3"/>
        <w:spacing w:after="100" w:before="18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color w:val="000000"/>
          <w:sz w:val="24"/>
          <w:szCs w:val="24"/>
        </w:rPr>
        <w:t xml:space="preserve">6. Модель монетизации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Схема: free trial → платная подписка (SaaS).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Платит руководитель команды (капитан, владелец студии, тимлид) - он же ЛПР. Базовая цена 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225 ₽ за участника в месяц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тарифы на 3 и 12 месяцев дешевле в пересчёте на месяц, экономия показывается прямо в окне выбора подписки. До оплаты - бесплатный пробный период; после его окончания доступ к приложению закрывается, данные сохраняются.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13"/>
        <w:gridCol w:w="3470"/>
        <w:gridCol w:w="3855"/>
      </w:tblGrid>
      <w:tr>
        <w:trPr>
          <w:tblHeader/>
        </w:trPr>
        <w:tc>
          <w:tcPr>
            <w:tcW w:type="dxa" w:w="2313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Источник дохода</w:t>
            </w:r>
          </w:p>
        </w:tc>
        <w:tc>
          <w:tcPr>
            <w:tcW w:type="dxa" w:w="3470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Кто и за что платит</w:t>
            </w:r>
          </w:p>
        </w:tc>
        <w:tc>
          <w:tcPr>
            <w:tcW w:type="dxa" w:w="3855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Цена / экономика</w:t>
            </w:r>
          </w:p>
        </w:tc>
      </w:tr>
      <w:tr>
        <w:trPr>
          <w:tblHeader w:val="false"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Подписка на месяц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Руководитель команды - за доступ участников к пространству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225 ₽ / участник / мес. Команда из 5 человек - 1 125 ₽/мес</w:t>
            </w:r>
          </w:p>
        </w:tc>
      </w:tr>
      <w:tr>
        <w:trPr>
          <w:tblHeader w:val="false"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Подписка на 3 месяца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Тот же плательщик, фиксирует цену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Со скидкой к месячной цене; экономия отображается в интерфейсе</w:t>
            </w:r>
          </w:p>
        </w:tc>
      </w:tr>
      <w:tr>
        <w:trPr>
          <w:tblHeader w:val="false"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Подписка на 12 месяцев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Команды с длинным проектным циклом (агентства, годовые курсы)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Максимальная скидка; даёт предоплату и улучшает кэш-флоу</w:t>
            </w:r>
          </w:p>
        </w:tc>
      </w:tr>
      <w:tr>
        <w:trPr>
          <w:tblHeader w:val="false"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Пакетный тариф «Команда» (в разработке)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Руководитель - за пакет мест (до 5 / до 15), а не за каждого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Снимает главный барьер роста команды: приглашение шестого участника не повышает счёт</w:t>
            </w:r>
          </w:p>
        </w:tc>
      </w:tr>
      <w:tr>
        <w:trPr>
          <w:tblHeader w:val="false"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Образовательные лицензии (план)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Кафедра, вуз, организатор акселератора - за пакет пространств на поток/группу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Оценочно 40-80 тыс. ₽ за семестровый пакет на поток; одновременно канал привлечения</w:t>
            </w:r>
          </w:p>
        </w:tc>
      </w:tr>
      <w:tr>
        <w:trPr>
          <w:tblHeader w:val="false"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Дополнительные опции (план)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Команды, которым нужен расширенный архив, экспорт отчётов, собственное брендирование пространства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Надбавка к подписке 15-30%</w:t>
            </w:r>
          </w:p>
        </w:tc>
      </w:tr>
    </w:tbl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Честное ограничение модели.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Прямые аналоги имеют бесплатные тарифы (YouGile - бесплатно до 10 пользователей; Weeek - до 5; у Kaiten есть бесплатный план), поэтому аргумент «мы дешевле» работает только против их платных тарифов. Отсюда вытекает решение в дорожной карте: ввести бесплатный тариф с лимитами (1 проект, до 3 участников) как вход в воронку, а монетизировать второй проект и расширение команды.</w:t>
      </w:r>
    </w:p>
    <w:p>
      <w:pPr>
        <w:pStyle w:val="Heading3"/>
        <w:spacing w:after="100" w:before="18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color w:val="000000"/>
          <w:sz w:val="24"/>
          <w:szCs w:val="24"/>
        </w:rPr>
        <w:t xml:space="preserve">7. Издержки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6"/>
        <w:gridCol w:w="4819"/>
        <w:gridCol w:w="2313"/>
      </w:tblGrid>
      <w:tr>
        <w:trPr>
          <w:tblHeader/>
        </w:trPr>
        <w:tc>
          <w:tcPr>
            <w:tcW w:type="dxa" w:w="2506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Статья</w:t>
            </w:r>
          </w:p>
        </w:tc>
        <w:tc>
          <w:tcPr>
            <w:tcW w:type="dxa" w:w="4819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Содержание</w:t>
            </w:r>
          </w:p>
        </w:tc>
        <w:tc>
          <w:tcPr>
            <w:tcW w:type="dxa" w:w="2313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Оценка на старте, ₽/мес</w:t>
            </w:r>
          </w:p>
        </w:tc>
      </w:tr>
      <w:tr>
        <w:trPr>
          <w:tblHeader w:val="false"/>
        </w:trP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Разработка и поддержка продукта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Команда проекта (4 человека, совмещение с учёбой). В денежной оценке - альтернативная стоимость времени 2 разработчиков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фактических / ~160 000 альтернативных</w:t>
            </w:r>
          </w:p>
        </w:tc>
      </w:tr>
      <w:tr>
        <w:trPr>
          <w:tblHeader w:val="false"/>
        </w:trP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Инфраструктура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VPS/облако, база данных, бэкапы, объектное хранилище для вложений, домен, сертификат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3 000 - 8 000</w:t>
            </w:r>
          </w:p>
        </w:tc>
      </w:tr>
      <w:tr>
        <w:trPr>
          <w:tblHeader w:val="false"/>
        </w:trP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Платёжный шлюз и расчёты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Комиссия эквайринга 2,5-3,5% с оборота, расчётный счёт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2,5-3,5% оборота + 0-1 500</w:t>
            </w:r>
          </w:p>
        </w:tc>
      </w:tr>
      <w:tr>
        <w:trPr>
          <w:tblHeader w:val="false"/>
        </w:trP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Юридическое обеспечение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Регистрация юрлица/ИП, оферта, лицензионное соглашение, политика конфиденциальности, уведомление оператора персональных данных по 152-ФЗ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10 000 - 30 000 разово</w:t>
            </w:r>
          </w:p>
        </w:tc>
      </w:tr>
      <w:tr>
        <w:trPr>
          <w:tblHeader w:val="false"/>
        </w:trP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Бухгалтерия и отчётность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Обслуживание ИП/ООО, УСН, закрывающие документы для юрлиц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2 000 - 5 000</w:t>
            </w:r>
          </w:p>
        </w:tc>
      </w:tr>
      <w:tr>
        <w:trPr>
          <w:tblHeader w:val="false"/>
        </w:trP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Маркетинг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Посевы в Telegram/VK, контент, промо-материалы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0 - 20 000</w:t>
            </w:r>
          </w:p>
        </w:tc>
      </w:tr>
      <w:tr>
        <w:trPr>
          <w:tblHeader w:val="false"/>
        </w:trP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Поддержка пользователей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Telegram-бот поддержки, разбор обращений, онбординг первых команд (делает команда проекта)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фактических</w:t>
            </w:r>
          </w:p>
        </w:tc>
      </w:tr>
      <w:tr>
        <w:trPr>
          <w:tblHeader w:val="false"/>
        </w:trP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Транзакционные уведомления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Почтовая рассылка (подтверждение регистрации, напоминания), Telegram-бот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0 - 1 500</w:t>
            </w:r>
          </w:p>
        </w:tc>
      </w:tr>
    </w:tbl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Итого денежных издержек на старте: примерно 6-35 тыс. ₽ в месяц плюс разовые юридические расходы.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Точка безубыточности по денежным расходам достигается примерно на 30-60 платящих участниках (при 225 ₽ и среднем счёте 1 000 ₽ на команду - это 7-15 платящих команд). Это делает проект устойчивым даже при медленном старте, но не окупает время команды - для этого нужен выход на 300+ платящих участников.</w:t>
      </w:r>
    </w:p>
    <w:p>
      <w:pPr>
        <w:pStyle w:val="Heading3"/>
        <w:spacing w:after="100" w:before="18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color w:val="000000"/>
          <w:sz w:val="24"/>
          <w:szCs w:val="24"/>
        </w:rPr>
        <w:t xml:space="preserve">8. Метрики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5012"/>
        <w:gridCol w:w="2506"/>
      </w:tblGrid>
      <w:tr>
        <w:trPr>
          <w:tblHeader/>
        </w:trPr>
        <w:tc>
          <w:tcPr>
            <w:tcW w:type="dxa" w:w="2120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Группа</w:t>
            </w:r>
          </w:p>
        </w:tc>
        <w:tc>
          <w:tcPr>
            <w:tcW w:type="dxa" w:w="5012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Метрика</w:t>
            </w:r>
          </w:p>
        </w:tc>
        <w:tc>
          <w:tcPr>
            <w:tcW w:type="dxa" w:w="2506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Целевое значение (12 мес.)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North Star</w:t>
            </w:r>
          </w:p>
        </w:tc>
        <w:tc>
          <w:tcPr>
            <w:tcW w:type="dxa" w:w="50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Число активных командных пространств в неделю (≥2 участника закрыли ≥1 задачу за неделю)</w:t>
            </w:r>
          </w:p>
        </w:tc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350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Активация</w:t>
            </w:r>
          </w:p>
        </w:tc>
        <w:tc>
          <w:tcPr>
            <w:tcW w:type="dxa" w:w="50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Доля зарегистрированных, создавших проект и ≥3 задачи в первые 24 часа</w:t>
            </w:r>
          </w:p>
        </w:tc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≥ 40%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Активация (командность)</w:t>
            </w:r>
          </w:p>
        </w:tc>
        <w:tc>
          <w:tcPr>
            <w:tcW w:type="dxa" w:w="50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Доля пространств, в которые пригласили ≥1 участника за первые 7 дней</w:t>
            </w:r>
          </w:p>
        </w:tc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≥ 35%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Time to First Value</w:t>
            </w:r>
          </w:p>
        </w:tc>
        <w:tc>
          <w:tcPr>
            <w:tcW w:type="dxa" w:w="50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Время от регистрации до первой закрытой задачи</w:t>
            </w:r>
          </w:p>
        </w:tc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≤ 15 минут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Вовлечение</w:t>
            </w:r>
          </w:p>
        </w:tc>
        <w:tc>
          <w:tcPr>
            <w:tcW w:type="dxa" w:w="50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WAU/MAU; среднее число активных дней участника в неделю</w:t>
            </w:r>
          </w:p>
        </w:tc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≥ 35%; ≥ 3 дня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Удержание</w:t>
            </w:r>
          </w:p>
        </w:tc>
        <w:tc>
          <w:tcPr>
            <w:tcW w:type="dxa" w:w="50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Retention D7 / D30 по пространствам</w:t>
            </w:r>
          </w:p>
        </w:tc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35% / 20%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Удержание</w:t>
            </w:r>
          </w:p>
        </w:tc>
        <w:tc>
          <w:tcPr>
            <w:tcW w:type="dxa" w:w="50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Доля «мёртвых» проектов (без активности 14 дней)</w:t>
            </w:r>
          </w:p>
        </w:tc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≤ 35%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Монетизация</w:t>
            </w:r>
          </w:p>
        </w:tc>
        <w:tc>
          <w:tcPr>
            <w:tcW w:type="dxa" w:w="50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Конверсия пробный период → оплата</w:t>
            </w:r>
          </w:p>
        </w:tc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≥ 12%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Монетизация</w:t>
            </w:r>
          </w:p>
        </w:tc>
        <w:tc>
          <w:tcPr>
            <w:tcW w:type="dxa" w:w="50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MRR; ARPA (средний чек на команду)</w:t>
            </w:r>
          </w:p>
        </w:tc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350 000 ₽; 1 100 ₽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Монетизация</w:t>
            </w:r>
          </w:p>
        </w:tc>
        <w:tc>
          <w:tcPr>
            <w:tcW w:type="dxa" w:w="50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Месячный отток платящих (churn)</w:t>
            </w:r>
          </w:p>
        </w:tc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≤ 8%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Юнит-экономика</w:t>
            </w:r>
          </w:p>
        </w:tc>
        <w:tc>
          <w:tcPr>
            <w:tcW w:type="dxa" w:w="50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LTV / CAC</w:t>
            </w:r>
          </w:p>
        </w:tc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≥ 3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Качество</w:t>
            </w:r>
          </w:p>
        </w:tc>
        <w:tc>
          <w:tcPr>
            <w:tcW w:type="dxa" w:w="50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Доля ошибок API (5xx) от числа запросов; доступность сервиса</w:t>
            </w:r>
          </w:p>
        </w:tc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&lt; 1%; ≥ 99,5%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Лояльность</w:t>
            </w:r>
          </w:p>
        </w:tc>
        <w:tc>
          <w:tcPr>
            <w:tcW w:type="dxa" w:w="50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NPS по опросу в продукте</w:t>
            </w:r>
          </w:p>
        </w:tc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≥ 40</w:t>
            </w:r>
          </w:p>
        </w:tc>
      </w:tr>
    </w:tbl>
    <w:p>
      <w:pPr>
        <w:pStyle w:val="Heading3"/>
        <w:spacing w:after="100" w:before="18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color w:val="000000"/>
          <w:sz w:val="24"/>
          <w:szCs w:val="24"/>
        </w:rPr>
        <w:t xml:space="preserve">9. Нечестное преимущество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Начнём с честной рамки: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классического «нечестного» преимущества - патента, эксклюзивного доступа к данным или сетевого эффекта масштаба - у проекта нет.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Рынок конкурентный, функции воспроизводимы. То, что реально трудно скопировать конкурентам, выглядит так: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Собственная завершённая кодовая база и инфраструктура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(клиент, REST-бэкенд, авторизация, подписки и приём платежей), уже прошедшая полный ребрендинг и перестройку интерфейса. Это не идея, а работающий продукт: скорость итераций - дни, без согласований и релизных поездов.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Доступ к «родной» аудитории и доверие в ней.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Мы сами - студенческая проектная команда: у нас есть вход в вузовскую среду, кураторов проектной деятельности и студенческие сообщества. Крупному игроку этот канал стоит дорого (отдел продаж в образование), а нам он доступен почти бесплатно и работает на рекомендации, а не на рекламу.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Позиционный конфликт для конкурентов.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Наш ключевой ход - дешёвое место и будущий пакетный тариф «за команду». Для сервисов с выручкой на per-seat модели копирование означает каннибализацию собственной выручки на основном сегменте - им это невыгодно делать быстро.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Накопленный фидбэк и шаблоны пространств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первых команд (курсовой проект, клиентский проект агентства, подготовка мероприятия). Чем больше пилотов, тем точнее шаблоны «из коробки» - а это именно то, что снимает порог входа и не копируется чтением нашего лендинга.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Скорость и дешевизна эксплуатации.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Команда из четырёх человек без офиса и штата поддержки безубыточна на 7-15 платящих командах; конкурент с зарплатным фондом не может позволить себе работать в такой нише с такой ценой.</w:t>
      </w:r>
    </w:p>
    <w:p>
      <w:pPr>
        <w:pStyle w:val="Heading2"/>
        <w:spacing w:after="120" w:before="240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Задание 3. Объём рынка: TAM, SAM, SOM</w:t>
      </w:r>
    </w:p>
    <w:p>
      <w:pPr>
        <w:spacing w:after="160" w:before="80" w:line="260"/>
        <w:jc w:val="both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Допущения расчёта: курс 80 ₽ за 1 $; цена продукта 225 ₽ за участника в месяц (2 700 ₽ в год); средняя платящая команда - 5 участников, т. е. ARPA ≈ 1 125 ₽/мес или 13 500 ₽/год. Источники данных указаны после каждого расчёта.</w:t>
      </w:r>
    </w:p>
    <w:p>
      <w:pPr>
        <w:pStyle w:val="Heading3"/>
        <w:spacing w:after="100" w:before="18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color w:val="000000"/>
          <w:sz w:val="24"/>
          <w:szCs w:val="24"/>
        </w:rPr>
        <w:t xml:space="preserve">TAM (Total Addressable Market) - весь мировой рынок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Способ 1 (сверху вниз, по оценкам рынка ПО для управления проектами).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Разные аналитические агентства оценивают мировой рынок ПО для управления проектами в 2025 году от 7,24 млрд $ (Mordor Intelligence, прогноз роста до 12,02 млрд $ к 2030 году, CAGR 10,7%) до 11,91 млрд $ (Fortune Business Insights, прогноз 45,19 млрд $ к 2034 году). Промежуточные оценки - около 9-10 млрд $. Отраслевые публикации TAdviser фиксируют рост мирового рынка на 12,2% за год и объём около 8,6 млрд $.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TAM = 7,2-11,9 млрд $ = 580-950 млрд ₽ в год.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Рабочая (консервативная) оценка: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600 млрд ₽ в год.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Способ 2 (снизу вверх, проверка порядка величины).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По оценкам Всемирного банка и IFC, в мире насчитывается около 400 млн малых и средних предприятий. Доля тех, чья работа носит проектный характер и в команде есть минимум 3 человека, умственно занятых (ИТ, маркетинг, дизайн, консалтинг, медиа, образование, проектирование), - порядка 10%, то есть ≈ 40 млн команд. При среднем числе платных мест 5 и годовой цене 2 700 ₽ за место: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40 млн команд × 5 мест × 2 700 ₽ =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540 млрд ₽ в год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что совпадает по порядку с оценкой сверху вниз (расхождение менее 10%). Значит, оценка TAM устойчива.</w:t>
      </w:r>
    </w:p>
    <w:p>
      <w:pPr>
        <w:spacing w:after="160" w:before="80" w:line="260"/>
        <w:jc w:val="both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Источники: Mordor Intelligence и Fortune Business Insights (обзоры рынка Project Management Software, 2025-2026); TAdviser, «Системы управления проектами (мировой рынок)»; World Bank / IFC - оценка числа МСП в мире.</w:t>
      </w:r>
    </w:p>
    <w:p>
      <w:pPr>
        <w:pStyle w:val="Heading3"/>
        <w:spacing w:after="100" w:before="18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color w:val="000000"/>
          <w:sz w:val="24"/>
          <w:szCs w:val="24"/>
        </w:rPr>
        <w:t xml:space="preserve">SAM (Serviceable Available Market) - доступный нам рынок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География и сегмент.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Apex в обозримом горизонте может быть представлен только на русскоязычном рынке (в первую очередь Россия, частично Беларусь и Казахстан) и только в сегменте небольших команд на SaaS-модели. Ограничиваем TAM по следующим причинам: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 исключаем из TAM</w:t>
            </w:r>
          </w:p>
        </w:tc>
        <w:tc>
          <w:tcPr>
            <w:tcW w:type="dxa" w:w="6747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Причина исключения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Зарубежные рынки (США, ЕС, Азия)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Нет англоязычной локализации, маркетинга и поддержки; нет возможности принимать платежи международными платёжными системами; требования GDPR; конкуренция с Asana/Monday/ClickUp при нулевом бюджете на привлечение - вход экономически недоступен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Корпоративный и государственный сегмент РФ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Требуются on-premise-поставка, присутствие в реестре отечественного ПО, интеграция с Active Directory и 1С, аттестация по 152-ФЗ, SLA и техподдержка 24/7, конкурсные процедуры. У проекта нет ни юрлица в текущем виде, ни сертификации - это 60-65% денег российского рынка систем управления проектами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Крупные портфельные внедрения (EPM/PPM) и консалтинг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Выручка формируется услугами внедрения, а не лицензиями; требуется штат консультантов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Самозанятые-одиночки (большая часть 4,6 млн ИП)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Продукт командный: ценность для одного пользователя низкая, он закрывается заметками в телефоне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Отрасли с жёсткими требованиями к ПО (банки, медицина, оборонка)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Требования к защите данных и аттестации инфраструктуры, которые проект пока не выполняет</w:t>
            </w:r>
          </w:p>
        </w:tc>
      </w:tr>
    </w:tbl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Способ 1 (сверху вниз).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По оценке Naumen, объём российского рынка систем управления проектами составил 6 млрд ₽ в 2024 году с прогнозом 6,6 млрд ₽ на 2025 год; сегмент таск-трекеров в 2024 году - 2,4 млрд ₽. Directum и «Корус Консалтинг» оценивают рынок 2025 года в 6,5-7 млрд ₽ (без услуг внедрения). Если из сегмента задач и трекеров (2,4-3,0 млрд ₽) исключить корпоративные и госвнедрения (≈60-65%), на SaaS для малых команд остаётся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0,9-1,2 млрд ₽ в год.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Способ 2 (снизу вверх).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По данным Единого реестра ФНС (обновление июля 2026 года) в России 6,6 млн субъектов МСП, из них около 2,0 млн юридических лиц и 4,6 млн индивидуальных предпринимателей; Минэкономразвития на начало 2026 года сообщало о 6,835 млн субъектов - исторический максимум. Берём 2,0 млн юрлиц-МСП как базу «команд с сотрудниками». Доля организаций с проектным характером работы и штатом от 3 человек - около 20% →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400 тыс. потенциальных команд.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При ARPA 13 500 ₽/год теоретический потолок = 400 тыс. × 13 500 ₽ =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5,4 млрд ₽.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Применяем коэффициент доступности 1/3: примерно две трети таких организаций уже находятся в экосистемах (Битрикс24, Яндекс 360, 1С) либо принципиально не выделяют отдельный бюджет на трекер. Получаем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1,8 млрд ₽ в год.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Итоговая рабочая оценка SAM = 1,8 млрд ₽ в год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(диапазон 0,9-1,8 млрд ₽; берём верхнюю границу, так как в SAM мы включаем ещё и образовательный сегмент - оценочно 25-30 тыс. активных студенческих проектных команд, монетизируемых через лицензии вузам). Это около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0,3% TAM.</w:t>
      </w:r>
    </w:p>
    <w:p>
      <w:pPr>
        <w:spacing w:after="160" w:before="80" w:line="260"/>
        <w:jc w:val="both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Источники: Naumen, «Крупный бизнес не спешит переходить на российское ПО для управления проектами» (оценка рынка 2024-2025); TAdviser, раздел «Системы управления проектами»; ФНС России, Единый реестр субъектов МСП (обновление 10.07.2026); Минэкономразвития РФ, данные о числе субъектов МСП на январь 2026 года.</w:t>
      </w:r>
    </w:p>
    <w:p>
      <w:pPr>
        <w:pStyle w:val="Heading3"/>
        <w:spacing w:after="100" w:before="18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color w:val="000000"/>
          <w:sz w:val="24"/>
          <w:szCs w:val="24"/>
        </w:rPr>
        <w:t xml:space="preserve">SOM (Serviceable Obtainable Market) - что реально взять за первый год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Ресурсы: команда 4 человека с совмещением учёбы и работы, маркетинговый бюджет 0-20 тыс. ₽ в месяц, отсутствие отдела продаж, продукт в стадии пилотного запуска. Расчёт ведём по воронке: визиты → регистрации → запуск пространства (пробный период) → оплата, с учётом средней длительности подписки в первом году.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3373"/>
        <w:gridCol w:w="3373"/>
      </w:tblGrid>
      <w:tr>
        <w:trPr>
          <w:tblHeader/>
        </w:trPr>
        <w:tc>
          <w:tcPr>
            <w:tcW w:type="dxa" w:w="2891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Параметр воронки</w:t>
            </w:r>
          </w:p>
        </w:tc>
        <w:tc>
          <w:tcPr>
            <w:tcW w:type="dxa" w:w="3373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Консервативный сценарий</w:t>
            </w:r>
          </w:p>
        </w:tc>
        <w:tc>
          <w:tcPr>
            <w:tcW w:type="dxa" w:w="3373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Оптимистичный сценарий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Визиты на лендинг за год</w:t>
            </w:r>
          </w:p>
        </w:tc>
        <w:tc>
          <w:tcPr>
            <w:tcW w:type="dxa" w:w="337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25 000 (органика, вузовские пилоты, точечные посевы)</w:t>
            </w:r>
          </w:p>
        </w:tc>
        <w:tc>
          <w:tcPr>
            <w:tcW w:type="dxa" w:w="337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70 000 (сработали вузовские партнёрства, 2 материала на Habr/VC, рост органического поиска)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Конверсия визит → регистрация</w:t>
            </w:r>
          </w:p>
        </w:tc>
        <w:tc>
          <w:tcPr>
            <w:tcW w:type="dxa" w:w="337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8% → 2 000 регистраций</w:t>
            </w:r>
          </w:p>
        </w:tc>
        <w:tc>
          <w:tcPr>
            <w:tcW w:type="dxa" w:w="337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9% → 6 300 регистраций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Конверсия регистрация → запуск пространства (trial)</w:t>
            </w:r>
          </w:p>
        </w:tc>
        <w:tc>
          <w:tcPr>
            <w:tcW w:type="dxa" w:w="337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45% → 900 команд</w:t>
            </w:r>
          </w:p>
        </w:tc>
        <w:tc>
          <w:tcPr>
            <w:tcW w:type="dxa" w:w="337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55% → 3 465 команд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Конверсия trial → оплата</w:t>
            </w:r>
          </w:p>
        </w:tc>
        <w:tc>
          <w:tcPr>
            <w:tcW w:type="dxa" w:w="337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10% → 90 платящих команд</w:t>
            </w:r>
          </w:p>
        </w:tc>
        <w:tc>
          <w:tcPr>
            <w:tcW w:type="dxa" w:w="337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13% → 450 платящих команд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ARPA (средний чек команды в месяц)</w:t>
            </w:r>
          </w:p>
        </w:tc>
        <w:tc>
          <w:tcPr>
            <w:tcW w:type="dxa" w:w="337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900 ₽ (4 места)</w:t>
            </w:r>
          </w:p>
        </w:tc>
        <w:tc>
          <w:tcPr>
            <w:tcW w:type="dxa" w:w="337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1 150 ₽ (5 мест, часть на годовых тарифах)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Средняя длительность подписки в первом году</w:t>
            </w:r>
          </w:p>
        </w:tc>
        <w:tc>
          <w:tcPr>
            <w:tcW w:type="dxa" w:w="337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6 месяцев</w:t>
            </w:r>
          </w:p>
        </w:tc>
        <w:tc>
          <w:tcPr>
            <w:tcW w:type="dxa" w:w="337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8 месяцев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Выручка от подписок за год</w:t>
            </w:r>
          </w:p>
        </w:tc>
        <w:tc>
          <w:tcPr>
            <w:tcW w:type="dxa" w:w="337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90 × 900 ₽ × 6 =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486 000 ₽</w:t>
            </w:r>
          </w:p>
        </w:tc>
        <w:tc>
          <w:tcPr>
            <w:tcW w:type="dxa" w:w="337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450 × 1 150 ₽ × 8 =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4 140 000 ₽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Образовательные лицензии</w:t>
            </w:r>
          </w:p>
        </w:tc>
        <w:tc>
          <w:tcPr>
            <w:tcW w:type="dxa" w:w="337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₽</w:t>
            </w:r>
          </w:p>
        </w:tc>
        <w:tc>
          <w:tcPr>
            <w:tcW w:type="dxa" w:w="337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 пакета по 60 000 ₽ =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120 000 ₽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SOM, ₽/год</w:t>
            </w:r>
          </w:p>
        </w:tc>
        <w:tc>
          <w:tcPr>
            <w:tcW w:type="dxa" w:w="337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≈ 0,5 млн ₽</w:t>
            </w:r>
          </w:p>
        </w:tc>
        <w:tc>
          <w:tcPr>
            <w:tcW w:type="dxa" w:w="337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≈ 4,3 млн ₽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SOM, % от SAM (1,8 млрд ₽)</w:t>
            </w:r>
          </w:p>
        </w:tc>
        <w:tc>
          <w:tcPr>
            <w:tcW w:type="dxa" w:w="337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≈ 0,03%</w:t>
            </w:r>
          </w:p>
        </w:tc>
        <w:tc>
          <w:tcPr>
            <w:tcW w:type="dxa" w:w="337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≈ 0,24%</w:t>
            </w:r>
          </w:p>
        </w:tc>
      </w:tr>
    </w:tbl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Ключевые драйверы роста SOM: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вузовский канал: один куратор проектной деятельности = 10-30 команд за семестр при нулевой стоимости привлечения;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шаблоны готовых пространств («курсовой проект», «клиентский проект агентства», «подготовка мероприятия»), сокращающие время до первой ценности до 10-15 минут;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реферальная механика «пригласи команду - месяц бесплатно»: продукт по своей природе вирусен внутри команды (участник видит систему до того, как начнёт за неё платить);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ценовой разрыв с платными тарифами аналогов (225 ₽ против 430-990 ₽ за пользователя) при оплате российскими картами;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незавершённая миграция команд с ушедших зарубежных сервисов - спрос на простую замену Trello сохраняется;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Ключевые риски, снижающие SOM: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Бесплатные тарифы конкурентов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(YouGile - до 10 пользователей бесплатно, Weeek - до 5, бесплатный план Kaiten) обнуляют ценовой аргумент: вероятность высокая, влияние высокое. Ответ: собственный бесплатный тариф с лимитами и монетизация роста команды;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отсутствие юрлица и закрывающих документов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закрывает B2B-продажи по безналу (агентства и вузы платят по счёту): вероятность высокая, влияние высокое. Ответ - первоочередной пункт дорожной карты;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продукт ещё не выведен в промышленный контур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(клиент обращается к API по локальному адресу, часть юридических страниц содержит реквизиты предыдущего правообладателя): без этого платный трафик лить нельзя;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скорость разработки команды из четырёх совмещающих учёбу человек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- главный ограничитель; срыв сроков по пакетному тарифу сдвигает всю монетизацию;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сезонность учебного канала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летний провал активности студенческих команд (июнь-август) даёт отток до 30% в этом сегменте;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зависимость от платёжного шлюза и требований 152-ФЗ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(уведомление оператора персональных данных, хранение данных в РФ);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низкое доверие к новому бренду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без кейсов: первые 10-15 публичных историй команд критичны для конверсии.</w:t>
      </w:r>
    </w:p>
    <w:p>
      <w:pPr>
        <w:pStyle w:val="Heading2"/>
        <w:spacing w:after="120" w:before="240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Задание 4. Диагностика проекта: на каком этапе он находится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Вывод: проект находится на 4-м этапе - «Производство и пилотный запуск», при незакрытых «хвостах» 3-го этапа («Разработка и дизайн»).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Это промежуточное положение: продукт функционально готов и используется, но к коммерциализации (этап 5) он не допущен из-за организационно-технических незавершённостей.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1928"/>
        <w:gridCol w:w="5012"/>
        <w:gridCol w:w="1157"/>
      </w:tblGrid>
      <w:tr>
        <w:trPr>
          <w:tblHeader/>
        </w:trPr>
        <w:tc>
          <w:tcPr>
            <w:tcW w:type="dxa" w:w="1542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Этап</w:t>
            </w:r>
          </w:p>
        </w:tc>
        <w:tc>
          <w:tcPr>
            <w:tcW w:type="dxa" w:w="1928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Признаки этапа</w:t>
            </w:r>
          </w:p>
        </w:tc>
        <w:tc>
          <w:tcPr>
            <w:tcW w:type="dxa" w:w="5012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Факт по проекту Apex</w:t>
            </w:r>
          </w:p>
        </w:tc>
        <w:tc>
          <w:tcPr>
            <w:tcW w:type="dxa" w:w="1157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Статус</w:t>
            </w:r>
          </w:p>
        </w:tc>
      </w:tr>
      <w:tr>
        <w:trPr>
          <w:tblHeader w:val="false"/>
        </w:trPr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1. Идея и концепция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Сформулирована проблема, ЦА, ценностное предложение; нет кода</w:t>
            </w:r>
          </w:p>
        </w:tc>
        <w:tc>
          <w:tcPr>
            <w:tcW w:type="dxa" w:w="50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Пройдено: концепция, аннотация продукта, сегменты и позиционирование определены и переформулированы при ребрендинге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Завершён</w:t>
            </w:r>
          </w:p>
        </w:tc>
      </w:tr>
      <w:tr>
        <w:trPr>
          <w:tblHeader w:val="false"/>
        </w:trPr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2. Исследование и разработка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Анализ конкурентов, выбор технологий, прототип, проверка реализуемости</w:t>
            </w:r>
          </w:p>
        </w:tc>
        <w:tc>
          <w:tcPr>
            <w:tcW w:type="dxa" w:w="50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Пройдено: выбран стек (SPA на JavaScript + REST-бэкенд, cookie-сессии с защитой от CSRF), собран работающий прототип всех ключевых модулей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Завершён</w:t>
            </w:r>
          </w:p>
        </w:tc>
      </w:tr>
      <w:tr>
        <w:trPr>
          <w:tblHeader w:val="false"/>
        </w:trPr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3. Разработка и дизайн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Полная функциональность, законченный интерфейс, единая дизайн-система, доступность</w:t>
            </w:r>
          </w:p>
        </w:tc>
        <w:tc>
          <w:tcPr>
            <w:tcW w:type="dxa" w:w="50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Пройдено в основном: реализованы проекты, задачи и доска, календарь, заметки, достижения, профиль, подписки и оплата; выполнен ребрендинг лендинга и приложения, введена тёмная тема, шкала типографики на clamp(), контраст текста 15,6:1 (выше требований AA), минимальная высота кнопок 44 px, состояния :focus-visible, поддержка prefers-reduced-motion.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Не закрыто: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часть страниц и файлов не переведена на новый бренд, остались устаревшие текстовые литералы и имена ассетов, не удалены неиспользуемые страницы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Закрыт на ~85%</w:t>
            </w:r>
          </w:p>
        </w:tc>
      </w:tr>
      <w:tr>
        <w:trPr>
          <w:tblHeader w:val="false"/>
        </w:trPr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4. Производство и пилотный запуск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Продукт развёрнут, им пользуются реальные пользователи, собирается аналитика и обратная связь, работает приём платежей</w:t>
            </w:r>
          </w:p>
        </w:tc>
        <w:tc>
          <w:tcPr>
            <w:tcW w:type="dxa" w:w="50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Текущий этап: подключена аналитика (Яндекс.Метрика с вебвизором и картой кликов), работает регистрация, пробный период, выбор тарифа и создание платежа, работает Telegram-бот поддержки, продукт защищался и оценивался.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Ограничения: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клиент обращается к API по локальному адресу - промышленный контур не настроен; юридические страницы (лицензия, оферта, политика конфиденциальности) содержат реквизиты предыдущего правообладателя; юрлицо под новый бренд не оформлено; нет сбора продуктовых метрик удержания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 работе</w:t>
            </w:r>
          </w:p>
        </w:tc>
      </w:tr>
      <w:tr>
        <w:trPr>
          <w:tblHeader w:val="false"/>
        </w:trPr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5. Коммерциализация и масштабирование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Платный трафик, выстроенная воронка, повторяемые продажи, рост MRR</w:t>
            </w:r>
          </w:p>
        </w:tc>
        <w:tc>
          <w:tcPr>
            <w:tcW w:type="dxa" w:w="50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Не начат: нет юрлица и закрывающих документов, не настроена воронка и сквозная аналитика, нет цели по MRR и бюджета на привлечение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Не начат</w:t>
            </w:r>
          </w:p>
        </w:tc>
      </w:tr>
      <w:tr>
        <w:trPr>
          <w:tblHeader w:val="false"/>
        </w:trPr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6. Поддержка и улучшение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Регулярные релизы по обратной связи, SLA, работа с оттоком</w:t>
            </w:r>
          </w:p>
        </w:tc>
        <w:tc>
          <w:tcPr>
            <w:tcW w:type="dxa" w:w="50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Частично: релизы идут, но процесс обратной связи и работы с оттоком не формализован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Не начат</w:t>
            </w:r>
          </w:p>
        </w:tc>
      </w:tr>
    </w:tbl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Почему именно 4-й этап, а не 3-й и не 5-й.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3-го этапа проект отличает наличие работающего приёма платежей, подключённой аналитики, публикации в магазине приложений и реальных пользователей - это признаки пилотного запуска, а не разработки. До 5-го этапа проект не дотягивает потому, что коммерциализация технически невозможна: без промышленного контура и юридических документов нельзя ни лить платный трафик, ни продавать юрлицам по счёту, ни корректно обрабатывать персональные данные.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Что нужно сделать, чтобы закрыть этап 4 и перейти к этапу 5 (критерии выхода):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вывести API и клиент в промышленный контур (домен, HTTPS, отдельная база, бэкапы, мониторинг доступности);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оформить юрлицо или ИП, переписать лицензионное соглашение, оферту и политику конфиденциальности под новый бренд, подать уведомление оператора персональных данных;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завершить ребрендинг всех страниц и ассетов, удалить неиспользуемые файлы;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настроить продуктовую аналитику по воронке активации и удержания (а не только посещаемость);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провести 8-12 проблемных интервью и 3-5 пилотов на реальных командах, получить первые 10 платящих команд;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подтвердить работоспособность платёжного сценария на реальных платежах (включая возвраты и продления).</w:t>
      </w:r>
    </w:p>
    <w:p>
      <w:pPr>
        <w:pStyle w:val="Heading2"/>
        <w:spacing w:after="120" w:before="240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Задание 5. Дорожная карта проекта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Горизонт - 12 месяцев (ноябрь 2026 - октябрь 2027). Карта построена по принципу «сначала то, что разблокирует деньги и доверие, потом рост функциональности».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3"/>
        <w:gridCol w:w="1638"/>
        <w:gridCol w:w="2891"/>
        <w:gridCol w:w="2217"/>
        <w:gridCol w:w="1638"/>
      </w:tblGrid>
      <w:tr>
        <w:trPr>
          <w:tblHeader/>
        </w:trPr>
        <w:tc>
          <w:tcPr>
            <w:tcW w:type="dxa" w:w="1253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Период</w:t>
            </w:r>
          </w:p>
        </w:tc>
        <w:tc>
          <w:tcPr>
            <w:tcW w:type="dxa" w:w="1638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Этап и цель</w:t>
            </w:r>
          </w:p>
        </w:tc>
        <w:tc>
          <w:tcPr>
            <w:tcW w:type="dxa" w:w="2891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Ключевые работы</w:t>
            </w:r>
          </w:p>
        </w:tc>
        <w:tc>
          <w:tcPr>
            <w:tcW w:type="dxa" w:w="2217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Результат / критерий готовности</w:t>
            </w:r>
          </w:p>
        </w:tc>
        <w:tc>
          <w:tcPr>
            <w:tcW w:type="dxa" w:w="1638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Метрика</w:t>
            </w:r>
          </w:p>
        </w:tc>
      </w:tr>
      <w:tr>
        <w:trPr>
          <w:tblHeader w:val="false"/>
        </w:trPr>
        <w:tc>
          <w:tcPr>
            <w:tcW w:type="dxa" w:w="12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Ноябрь 2026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Спринт 0. Закрыть «хвосты» разработки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Завершить ребрендинг всех страниц и ассетов; удалить неиспользуемые файлы; переписать текстовые литералы; привести версионирование статики к единому виду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 проекте не осталось упоминаний прежнего бренда и «мёртвых» страниц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Чек-лист ребрендинга закрыт на 100%</w:t>
            </w:r>
          </w:p>
        </w:tc>
      </w:tr>
      <w:tr>
        <w:trPr>
          <w:tblHeader w:val="false"/>
        </w:trPr>
        <w:tc>
          <w:tcPr>
            <w:tcW w:type="dxa" w:w="12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Ноябрь - декабрь 2026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Спринт 1. Промышленный контур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Вынести API с локального адреса на домен, настроить HTTPS, отдельную БД, бэкапы, мониторинг и алерты; разделить окружения (dev/prod)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Продукт доступен из интернета и работает устойчиво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Доступность ≥ 99,5%, доля 5xx &lt; 1%</w:t>
            </w:r>
          </w:p>
        </w:tc>
      </w:tr>
      <w:tr>
        <w:trPr>
          <w:tblHeader w:val="false"/>
        </w:trPr>
        <w:tc>
          <w:tcPr>
            <w:tcW w:type="dxa" w:w="12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Декабрь 2026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Спринт 2. Юридический контур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Регистрация ИП/ООО; новые лицензионное соглашение, оферта, политика конфиденциальности; уведомление оператора персональных данных; актуальные реквизиты и контакты в футере и приложении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Продукт можно законно продавать физлицам и юрлицам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Выставлен и оплачен первый счёт по безналу</w:t>
            </w:r>
          </w:p>
        </w:tc>
      </w:tr>
      <w:tr>
        <w:trPr>
          <w:tblHeader w:val="false"/>
        </w:trPr>
        <w:tc>
          <w:tcPr>
            <w:tcW w:type="dxa" w:w="12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Декабрь 2026 - январь 2027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Исследование. Проблемные интервью и пилоты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Провести 8-12 проблемных интервью по скрипту (Задание №3); запустить 3-5 пилотов на реальных командах; собрать дневники использования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Гипотезы проблем подтверждены или опровергнуты, приоритеты бэклога пересобраны по данным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≥ 10 интервью, ≥ 3 пилота, ≥ 5 инсайтов в бэклоге</w:t>
            </w:r>
          </w:p>
        </w:tc>
      </w:tr>
      <w:tr>
        <w:trPr>
          <w:tblHeader w:val="false"/>
        </w:trPr>
        <w:tc>
          <w:tcPr>
            <w:tcW w:type="dxa" w:w="12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Январь - февраль 2027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Спринт 3. Активация и онбординг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Шаблоны пространств («курсовой проект», «клиентский проект», «мероприятие»); приглашение участников по ссылке; подсказки первого запуска; пустые состояния с примерами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Новая команда доходит до первой закрытой задачи без помощи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TTFV ≤ 15 мин; активация ≥ 40%; приглашение участника ≥ 35%</w:t>
            </w:r>
          </w:p>
        </w:tc>
      </w:tr>
      <w:tr>
        <w:trPr>
          <w:tblHeader w:val="false"/>
        </w:trPr>
        <w:tc>
          <w:tcPr>
            <w:tcW w:type="dxa" w:w="12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Февраль - март 2027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Спринт 4. Тарифная сетка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Бесплатный тариф с лимитами (1 проект, до 3 участников); пакетный тариф «Команда» (до 5 / до 15 мест); оплата по счёту для юрлиц; промокоды и реферальная механика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Монетизация перестаёт конфликтовать с ростом команды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Конверсия trial → оплата ≥ 12%; первые 25 платящих команд</w:t>
            </w:r>
          </w:p>
        </w:tc>
      </w:tr>
      <w:tr>
        <w:trPr>
          <w:tblHeader w:val="false"/>
        </w:trPr>
        <w:tc>
          <w:tcPr>
            <w:tcW w:type="dxa" w:w="12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Март - апрель 2027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Спринт 5. Удержание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Напоминания о дедлайнах и уведомления в Telegram; дайджест по понедельникам; экспорт отчёта по проекту (PDF/CSV) для заказчика и преподавателя; еженедельная сводка прогресса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У руководителя появляется причина заходить каждую неделю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Retention D30 ≥ 20%; доля «мёртвых» проектов ≤ 35%</w:t>
            </w:r>
          </w:p>
        </w:tc>
      </w:tr>
      <w:tr>
        <w:trPr>
          <w:tblHeader w:val="false"/>
        </w:trPr>
        <w:tc>
          <w:tcPr>
            <w:tcW w:type="dxa" w:w="12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Апрель - май 2027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Спринт 6. Мобильный опыт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PWA-установка и работа офлайн-чтения; оптимизация экранов «на сегодня» и задачи под телефон; push-уведомления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Участник ведёт задачи с телефона без неудобств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Доля мобильных сессий ≥ 45%; WAU/MAU ≥ 35%</w:t>
            </w:r>
          </w:p>
        </w:tc>
      </w:tr>
      <w:tr>
        <w:trPr>
          <w:tblHeader w:val="false"/>
        </w:trPr>
        <w:tc>
          <w:tcPr>
            <w:tcW w:type="dxa" w:w="12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Май - июль 2027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Образовательный канал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Пакет лицензий для кафедр и акселераторов; методические материалы для куратора; панель преподавателя (прогресс команд потока)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Подписаны первые 2-3 вуза/акселератора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≥ 2 пакета, ≥ 40 команд из канала</w:t>
            </w:r>
          </w:p>
        </w:tc>
      </w:tr>
      <w:tr>
        <w:trPr>
          <w:tblHeader w:val="false"/>
        </w:trPr>
        <w:tc>
          <w:tcPr>
            <w:tcW w:type="dxa" w:w="12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Июль - август 2027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Спринт 7. Интеграции и API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Публичный API и вебхуки; импорт из Trello/Kaiten (CSV/JSON); подписка календаря по ссылке (iCal); интеграция с Telegram-ботом для создания задачи из чата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Снижается стоимость перехода с других сервисов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≥ 15% новых команд приходят через импорт</w:t>
            </w:r>
          </w:p>
        </w:tc>
      </w:tr>
      <w:tr>
        <w:trPr>
          <w:tblHeader w:val="false"/>
        </w:trPr>
        <w:tc>
          <w:tcPr>
            <w:tcW w:type="dxa" w:w="12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Сентябрь - октябрь 2027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Коммерциализация и масштабирование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Сквозная аналитика воронки; контент-машина (сравнения, кейсы); платные посевы при подтверждённой юнит-экономике; программа рефералов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Выход на управляемый рост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MRR ≥ 350 000 ₽; LTV/CAC ≥ 3; churn ≤ 8%</w:t>
            </w:r>
          </w:p>
        </w:tc>
      </w:tr>
    </w:tbl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Логика очерёдности.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Сначала - инфраструктура и право (без них любой маркетинг сжигает деньги и создаёт юридический риск), затем исследование (чтобы не разрабатывать не то), затем активация и тарифы (превращают пользователей в выручку), и только после подтверждённой юнит-экономики - масштабирование. Интеграции и мобильные улучшения сознательно отложены: они важны, но не блокируют ни одну проверку бизнес-модели.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Критические зависимости: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спринты 3-7 не стартуют раньше, чем закрыт промышленный контур (спринт 1); продажи юрлицам и образовательные пакеты невозможны раньше юридического контура (спринт 2); платный трафик включается только после подтверждения LTV/CAC ≥ 3 на органике.</w:t>
      </w:r>
    </w:p>
    <w:p>
      <w:r>
        <w:br w:type="page"/>
      </w:r>
    </w:p>
    <w:p>
      <w:pPr>
        <w:pStyle w:val="Heading2"/>
        <w:spacing w:after="120" w:before="240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Список источников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Mordor Intelligence. Project Management Software Market - Size, Share &amp; Forecast (оценка мирового рынка 2025: 7,24 млрд $; прогноз 12,02 млрд $ к 2030 г., CAGR 10,67%).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Fortune Business Insights. Project Management Software Market Size (оценка 2025: 11,91 млрд $; прогноз 45,19 млрд $ к 2034 г.).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TAdviser. «Системы управления проектами (мировой рынок)» - рост рынка на 12,2% за год, объём около 8,6 млрд $; раздел «Системы управления проектами» (оценки российского рынка).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Naumen. «Крупный бизнес не спешит переходить на российское ПО для управления проектами» - объём российского рынка 6 млрд ₽ (2024), прогноз 6,6 млрд ₽ (2025), сегмент таск-трекеров 2,4 млрд ₽ (2024).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ФНС России. Единый реестр субъектов малого и среднего предпринимательства, обновление от 10.07.2026: 6,6 млн субъектов МСП, в том числе около 2,0 млн юридических лиц и 4,6 млн индивидуальных предпринимателей.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Минэкономразвития России. Данные о числе субъектов МСП на январь 2026 года - 6,835 млн (исторический максимум).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World Bank / IFC. Оценка числа малых и средних предприятий в мире - около 400 млн.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Тарифы конкурентов (октябрь 2026): официальные страницы тарифов Яндекс Трекера (в составе Яндекс 360 для бизнеса), Kaiten, YouGile, WEEEK; обзоры таск-трекеров на Habr; каталоги ПО Startpack и Picktech.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Собственные данные проекта: внутренняя документация продукта, статистика посещаемости лендинга и приложения, протоколы проблемных интервью (октябрь 2026).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2026-10-31T17:37:30.135Z</dcterms:created>
  <dcterms:modified xsi:type="dcterms:W3CDTF">2026-10-31T17:37:30.135Z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