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Test Cases :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br w:type="textWrapping"/>
        <w:br w:type="textWrapping"/>
        <w:t xml:space="preserve">Using this website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https://magento.softwaretestingboard.com/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. </w:t>
        <w:br w:type="textWrapping"/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1- Search for the item “bag” and print the page title inside the result page . </w:t>
        <w:br w:type="textWrapping"/>
        <w:br w:type="textWrapping"/>
      </w: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2976563" cy="473544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7354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br w:type="textWrapping"/>
        <w:br w:type="textWrapping"/>
        <w:t xml:space="preserve">2- Print the name of the categories in the nav bar . </w:t>
        <w:br w:type="textWrapping"/>
      </w: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943600" cy="53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3- Login functionality . 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br w:type="textWrapping"/>
        <w:t xml:space="preserve">4- Filter functionality 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gento.softwaretestingboard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