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B5B3" w14:textId="2BDE8391" w:rsidR="00DE3025" w:rsidRPr="00710657" w:rsidRDefault="00DE3025" w:rsidP="00347F11">
      <w:pPr>
        <w:pStyle w:val="Default"/>
        <w:spacing w:before="240" w:after="120" w:line="276" w:lineRule="auto"/>
        <w:jc w:val="center"/>
        <w:rPr>
          <w:rFonts w:asciiTheme="majorBidi" w:hAnsiTheme="majorBidi" w:cstheme="majorBidi"/>
          <w:b/>
          <w:bCs/>
          <w:u w:val="single"/>
        </w:rPr>
      </w:pPr>
      <w:bookmarkStart w:id="0" w:name="_Hlk198050520"/>
      <w:r w:rsidRPr="00710657">
        <w:rPr>
          <w:rFonts w:asciiTheme="majorBidi" w:hAnsiTheme="majorBidi" w:cstheme="majorBidi"/>
          <w:b/>
          <w:bCs/>
          <w:noProof/>
        </w:rPr>
        <w:drawing>
          <wp:inline distT="0" distB="0" distL="0" distR="0" wp14:anchorId="126A296B" wp14:editId="7719149E">
            <wp:extent cx="4165600" cy="1010920"/>
            <wp:effectExtent l="0" t="0" r="0" b="0"/>
            <wp:docPr id="5" name="Picture 5" descr="PMU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U Letterhead"/>
                    <pic:cNvPicPr>
                      <a:picLocks noChangeAspect="1" noChangeArrowheads="1"/>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r="24059"/>
                    <a:stretch/>
                  </pic:blipFill>
                  <pic:spPr bwMode="auto">
                    <a:xfrm>
                      <a:off x="0" y="0"/>
                      <a:ext cx="4166404" cy="1011115"/>
                    </a:xfrm>
                    <a:prstGeom prst="rect">
                      <a:avLst/>
                    </a:prstGeom>
                    <a:noFill/>
                    <a:ln>
                      <a:noFill/>
                    </a:ln>
                    <a:extLst>
                      <a:ext uri="{53640926-AAD7-44D8-BBD7-CCE9431645EC}">
                        <a14:shadowObscured xmlns:a14="http://schemas.microsoft.com/office/drawing/2010/main"/>
                      </a:ext>
                    </a:extLst>
                  </pic:spPr>
                </pic:pic>
              </a:graphicData>
            </a:graphic>
          </wp:inline>
        </w:drawing>
      </w:r>
    </w:p>
    <w:p w14:paraId="0B1B6A46" w14:textId="77777777" w:rsidR="00DE3025" w:rsidRPr="00710657" w:rsidRDefault="00DE3025" w:rsidP="00347F11">
      <w:pPr>
        <w:pStyle w:val="Default"/>
        <w:spacing w:before="240" w:after="120" w:line="276" w:lineRule="auto"/>
        <w:jc w:val="center"/>
        <w:rPr>
          <w:rFonts w:asciiTheme="majorBidi" w:hAnsiTheme="majorBidi" w:cstheme="majorBidi"/>
          <w:b/>
          <w:bCs/>
          <w:u w:val="single"/>
        </w:rPr>
      </w:pPr>
    </w:p>
    <w:p w14:paraId="35C8B587" w14:textId="600FBA0A" w:rsidR="00DE3025" w:rsidRPr="00710657" w:rsidRDefault="00DE3025" w:rsidP="00347F11">
      <w:pPr>
        <w:pStyle w:val="Default"/>
        <w:spacing w:before="240" w:after="120" w:line="276" w:lineRule="auto"/>
        <w:jc w:val="center"/>
        <w:rPr>
          <w:rFonts w:asciiTheme="majorBidi" w:hAnsiTheme="majorBidi" w:cstheme="majorBidi"/>
          <w:b/>
          <w:bCs/>
          <w:sz w:val="36"/>
          <w:szCs w:val="36"/>
          <w:u w:val="single"/>
        </w:rPr>
      </w:pPr>
      <w:r w:rsidRPr="00710657">
        <w:rPr>
          <w:rFonts w:asciiTheme="majorBidi" w:hAnsiTheme="majorBidi" w:cstheme="majorBidi"/>
          <w:b/>
          <w:bCs/>
          <w:sz w:val="36"/>
          <w:szCs w:val="36"/>
          <w:u w:val="single"/>
        </w:rPr>
        <w:t>MBA 6</w:t>
      </w:r>
      <w:r w:rsidR="00271801" w:rsidRPr="00710657">
        <w:rPr>
          <w:rFonts w:asciiTheme="majorBidi" w:hAnsiTheme="majorBidi" w:cstheme="majorBidi"/>
          <w:b/>
          <w:bCs/>
          <w:sz w:val="36"/>
          <w:szCs w:val="36"/>
          <w:u w:val="single"/>
        </w:rPr>
        <w:t>112</w:t>
      </w:r>
      <w:r w:rsidRPr="00710657">
        <w:rPr>
          <w:rFonts w:asciiTheme="majorBidi" w:hAnsiTheme="majorBidi" w:cstheme="majorBidi"/>
          <w:b/>
          <w:bCs/>
          <w:sz w:val="36"/>
          <w:szCs w:val="36"/>
          <w:u w:val="single"/>
        </w:rPr>
        <w:t xml:space="preserve"> </w:t>
      </w:r>
      <w:r w:rsidR="00271801" w:rsidRPr="00710657">
        <w:rPr>
          <w:rFonts w:asciiTheme="majorBidi" w:hAnsiTheme="majorBidi" w:cstheme="majorBidi"/>
          <w:b/>
          <w:bCs/>
          <w:sz w:val="36"/>
          <w:szCs w:val="36"/>
          <w:u w:val="single"/>
        </w:rPr>
        <w:t>International Business</w:t>
      </w:r>
    </w:p>
    <w:p w14:paraId="6869AA0F" w14:textId="77777777" w:rsidR="00271801" w:rsidRPr="00710657" w:rsidRDefault="00271801" w:rsidP="00347F11">
      <w:pPr>
        <w:pStyle w:val="Default"/>
        <w:spacing w:before="240" w:after="120" w:line="276" w:lineRule="auto"/>
        <w:jc w:val="center"/>
        <w:rPr>
          <w:rFonts w:asciiTheme="majorBidi" w:hAnsiTheme="majorBidi" w:cstheme="majorBidi"/>
          <w:b/>
          <w:bCs/>
          <w:sz w:val="48"/>
          <w:szCs w:val="48"/>
        </w:rPr>
      </w:pPr>
      <w:r w:rsidRPr="00710657">
        <w:rPr>
          <w:rFonts w:asciiTheme="majorBidi" w:hAnsiTheme="majorBidi" w:cstheme="majorBidi"/>
          <w:b/>
          <w:bCs/>
          <w:sz w:val="48"/>
          <w:szCs w:val="48"/>
        </w:rPr>
        <w:t xml:space="preserve">International Market Entry Report: </w:t>
      </w:r>
    </w:p>
    <w:p w14:paraId="2784BAC5" w14:textId="3BA5F30A" w:rsidR="00271801" w:rsidRPr="00710657" w:rsidRDefault="00271801" w:rsidP="00347F11">
      <w:pPr>
        <w:pStyle w:val="Default"/>
        <w:spacing w:before="240" w:after="120" w:line="276" w:lineRule="auto"/>
        <w:jc w:val="center"/>
        <w:rPr>
          <w:rFonts w:asciiTheme="majorBidi" w:hAnsiTheme="majorBidi" w:cstheme="majorBidi"/>
          <w:b/>
          <w:bCs/>
          <w:sz w:val="48"/>
          <w:szCs w:val="48"/>
        </w:rPr>
      </w:pPr>
      <w:r w:rsidRPr="00710657">
        <w:rPr>
          <w:rFonts w:asciiTheme="majorBidi" w:hAnsiTheme="majorBidi" w:cstheme="majorBidi"/>
          <w:b/>
          <w:bCs/>
          <w:sz w:val="48"/>
          <w:szCs w:val="48"/>
        </w:rPr>
        <w:t>Almarai’s Expansion into Indonesia</w:t>
      </w:r>
    </w:p>
    <w:p w14:paraId="6FE8DB6D" w14:textId="29FDEF3C" w:rsidR="00DE3025" w:rsidRPr="00710657" w:rsidRDefault="00DE3025" w:rsidP="00347F11">
      <w:pPr>
        <w:pStyle w:val="Default"/>
        <w:spacing w:before="240" w:after="120" w:line="276" w:lineRule="auto"/>
        <w:jc w:val="center"/>
        <w:rPr>
          <w:rFonts w:asciiTheme="majorBidi" w:hAnsiTheme="majorBidi" w:cstheme="majorBidi"/>
          <w:b/>
          <w:bCs/>
        </w:rPr>
      </w:pPr>
    </w:p>
    <w:p w14:paraId="5336C734" w14:textId="77777777" w:rsidR="00DE3025" w:rsidRPr="00710657" w:rsidRDefault="00DE3025" w:rsidP="00347F11">
      <w:pPr>
        <w:autoSpaceDE w:val="0"/>
        <w:autoSpaceDN w:val="0"/>
        <w:adjustRightInd w:val="0"/>
        <w:spacing w:before="240" w:line="276" w:lineRule="auto"/>
        <w:rPr>
          <w:rFonts w:asciiTheme="majorBidi" w:hAnsiTheme="majorBidi" w:cstheme="majorBidi"/>
          <w:b/>
          <w:sz w:val="24"/>
          <w:szCs w:val="24"/>
        </w:rPr>
      </w:pPr>
    </w:p>
    <w:p w14:paraId="7784F13A" w14:textId="3C9043DB" w:rsidR="00DE3025" w:rsidRPr="00710657" w:rsidRDefault="00DE3025" w:rsidP="00347F11">
      <w:pPr>
        <w:autoSpaceDE w:val="0"/>
        <w:autoSpaceDN w:val="0"/>
        <w:adjustRightInd w:val="0"/>
        <w:spacing w:before="240" w:line="276" w:lineRule="auto"/>
        <w:rPr>
          <w:rFonts w:asciiTheme="majorBidi" w:hAnsiTheme="majorBidi" w:cstheme="majorBidi"/>
          <w:sz w:val="24"/>
          <w:szCs w:val="24"/>
        </w:rPr>
      </w:pPr>
    </w:p>
    <w:p w14:paraId="42272805" w14:textId="0F23B97D" w:rsidR="00DE3025" w:rsidRPr="00710657" w:rsidRDefault="00DE3025" w:rsidP="00347F11">
      <w:pPr>
        <w:spacing w:before="240" w:line="276" w:lineRule="auto"/>
        <w:rPr>
          <w:rFonts w:asciiTheme="majorBidi" w:hAnsiTheme="majorBidi" w:cstheme="majorBidi"/>
          <w:iCs/>
          <w:sz w:val="24"/>
          <w:szCs w:val="24"/>
        </w:rPr>
      </w:pPr>
      <w:r w:rsidRPr="00710657">
        <w:rPr>
          <w:rFonts w:asciiTheme="majorBidi" w:hAnsiTheme="majorBidi" w:cstheme="majorBidi"/>
          <w:iCs/>
          <w:sz w:val="24"/>
          <w:szCs w:val="24"/>
        </w:rPr>
        <w:t>Group Members (ranked in alphabetical order by last name):</w:t>
      </w:r>
    </w:p>
    <w:p w14:paraId="73371BA9" w14:textId="70A80653" w:rsidR="00DE3025" w:rsidRPr="00710657" w:rsidRDefault="00DE3025" w:rsidP="00347F11">
      <w:pPr>
        <w:pStyle w:val="ListParagraph"/>
        <w:numPr>
          <w:ilvl w:val="0"/>
          <w:numId w:val="7"/>
        </w:numPr>
        <w:spacing w:before="240" w:line="276" w:lineRule="auto"/>
        <w:ind w:left="360"/>
        <w:rPr>
          <w:rFonts w:asciiTheme="majorBidi" w:hAnsiTheme="majorBidi" w:cstheme="majorBidi"/>
          <w:iCs/>
          <w:sz w:val="24"/>
          <w:szCs w:val="24"/>
        </w:rPr>
      </w:pPr>
      <w:r w:rsidRPr="00710657">
        <w:rPr>
          <w:rFonts w:asciiTheme="majorBidi" w:hAnsiTheme="majorBidi" w:cstheme="majorBidi"/>
          <w:iCs/>
          <w:sz w:val="24"/>
          <w:szCs w:val="24"/>
        </w:rPr>
        <w:t>Mansour Alkhulaifi</w:t>
      </w:r>
    </w:p>
    <w:p w14:paraId="242D060D" w14:textId="2A6D19F8" w:rsidR="00DE3025" w:rsidRPr="00710657" w:rsidRDefault="00DE3025" w:rsidP="00347F11">
      <w:pPr>
        <w:pStyle w:val="ListParagraph"/>
        <w:spacing w:before="240" w:line="276" w:lineRule="auto"/>
        <w:rPr>
          <w:rFonts w:asciiTheme="majorBidi" w:hAnsiTheme="majorBidi" w:cstheme="majorBidi"/>
          <w:iCs/>
          <w:sz w:val="24"/>
          <w:szCs w:val="24"/>
        </w:rPr>
      </w:pPr>
      <w:r w:rsidRPr="00710657">
        <w:rPr>
          <w:rFonts w:asciiTheme="majorBidi" w:hAnsiTheme="majorBidi" w:cstheme="majorBidi"/>
          <w:iCs/>
          <w:sz w:val="24"/>
          <w:szCs w:val="24"/>
        </w:rPr>
        <w:t>PSU ID 200800253</w:t>
      </w:r>
    </w:p>
    <w:p w14:paraId="6E4DEAAD" w14:textId="5BE21A9D" w:rsidR="00DE3025" w:rsidRPr="00710657" w:rsidRDefault="00DE3025" w:rsidP="00347F11">
      <w:pPr>
        <w:pStyle w:val="ListParagraph"/>
        <w:numPr>
          <w:ilvl w:val="0"/>
          <w:numId w:val="7"/>
        </w:numPr>
        <w:spacing w:before="240" w:line="276" w:lineRule="auto"/>
        <w:ind w:left="360"/>
        <w:rPr>
          <w:rFonts w:asciiTheme="majorBidi" w:hAnsiTheme="majorBidi" w:cstheme="majorBidi"/>
          <w:iCs/>
          <w:sz w:val="24"/>
          <w:szCs w:val="24"/>
        </w:rPr>
      </w:pPr>
      <w:r w:rsidRPr="00710657">
        <w:rPr>
          <w:rFonts w:asciiTheme="majorBidi" w:hAnsiTheme="majorBidi" w:cstheme="majorBidi"/>
          <w:iCs/>
          <w:sz w:val="24"/>
          <w:szCs w:val="24"/>
        </w:rPr>
        <w:t>Raghad Aljedani</w:t>
      </w:r>
    </w:p>
    <w:p w14:paraId="3E30D367" w14:textId="720B0488" w:rsidR="00DE3025" w:rsidRPr="00710657" w:rsidRDefault="00DE3025" w:rsidP="00347F11">
      <w:pPr>
        <w:pStyle w:val="ListParagraph"/>
        <w:spacing w:before="240" w:line="276" w:lineRule="auto"/>
        <w:rPr>
          <w:rFonts w:asciiTheme="majorBidi" w:hAnsiTheme="majorBidi" w:cstheme="majorBidi"/>
          <w:iCs/>
          <w:sz w:val="24"/>
          <w:szCs w:val="24"/>
        </w:rPr>
      </w:pPr>
      <w:r w:rsidRPr="00710657">
        <w:rPr>
          <w:rFonts w:asciiTheme="majorBidi" w:hAnsiTheme="majorBidi" w:cstheme="majorBidi"/>
          <w:iCs/>
          <w:sz w:val="24"/>
          <w:szCs w:val="24"/>
        </w:rPr>
        <w:t>PSU ID 202300253</w:t>
      </w:r>
    </w:p>
    <w:p w14:paraId="722AE743" w14:textId="212179DB" w:rsidR="00DE3025" w:rsidRPr="00710657" w:rsidRDefault="00271801" w:rsidP="00347F11">
      <w:pPr>
        <w:pStyle w:val="ListParagraph"/>
        <w:numPr>
          <w:ilvl w:val="0"/>
          <w:numId w:val="7"/>
        </w:numPr>
        <w:spacing w:before="240" w:line="276" w:lineRule="auto"/>
        <w:ind w:left="360"/>
        <w:rPr>
          <w:rFonts w:asciiTheme="majorBidi" w:hAnsiTheme="majorBidi" w:cstheme="majorBidi"/>
          <w:iCs/>
          <w:sz w:val="24"/>
          <w:szCs w:val="24"/>
        </w:rPr>
      </w:pPr>
      <w:r w:rsidRPr="00710657">
        <w:rPr>
          <w:rFonts w:asciiTheme="majorBidi" w:hAnsiTheme="majorBidi" w:cstheme="majorBidi"/>
          <w:iCs/>
          <w:sz w:val="24"/>
          <w:szCs w:val="24"/>
        </w:rPr>
        <w:t xml:space="preserve">Hanan Alghamdi </w:t>
      </w:r>
    </w:p>
    <w:p w14:paraId="72F6F52A" w14:textId="0D05F4F0" w:rsidR="00DE3025" w:rsidRPr="00710657" w:rsidRDefault="00DE3025" w:rsidP="00347F11">
      <w:pPr>
        <w:pStyle w:val="ListParagraph"/>
        <w:spacing w:before="240" w:line="276" w:lineRule="auto"/>
        <w:rPr>
          <w:rFonts w:asciiTheme="majorBidi" w:hAnsiTheme="majorBidi" w:cstheme="majorBidi"/>
          <w:iCs/>
          <w:sz w:val="24"/>
          <w:szCs w:val="24"/>
        </w:rPr>
      </w:pPr>
      <w:r w:rsidRPr="00710657">
        <w:rPr>
          <w:rFonts w:asciiTheme="majorBidi" w:hAnsiTheme="majorBidi" w:cstheme="majorBidi"/>
          <w:iCs/>
          <w:sz w:val="24"/>
          <w:szCs w:val="24"/>
        </w:rPr>
        <w:t xml:space="preserve">PSU ID </w:t>
      </w:r>
      <w:r w:rsidR="00675621">
        <w:rPr>
          <w:rFonts w:asciiTheme="majorBidi" w:hAnsiTheme="majorBidi" w:cstheme="majorBidi"/>
          <w:iCs/>
          <w:sz w:val="24"/>
          <w:szCs w:val="24"/>
        </w:rPr>
        <w:t>20112034</w:t>
      </w:r>
    </w:p>
    <w:p w14:paraId="072847F8" w14:textId="368A0394" w:rsidR="00DE3025" w:rsidRPr="00710657" w:rsidRDefault="00710657" w:rsidP="00347F11">
      <w:pPr>
        <w:pStyle w:val="ListParagraph"/>
        <w:numPr>
          <w:ilvl w:val="0"/>
          <w:numId w:val="7"/>
        </w:numPr>
        <w:spacing w:before="240" w:line="276" w:lineRule="auto"/>
        <w:ind w:left="360"/>
        <w:rPr>
          <w:rFonts w:asciiTheme="majorBidi" w:hAnsiTheme="majorBidi" w:cstheme="majorBidi"/>
          <w:iCs/>
          <w:sz w:val="24"/>
          <w:szCs w:val="24"/>
        </w:rPr>
      </w:pPr>
      <w:r w:rsidRPr="00710657">
        <w:rPr>
          <w:rFonts w:asciiTheme="majorBidi" w:hAnsiTheme="majorBidi" w:cstheme="majorBidi"/>
          <w:b/>
          <w:bCs/>
          <w:noProof/>
          <w:sz w:val="24"/>
          <w:szCs w:val="24"/>
        </w:rPr>
        <w:drawing>
          <wp:anchor distT="0" distB="0" distL="114300" distR="114300" simplePos="0" relativeHeight="251658240" behindDoc="1" locked="0" layoutInCell="1" allowOverlap="1" wp14:anchorId="517CA594" wp14:editId="651FB590">
            <wp:simplePos x="0" y="0"/>
            <wp:positionH relativeFrom="page">
              <wp:posOffset>3681685</wp:posOffset>
            </wp:positionH>
            <wp:positionV relativeFrom="paragraph">
              <wp:posOffset>76982</wp:posOffset>
            </wp:positionV>
            <wp:extent cx="6419590" cy="1521125"/>
            <wp:effectExtent l="0" t="8255" r="0" b="0"/>
            <wp:wrapNone/>
            <wp:docPr id="6" name="Picture 6" descr="PMU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U Letterhead"/>
                    <pic:cNvPicPr>
                      <a:picLocks noChangeAspect="1" noChangeArrowheads="1"/>
                    </pic:cNvPicPr>
                  </pic:nvPicPr>
                  <pic:blipFill rotWithShape="1">
                    <a:blip r:embed="rId8" cstate="print">
                      <a:lum bright="70000" contrast="-70000"/>
                      <a:extLst>
                        <a:ext uri="{28A0092B-C50C-407E-A947-70E740481C1C}">
                          <a14:useLocalDpi xmlns:a14="http://schemas.microsoft.com/office/drawing/2010/main" val="0"/>
                        </a:ext>
                      </a:extLst>
                    </a:blip>
                    <a:srcRect r="22212"/>
                    <a:stretch/>
                  </pic:blipFill>
                  <pic:spPr bwMode="auto">
                    <a:xfrm rot="5400000">
                      <a:off x="0" y="0"/>
                      <a:ext cx="6423355" cy="15220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1801" w:rsidRPr="00710657">
        <w:rPr>
          <w:rFonts w:asciiTheme="majorBidi" w:hAnsiTheme="majorBidi" w:cstheme="majorBidi"/>
          <w:iCs/>
          <w:sz w:val="24"/>
          <w:szCs w:val="24"/>
        </w:rPr>
        <w:t>Fatimah Almeer</w:t>
      </w:r>
    </w:p>
    <w:p w14:paraId="385F9865" w14:textId="77777777" w:rsidR="00710657" w:rsidRPr="00710657" w:rsidRDefault="00DE3025" w:rsidP="00347F11">
      <w:pPr>
        <w:pStyle w:val="ListParagraph"/>
        <w:spacing w:before="240" w:line="276" w:lineRule="auto"/>
        <w:rPr>
          <w:rFonts w:asciiTheme="majorBidi" w:hAnsiTheme="majorBidi" w:cstheme="majorBidi"/>
          <w:iCs/>
          <w:sz w:val="24"/>
          <w:szCs w:val="24"/>
        </w:rPr>
      </w:pPr>
      <w:r w:rsidRPr="00710657">
        <w:rPr>
          <w:rFonts w:asciiTheme="majorBidi" w:hAnsiTheme="majorBidi" w:cstheme="majorBidi"/>
          <w:iCs/>
          <w:sz w:val="24"/>
          <w:szCs w:val="24"/>
        </w:rPr>
        <w:t xml:space="preserve">PSU ID </w:t>
      </w:r>
      <w:r w:rsidR="00271801" w:rsidRPr="00710657">
        <w:rPr>
          <w:rFonts w:asciiTheme="majorBidi" w:hAnsiTheme="majorBidi" w:cstheme="majorBidi"/>
          <w:iCs/>
          <w:sz w:val="24"/>
          <w:szCs w:val="24"/>
        </w:rPr>
        <w:t>200900781</w:t>
      </w:r>
    </w:p>
    <w:p w14:paraId="570BD8D5" w14:textId="77777777" w:rsidR="00710657" w:rsidRPr="00710657" w:rsidRDefault="00710657" w:rsidP="00347F11">
      <w:pPr>
        <w:spacing w:line="276" w:lineRule="auto"/>
        <w:rPr>
          <w:rFonts w:asciiTheme="majorBidi" w:hAnsiTheme="majorBidi" w:cstheme="majorBidi"/>
          <w:iCs/>
          <w:sz w:val="24"/>
          <w:szCs w:val="24"/>
        </w:rPr>
      </w:pPr>
      <w:r w:rsidRPr="00710657">
        <w:rPr>
          <w:rFonts w:asciiTheme="majorBidi" w:hAnsiTheme="majorBidi" w:cstheme="majorBidi"/>
          <w:iCs/>
          <w:sz w:val="24"/>
          <w:szCs w:val="24"/>
        </w:rPr>
        <w:br w:type="page"/>
      </w:r>
    </w:p>
    <w:sdt>
      <w:sdtPr>
        <w:rPr>
          <w:rFonts w:asciiTheme="majorBidi" w:eastAsiaTheme="minorEastAsia" w:hAnsiTheme="majorBidi" w:cstheme="minorBidi"/>
          <w:b w:val="0"/>
          <w:bCs w:val="0"/>
          <w:color w:val="auto"/>
          <w:sz w:val="22"/>
          <w:szCs w:val="22"/>
        </w:rPr>
        <w:id w:val="991762161"/>
        <w:docPartObj>
          <w:docPartGallery w:val="Table of Contents"/>
          <w:docPartUnique/>
        </w:docPartObj>
      </w:sdtPr>
      <w:sdtEndPr>
        <w:rPr>
          <w:noProof/>
        </w:rPr>
      </w:sdtEndPr>
      <w:sdtContent>
        <w:p w14:paraId="4C76A6F2" w14:textId="7EEF5F50" w:rsidR="00710657" w:rsidRPr="00710657" w:rsidRDefault="00710657" w:rsidP="00347F11">
          <w:pPr>
            <w:pStyle w:val="TOCHeading"/>
            <w:spacing w:after="240" w:line="276" w:lineRule="auto"/>
            <w:rPr>
              <w:rFonts w:asciiTheme="majorBidi" w:hAnsiTheme="majorBidi"/>
              <w:color w:val="auto"/>
            </w:rPr>
          </w:pPr>
          <w:r w:rsidRPr="00710657">
            <w:rPr>
              <w:rFonts w:asciiTheme="majorBidi" w:hAnsiTheme="majorBidi"/>
              <w:color w:val="auto"/>
            </w:rPr>
            <w:t>Table of Contents</w:t>
          </w:r>
        </w:p>
        <w:p w14:paraId="599D1B55" w14:textId="75CDC8A5" w:rsidR="000C244F" w:rsidRDefault="00710657">
          <w:pPr>
            <w:pStyle w:val="TOC1"/>
            <w:tabs>
              <w:tab w:val="right" w:leader="dot" w:pos="9350"/>
            </w:tabs>
            <w:rPr>
              <w:noProof/>
              <w:kern w:val="2"/>
              <w:sz w:val="24"/>
              <w:szCs w:val="24"/>
              <w14:ligatures w14:val="standardContextual"/>
            </w:rPr>
          </w:pPr>
          <w:r w:rsidRPr="00710657">
            <w:rPr>
              <w:rFonts w:asciiTheme="majorBidi" w:hAnsiTheme="majorBidi" w:cstheme="majorBidi"/>
              <w:sz w:val="24"/>
              <w:szCs w:val="24"/>
            </w:rPr>
            <w:fldChar w:fldCharType="begin"/>
          </w:r>
          <w:r w:rsidRPr="00710657">
            <w:rPr>
              <w:rFonts w:asciiTheme="majorBidi" w:hAnsiTheme="majorBidi" w:cstheme="majorBidi"/>
              <w:sz w:val="24"/>
              <w:szCs w:val="24"/>
            </w:rPr>
            <w:instrText xml:space="preserve"> TOC \o "1-3" \h \z \u </w:instrText>
          </w:r>
          <w:r w:rsidRPr="00710657">
            <w:rPr>
              <w:rFonts w:asciiTheme="majorBidi" w:hAnsiTheme="majorBidi" w:cstheme="majorBidi"/>
              <w:sz w:val="24"/>
              <w:szCs w:val="24"/>
            </w:rPr>
            <w:fldChar w:fldCharType="separate"/>
          </w:r>
          <w:hyperlink w:anchor="_Toc213842609" w:history="1">
            <w:r w:rsidR="000C244F" w:rsidRPr="00AE27C4">
              <w:rPr>
                <w:rStyle w:val="Hyperlink"/>
                <w:rFonts w:asciiTheme="majorBidi" w:hAnsiTheme="majorBidi"/>
                <w:noProof/>
              </w:rPr>
              <w:t>Executive Summary</w:t>
            </w:r>
            <w:r w:rsidR="000C244F">
              <w:rPr>
                <w:noProof/>
                <w:webHidden/>
              </w:rPr>
              <w:tab/>
            </w:r>
            <w:r w:rsidR="000C244F">
              <w:rPr>
                <w:noProof/>
                <w:webHidden/>
              </w:rPr>
              <w:fldChar w:fldCharType="begin"/>
            </w:r>
            <w:r w:rsidR="000C244F">
              <w:rPr>
                <w:noProof/>
                <w:webHidden/>
              </w:rPr>
              <w:instrText xml:space="preserve"> PAGEREF _Toc213842609 \h </w:instrText>
            </w:r>
            <w:r w:rsidR="000C244F">
              <w:rPr>
                <w:noProof/>
                <w:webHidden/>
              </w:rPr>
            </w:r>
            <w:r w:rsidR="000C244F">
              <w:rPr>
                <w:noProof/>
                <w:webHidden/>
              </w:rPr>
              <w:fldChar w:fldCharType="separate"/>
            </w:r>
            <w:r w:rsidR="000C244F">
              <w:rPr>
                <w:noProof/>
                <w:webHidden/>
              </w:rPr>
              <w:t>3</w:t>
            </w:r>
            <w:r w:rsidR="000C244F">
              <w:rPr>
                <w:noProof/>
                <w:webHidden/>
              </w:rPr>
              <w:fldChar w:fldCharType="end"/>
            </w:r>
          </w:hyperlink>
        </w:p>
        <w:p w14:paraId="7B2E6ACF" w14:textId="31CE5785" w:rsidR="000C244F" w:rsidRDefault="000C244F">
          <w:pPr>
            <w:pStyle w:val="TOC1"/>
            <w:tabs>
              <w:tab w:val="right" w:leader="dot" w:pos="9350"/>
            </w:tabs>
            <w:rPr>
              <w:noProof/>
              <w:kern w:val="2"/>
              <w:sz w:val="24"/>
              <w:szCs w:val="24"/>
              <w14:ligatures w14:val="standardContextual"/>
            </w:rPr>
          </w:pPr>
          <w:hyperlink w:anchor="_Toc213842610" w:history="1">
            <w:r w:rsidRPr="00AE27C4">
              <w:rPr>
                <w:rStyle w:val="Hyperlink"/>
                <w:rFonts w:asciiTheme="majorBidi" w:hAnsiTheme="majorBidi"/>
                <w:noProof/>
              </w:rPr>
              <w:t>Company Background</w:t>
            </w:r>
            <w:r>
              <w:rPr>
                <w:noProof/>
                <w:webHidden/>
              </w:rPr>
              <w:tab/>
            </w:r>
            <w:r>
              <w:rPr>
                <w:noProof/>
                <w:webHidden/>
              </w:rPr>
              <w:fldChar w:fldCharType="begin"/>
            </w:r>
            <w:r>
              <w:rPr>
                <w:noProof/>
                <w:webHidden/>
              </w:rPr>
              <w:instrText xml:space="preserve"> PAGEREF _Toc213842610 \h </w:instrText>
            </w:r>
            <w:r>
              <w:rPr>
                <w:noProof/>
                <w:webHidden/>
              </w:rPr>
            </w:r>
            <w:r>
              <w:rPr>
                <w:noProof/>
                <w:webHidden/>
              </w:rPr>
              <w:fldChar w:fldCharType="separate"/>
            </w:r>
            <w:r>
              <w:rPr>
                <w:noProof/>
                <w:webHidden/>
              </w:rPr>
              <w:t>3</w:t>
            </w:r>
            <w:r>
              <w:rPr>
                <w:noProof/>
                <w:webHidden/>
              </w:rPr>
              <w:fldChar w:fldCharType="end"/>
            </w:r>
          </w:hyperlink>
        </w:p>
        <w:p w14:paraId="3EC48CB9" w14:textId="2E110565" w:rsidR="000C244F" w:rsidRDefault="000C244F">
          <w:pPr>
            <w:pStyle w:val="TOC1"/>
            <w:tabs>
              <w:tab w:val="right" w:leader="dot" w:pos="9350"/>
            </w:tabs>
            <w:rPr>
              <w:noProof/>
              <w:kern w:val="2"/>
              <w:sz w:val="24"/>
              <w:szCs w:val="24"/>
              <w14:ligatures w14:val="standardContextual"/>
            </w:rPr>
          </w:pPr>
          <w:hyperlink w:anchor="_Toc213842611" w:history="1">
            <w:r w:rsidRPr="00AE27C4">
              <w:rPr>
                <w:rStyle w:val="Hyperlink"/>
                <w:rFonts w:asciiTheme="majorBidi" w:hAnsiTheme="majorBidi"/>
                <w:noProof/>
              </w:rPr>
              <w:t>Drivers of Establishing an International Business</w:t>
            </w:r>
            <w:r>
              <w:rPr>
                <w:noProof/>
                <w:webHidden/>
              </w:rPr>
              <w:tab/>
            </w:r>
            <w:r>
              <w:rPr>
                <w:noProof/>
                <w:webHidden/>
              </w:rPr>
              <w:fldChar w:fldCharType="begin"/>
            </w:r>
            <w:r>
              <w:rPr>
                <w:noProof/>
                <w:webHidden/>
              </w:rPr>
              <w:instrText xml:space="preserve"> PAGEREF _Toc213842611 \h </w:instrText>
            </w:r>
            <w:r>
              <w:rPr>
                <w:noProof/>
                <w:webHidden/>
              </w:rPr>
            </w:r>
            <w:r>
              <w:rPr>
                <w:noProof/>
                <w:webHidden/>
              </w:rPr>
              <w:fldChar w:fldCharType="separate"/>
            </w:r>
            <w:r>
              <w:rPr>
                <w:noProof/>
                <w:webHidden/>
              </w:rPr>
              <w:t>4</w:t>
            </w:r>
            <w:r>
              <w:rPr>
                <w:noProof/>
                <w:webHidden/>
              </w:rPr>
              <w:fldChar w:fldCharType="end"/>
            </w:r>
          </w:hyperlink>
        </w:p>
        <w:p w14:paraId="1557630F" w14:textId="0FCACE39" w:rsidR="000C244F" w:rsidRDefault="000C244F">
          <w:pPr>
            <w:pStyle w:val="TOC1"/>
            <w:tabs>
              <w:tab w:val="right" w:leader="dot" w:pos="9350"/>
            </w:tabs>
            <w:rPr>
              <w:noProof/>
              <w:kern w:val="2"/>
              <w:sz w:val="24"/>
              <w:szCs w:val="24"/>
              <w14:ligatures w14:val="standardContextual"/>
            </w:rPr>
          </w:pPr>
          <w:hyperlink w:anchor="_Toc213842612" w:history="1">
            <w:r w:rsidRPr="00AE27C4">
              <w:rPr>
                <w:rStyle w:val="Hyperlink"/>
                <w:rFonts w:asciiTheme="majorBidi" w:hAnsiTheme="majorBidi"/>
                <w:noProof/>
              </w:rPr>
              <w:t>Alternative Foreign Countries</w:t>
            </w:r>
            <w:r>
              <w:rPr>
                <w:noProof/>
                <w:webHidden/>
              </w:rPr>
              <w:tab/>
            </w:r>
            <w:r>
              <w:rPr>
                <w:noProof/>
                <w:webHidden/>
              </w:rPr>
              <w:fldChar w:fldCharType="begin"/>
            </w:r>
            <w:r>
              <w:rPr>
                <w:noProof/>
                <w:webHidden/>
              </w:rPr>
              <w:instrText xml:space="preserve"> PAGEREF _Toc213842612 \h </w:instrText>
            </w:r>
            <w:r>
              <w:rPr>
                <w:noProof/>
                <w:webHidden/>
              </w:rPr>
            </w:r>
            <w:r>
              <w:rPr>
                <w:noProof/>
                <w:webHidden/>
              </w:rPr>
              <w:fldChar w:fldCharType="separate"/>
            </w:r>
            <w:r>
              <w:rPr>
                <w:noProof/>
                <w:webHidden/>
              </w:rPr>
              <w:t>4</w:t>
            </w:r>
            <w:r>
              <w:rPr>
                <w:noProof/>
                <w:webHidden/>
              </w:rPr>
              <w:fldChar w:fldCharType="end"/>
            </w:r>
          </w:hyperlink>
        </w:p>
        <w:p w14:paraId="548005B9" w14:textId="6D50C9B9" w:rsidR="000C244F" w:rsidRDefault="000C244F">
          <w:pPr>
            <w:pStyle w:val="TOC1"/>
            <w:tabs>
              <w:tab w:val="right" w:leader="dot" w:pos="9350"/>
            </w:tabs>
            <w:rPr>
              <w:noProof/>
              <w:kern w:val="2"/>
              <w:sz w:val="24"/>
              <w:szCs w:val="24"/>
              <w14:ligatures w14:val="standardContextual"/>
            </w:rPr>
          </w:pPr>
          <w:hyperlink w:anchor="_Toc213842613" w:history="1">
            <w:r w:rsidRPr="00AE27C4">
              <w:rPr>
                <w:rStyle w:val="Hyperlink"/>
                <w:rFonts w:asciiTheme="majorBidi" w:hAnsiTheme="majorBidi"/>
                <w:noProof/>
              </w:rPr>
              <w:t>Assessment of Indonesia (PESTLE and Key Factors)</w:t>
            </w:r>
            <w:r>
              <w:rPr>
                <w:noProof/>
                <w:webHidden/>
              </w:rPr>
              <w:tab/>
            </w:r>
            <w:r>
              <w:rPr>
                <w:noProof/>
                <w:webHidden/>
              </w:rPr>
              <w:fldChar w:fldCharType="begin"/>
            </w:r>
            <w:r>
              <w:rPr>
                <w:noProof/>
                <w:webHidden/>
              </w:rPr>
              <w:instrText xml:space="preserve"> PAGEREF _Toc213842613 \h </w:instrText>
            </w:r>
            <w:r>
              <w:rPr>
                <w:noProof/>
                <w:webHidden/>
              </w:rPr>
            </w:r>
            <w:r>
              <w:rPr>
                <w:noProof/>
                <w:webHidden/>
              </w:rPr>
              <w:fldChar w:fldCharType="separate"/>
            </w:r>
            <w:r>
              <w:rPr>
                <w:noProof/>
                <w:webHidden/>
              </w:rPr>
              <w:t>5</w:t>
            </w:r>
            <w:r>
              <w:rPr>
                <w:noProof/>
                <w:webHidden/>
              </w:rPr>
              <w:fldChar w:fldCharType="end"/>
            </w:r>
          </w:hyperlink>
        </w:p>
        <w:p w14:paraId="4E686ACA" w14:textId="736D1CAF" w:rsidR="000C244F" w:rsidRDefault="000C244F">
          <w:pPr>
            <w:pStyle w:val="TOC1"/>
            <w:tabs>
              <w:tab w:val="right" w:leader="dot" w:pos="9350"/>
            </w:tabs>
            <w:rPr>
              <w:noProof/>
              <w:kern w:val="2"/>
              <w:sz w:val="24"/>
              <w:szCs w:val="24"/>
              <w14:ligatures w14:val="standardContextual"/>
            </w:rPr>
          </w:pPr>
          <w:hyperlink w:anchor="_Toc213842614" w:history="1">
            <w:r w:rsidRPr="00AE27C4">
              <w:rPr>
                <w:rStyle w:val="Hyperlink"/>
                <w:rFonts w:asciiTheme="majorBidi" w:hAnsiTheme="majorBidi"/>
                <w:noProof/>
              </w:rPr>
              <w:t>Comparison of Alternative Countries</w:t>
            </w:r>
            <w:r>
              <w:rPr>
                <w:noProof/>
                <w:webHidden/>
              </w:rPr>
              <w:tab/>
            </w:r>
            <w:r>
              <w:rPr>
                <w:noProof/>
                <w:webHidden/>
              </w:rPr>
              <w:fldChar w:fldCharType="begin"/>
            </w:r>
            <w:r>
              <w:rPr>
                <w:noProof/>
                <w:webHidden/>
              </w:rPr>
              <w:instrText xml:space="preserve"> PAGEREF _Toc213842614 \h </w:instrText>
            </w:r>
            <w:r>
              <w:rPr>
                <w:noProof/>
                <w:webHidden/>
              </w:rPr>
            </w:r>
            <w:r>
              <w:rPr>
                <w:noProof/>
                <w:webHidden/>
              </w:rPr>
              <w:fldChar w:fldCharType="separate"/>
            </w:r>
            <w:r>
              <w:rPr>
                <w:noProof/>
                <w:webHidden/>
              </w:rPr>
              <w:t>7</w:t>
            </w:r>
            <w:r>
              <w:rPr>
                <w:noProof/>
                <w:webHidden/>
              </w:rPr>
              <w:fldChar w:fldCharType="end"/>
            </w:r>
          </w:hyperlink>
        </w:p>
        <w:p w14:paraId="16D5A665" w14:textId="5A3217E7" w:rsidR="000C244F" w:rsidRDefault="000C244F">
          <w:pPr>
            <w:pStyle w:val="TOC1"/>
            <w:tabs>
              <w:tab w:val="right" w:leader="dot" w:pos="9350"/>
            </w:tabs>
            <w:rPr>
              <w:noProof/>
              <w:kern w:val="2"/>
              <w:sz w:val="24"/>
              <w:szCs w:val="24"/>
              <w14:ligatures w14:val="standardContextual"/>
            </w:rPr>
          </w:pPr>
          <w:hyperlink w:anchor="_Toc213842615" w:history="1">
            <w:r w:rsidRPr="00AE27C4">
              <w:rPr>
                <w:rStyle w:val="Hyperlink"/>
                <w:rFonts w:asciiTheme="majorBidi" w:hAnsiTheme="majorBidi"/>
                <w:noProof/>
              </w:rPr>
              <w:t>Final Foreign Country Selection</w:t>
            </w:r>
            <w:r>
              <w:rPr>
                <w:noProof/>
                <w:webHidden/>
              </w:rPr>
              <w:tab/>
            </w:r>
            <w:r>
              <w:rPr>
                <w:noProof/>
                <w:webHidden/>
              </w:rPr>
              <w:fldChar w:fldCharType="begin"/>
            </w:r>
            <w:r>
              <w:rPr>
                <w:noProof/>
                <w:webHidden/>
              </w:rPr>
              <w:instrText xml:space="preserve"> PAGEREF _Toc213842615 \h </w:instrText>
            </w:r>
            <w:r>
              <w:rPr>
                <w:noProof/>
                <w:webHidden/>
              </w:rPr>
            </w:r>
            <w:r>
              <w:rPr>
                <w:noProof/>
                <w:webHidden/>
              </w:rPr>
              <w:fldChar w:fldCharType="separate"/>
            </w:r>
            <w:r>
              <w:rPr>
                <w:noProof/>
                <w:webHidden/>
              </w:rPr>
              <w:t>8</w:t>
            </w:r>
            <w:r>
              <w:rPr>
                <w:noProof/>
                <w:webHidden/>
              </w:rPr>
              <w:fldChar w:fldCharType="end"/>
            </w:r>
          </w:hyperlink>
        </w:p>
        <w:p w14:paraId="1D5D3075" w14:textId="7DCE3DB8" w:rsidR="000C244F" w:rsidRDefault="000C244F">
          <w:pPr>
            <w:pStyle w:val="TOC1"/>
            <w:tabs>
              <w:tab w:val="right" w:leader="dot" w:pos="9350"/>
            </w:tabs>
            <w:rPr>
              <w:noProof/>
              <w:kern w:val="2"/>
              <w:sz w:val="24"/>
              <w:szCs w:val="24"/>
              <w14:ligatures w14:val="standardContextual"/>
            </w:rPr>
          </w:pPr>
          <w:hyperlink w:anchor="_Toc213842616" w:history="1">
            <w:r w:rsidRPr="00AE27C4">
              <w:rPr>
                <w:rStyle w:val="Hyperlink"/>
                <w:rFonts w:asciiTheme="majorBidi" w:hAnsiTheme="majorBidi"/>
                <w:noProof/>
              </w:rPr>
              <w:t>Assessment of Entry Strategies</w:t>
            </w:r>
            <w:r>
              <w:rPr>
                <w:noProof/>
                <w:webHidden/>
              </w:rPr>
              <w:tab/>
            </w:r>
            <w:r>
              <w:rPr>
                <w:noProof/>
                <w:webHidden/>
              </w:rPr>
              <w:fldChar w:fldCharType="begin"/>
            </w:r>
            <w:r>
              <w:rPr>
                <w:noProof/>
                <w:webHidden/>
              </w:rPr>
              <w:instrText xml:space="preserve"> PAGEREF _Toc213842616 \h </w:instrText>
            </w:r>
            <w:r>
              <w:rPr>
                <w:noProof/>
                <w:webHidden/>
              </w:rPr>
            </w:r>
            <w:r>
              <w:rPr>
                <w:noProof/>
                <w:webHidden/>
              </w:rPr>
              <w:fldChar w:fldCharType="separate"/>
            </w:r>
            <w:r>
              <w:rPr>
                <w:noProof/>
                <w:webHidden/>
              </w:rPr>
              <w:t>8</w:t>
            </w:r>
            <w:r>
              <w:rPr>
                <w:noProof/>
                <w:webHidden/>
              </w:rPr>
              <w:fldChar w:fldCharType="end"/>
            </w:r>
          </w:hyperlink>
        </w:p>
        <w:p w14:paraId="1B18C216" w14:textId="0D91B325" w:rsidR="000C244F" w:rsidRDefault="000C244F">
          <w:pPr>
            <w:pStyle w:val="TOC1"/>
            <w:tabs>
              <w:tab w:val="right" w:leader="dot" w:pos="9350"/>
            </w:tabs>
            <w:rPr>
              <w:noProof/>
              <w:kern w:val="2"/>
              <w:sz w:val="24"/>
              <w:szCs w:val="24"/>
              <w14:ligatures w14:val="standardContextual"/>
            </w:rPr>
          </w:pPr>
          <w:hyperlink w:anchor="_Toc213842617" w:history="1">
            <w:r w:rsidRPr="00AE27C4">
              <w:rPr>
                <w:rStyle w:val="Hyperlink"/>
                <w:rFonts w:asciiTheme="majorBidi" w:hAnsiTheme="majorBidi"/>
                <w:noProof/>
              </w:rPr>
              <w:t>Implementation Plan</w:t>
            </w:r>
            <w:r>
              <w:rPr>
                <w:noProof/>
                <w:webHidden/>
              </w:rPr>
              <w:tab/>
            </w:r>
            <w:r>
              <w:rPr>
                <w:noProof/>
                <w:webHidden/>
              </w:rPr>
              <w:fldChar w:fldCharType="begin"/>
            </w:r>
            <w:r>
              <w:rPr>
                <w:noProof/>
                <w:webHidden/>
              </w:rPr>
              <w:instrText xml:space="preserve"> PAGEREF _Toc213842617 \h </w:instrText>
            </w:r>
            <w:r>
              <w:rPr>
                <w:noProof/>
                <w:webHidden/>
              </w:rPr>
            </w:r>
            <w:r>
              <w:rPr>
                <w:noProof/>
                <w:webHidden/>
              </w:rPr>
              <w:fldChar w:fldCharType="separate"/>
            </w:r>
            <w:r>
              <w:rPr>
                <w:noProof/>
                <w:webHidden/>
              </w:rPr>
              <w:t>10</w:t>
            </w:r>
            <w:r>
              <w:rPr>
                <w:noProof/>
                <w:webHidden/>
              </w:rPr>
              <w:fldChar w:fldCharType="end"/>
            </w:r>
          </w:hyperlink>
        </w:p>
        <w:p w14:paraId="1FDA87B5" w14:textId="6B6E9B98" w:rsidR="000C244F" w:rsidRDefault="000C244F">
          <w:pPr>
            <w:pStyle w:val="TOC1"/>
            <w:tabs>
              <w:tab w:val="right" w:leader="dot" w:pos="9350"/>
            </w:tabs>
            <w:rPr>
              <w:noProof/>
              <w:kern w:val="2"/>
              <w:sz w:val="24"/>
              <w:szCs w:val="24"/>
              <w14:ligatures w14:val="standardContextual"/>
            </w:rPr>
          </w:pPr>
          <w:hyperlink w:anchor="_Toc213842618" w:history="1">
            <w:r w:rsidRPr="00AE27C4">
              <w:rPr>
                <w:rStyle w:val="Hyperlink"/>
                <w:rFonts w:asciiTheme="majorBidi" w:hAnsiTheme="majorBidi"/>
                <w:noProof/>
              </w:rPr>
              <w:t>Marketing and Brand Awareness Strategy</w:t>
            </w:r>
            <w:r>
              <w:rPr>
                <w:noProof/>
                <w:webHidden/>
              </w:rPr>
              <w:tab/>
            </w:r>
            <w:r>
              <w:rPr>
                <w:noProof/>
                <w:webHidden/>
              </w:rPr>
              <w:fldChar w:fldCharType="begin"/>
            </w:r>
            <w:r>
              <w:rPr>
                <w:noProof/>
                <w:webHidden/>
              </w:rPr>
              <w:instrText xml:space="preserve"> PAGEREF _Toc213842618 \h </w:instrText>
            </w:r>
            <w:r>
              <w:rPr>
                <w:noProof/>
                <w:webHidden/>
              </w:rPr>
            </w:r>
            <w:r>
              <w:rPr>
                <w:noProof/>
                <w:webHidden/>
              </w:rPr>
              <w:fldChar w:fldCharType="separate"/>
            </w:r>
            <w:r>
              <w:rPr>
                <w:noProof/>
                <w:webHidden/>
              </w:rPr>
              <w:t>11</w:t>
            </w:r>
            <w:r>
              <w:rPr>
                <w:noProof/>
                <w:webHidden/>
              </w:rPr>
              <w:fldChar w:fldCharType="end"/>
            </w:r>
          </w:hyperlink>
        </w:p>
        <w:p w14:paraId="1D94E9B2" w14:textId="69C56ED4" w:rsidR="000C244F" w:rsidRDefault="000C244F">
          <w:pPr>
            <w:pStyle w:val="TOC1"/>
            <w:tabs>
              <w:tab w:val="right" w:leader="dot" w:pos="9350"/>
            </w:tabs>
            <w:rPr>
              <w:noProof/>
              <w:kern w:val="2"/>
              <w:sz w:val="24"/>
              <w:szCs w:val="24"/>
              <w14:ligatures w14:val="standardContextual"/>
            </w:rPr>
          </w:pPr>
          <w:hyperlink w:anchor="_Toc213842619" w:history="1">
            <w:r w:rsidRPr="00AE27C4">
              <w:rPr>
                <w:rStyle w:val="Hyperlink"/>
                <w:rFonts w:asciiTheme="majorBidi" w:hAnsiTheme="majorBidi"/>
                <w:noProof/>
              </w:rPr>
              <w:t>Pricing Strategy</w:t>
            </w:r>
            <w:r>
              <w:rPr>
                <w:noProof/>
                <w:webHidden/>
              </w:rPr>
              <w:tab/>
            </w:r>
            <w:r>
              <w:rPr>
                <w:noProof/>
                <w:webHidden/>
              </w:rPr>
              <w:fldChar w:fldCharType="begin"/>
            </w:r>
            <w:r>
              <w:rPr>
                <w:noProof/>
                <w:webHidden/>
              </w:rPr>
              <w:instrText xml:space="preserve"> PAGEREF _Toc213842619 \h </w:instrText>
            </w:r>
            <w:r>
              <w:rPr>
                <w:noProof/>
                <w:webHidden/>
              </w:rPr>
            </w:r>
            <w:r>
              <w:rPr>
                <w:noProof/>
                <w:webHidden/>
              </w:rPr>
              <w:fldChar w:fldCharType="separate"/>
            </w:r>
            <w:r>
              <w:rPr>
                <w:noProof/>
                <w:webHidden/>
              </w:rPr>
              <w:t>12</w:t>
            </w:r>
            <w:r>
              <w:rPr>
                <w:noProof/>
                <w:webHidden/>
              </w:rPr>
              <w:fldChar w:fldCharType="end"/>
            </w:r>
          </w:hyperlink>
        </w:p>
        <w:p w14:paraId="74D61B51" w14:textId="7F548A93" w:rsidR="000C244F" w:rsidRDefault="000C244F">
          <w:pPr>
            <w:pStyle w:val="TOC1"/>
            <w:tabs>
              <w:tab w:val="right" w:leader="dot" w:pos="9350"/>
            </w:tabs>
            <w:rPr>
              <w:noProof/>
              <w:kern w:val="2"/>
              <w:sz w:val="24"/>
              <w:szCs w:val="24"/>
              <w14:ligatures w14:val="standardContextual"/>
            </w:rPr>
          </w:pPr>
          <w:hyperlink w:anchor="_Toc213842620" w:history="1">
            <w:r w:rsidRPr="00AE27C4">
              <w:rPr>
                <w:rStyle w:val="Hyperlink"/>
                <w:rFonts w:asciiTheme="majorBidi" w:hAnsiTheme="majorBidi"/>
                <w:noProof/>
              </w:rPr>
              <w:t>CSR and Sustainability Integration</w:t>
            </w:r>
            <w:r>
              <w:rPr>
                <w:noProof/>
                <w:webHidden/>
              </w:rPr>
              <w:tab/>
            </w:r>
            <w:r>
              <w:rPr>
                <w:noProof/>
                <w:webHidden/>
              </w:rPr>
              <w:fldChar w:fldCharType="begin"/>
            </w:r>
            <w:r>
              <w:rPr>
                <w:noProof/>
                <w:webHidden/>
              </w:rPr>
              <w:instrText xml:space="preserve"> PAGEREF _Toc213842620 \h </w:instrText>
            </w:r>
            <w:r>
              <w:rPr>
                <w:noProof/>
                <w:webHidden/>
              </w:rPr>
            </w:r>
            <w:r>
              <w:rPr>
                <w:noProof/>
                <w:webHidden/>
              </w:rPr>
              <w:fldChar w:fldCharType="separate"/>
            </w:r>
            <w:r>
              <w:rPr>
                <w:noProof/>
                <w:webHidden/>
              </w:rPr>
              <w:t>12</w:t>
            </w:r>
            <w:r>
              <w:rPr>
                <w:noProof/>
                <w:webHidden/>
              </w:rPr>
              <w:fldChar w:fldCharType="end"/>
            </w:r>
          </w:hyperlink>
        </w:p>
        <w:p w14:paraId="54E2E178" w14:textId="00E82B21" w:rsidR="000C244F" w:rsidRDefault="000C244F">
          <w:pPr>
            <w:pStyle w:val="TOC1"/>
            <w:tabs>
              <w:tab w:val="right" w:leader="dot" w:pos="9350"/>
            </w:tabs>
            <w:rPr>
              <w:noProof/>
              <w:kern w:val="2"/>
              <w:sz w:val="24"/>
              <w:szCs w:val="24"/>
              <w14:ligatures w14:val="standardContextual"/>
            </w:rPr>
          </w:pPr>
          <w:hyperlink w:anchor="_Toc213842621" w:history="1">
            <w:r w:rsidRPr="00AE27C4">
              <w:rPr>
                <w:rStyle w:val="Hyperlink"/>
                <w:rFonts w:asciiTheme="majorBidi" w:hAnsiTheme="majorBidi"/>
                <w:noProof/>
              </w:rPr>
              <w:t>Challenges and Solutions</w:t>
            </w:r>
            <w:r>
              <w:rPr>
                <w:noProof/>
                <w:webHidden/>
              </w:rPr>
              <w:tab/>
            </w:r>
            <w:r>
              <w:rPr>
                <w:noProof/>
                <w:webHidden/>
              </w:rPr>
              <w:fldChar w:fldCharType="begin"/>
            </w:r>
            <w:r>
              <w:rPr>
                <w:noProof/>
                <w:webHidden/>
              </w:rPr>
              <w:instrText xml:space="preserve"> PAGEREF _Toc213842621 \h </w:instrText>
            </w:r>
            <w:r>
              <w:rPr>
                <w:noProof/>
                <w:webHidden/>
              </w:rPr>
            </w:r>
            <w:r>
              <w:rPr>
                <w:noProof/>
                <w:webHidden/>
              </w:rPr>
              <w:fldChar w:fldCharType="separate"/>
            </w:r>
            <w:r>
              <w:rPr>
                <w:noProof/>
                <w:webHidden/>
              </w:rPr>
              <w:t>13</w:t>
            </w:r>
            <w:r>
              <w:rPr>
                <w:noProof/>
                <w:webHidden/>
              </w:rPr>
              <w:fldChar w:fldCharType="end"/>
            </w:r>
          </w:hyperlink>
        </w:p>
        <w:p w14:paraId="1EF099EE" w14:textId="41BAFEA7" w:rsidR="000C244F" w:rsidRDefault="000C244F">
          <w:pPr>
            <w:pStyle w:val="TOC1"/>
            <w:tabs>
              <w:tab w:val="right" w:leader="dot" w:pos="9350"/>
            </w:tabs>
            <w:rPr>
              <w:noProof/>
              <w:kern w:val="2"/>
              <w:sz w:val="24"/>
              <w:szCs w:val="24"/>
              <w14:ligatures w14:val="standardContextual"/>
            </w:rPr>
          </w:pPr>
          <w:hyperlink w:anchor="_Toc213842622" w:history="1">
            <w:r w:rsidRPr="00AE27C4">
              <w:rPr>
                <w:rStyle w:val="Hyperlink"/>
                <w:rFonts w:asciiTheme="majorBidi" w:hAnsiTheme="majorBidi"/>
                <w:noProof/>
              </w:rPr>
              <w:t>Study Key Findings</w:t>
            </w:r>
            <w:r>
              <w:rPr>
                <w:noProof/>
                <w:webHidden/>
              </w:rPr>
              <w:tab/>
            </w:r>
            <w:r>
              <w:rPr>
                <w:noProof/>
                <w:webHidden/>
              </w:rPr>
              <w:fldChar w:fldCharType="begin"/>
            </w:r>
            <w:r>
              <w:rPr>
                <w:noProof/>
                <w:webHidden/>
              </w:rPr>
              <w:instrText xml:space="preserve"> PAGEREF _Toc213842622 \h </w:instrText>
            </w:r>
            <w:r>
              <w:rPr>
                <w:noProof/>
                <w:webHidden/>
              </w:rPr>
            </w:r>
            <w:r>
              <w:rPr>
                <w:noProof/>
                <w:webHidden/>
              </w:rPr>
              <w:fldChar w:fldCharType="separate"/>
            </w:r>
            <w:r>
              <w:rPr>
                <w:noProof/>
                <w:webHidden/>
              </w:rPr>
              <w:t>15</w:t>
            </w:r>
            <w:r>
              <w:rPr>
                <w:noProof/>
                <w:webHidden/>
              </w:rPr>
              <w:fldChar w:fldCharType="end"/>
            </w:r>
          </w:hyperlink>
        </w:p>
        <w:p w14:paraId="0F4DF111" w14:textId="44CA4042" w:rsidR="000C244F" w:rsidRDefault="000C244F">
          <w:pPr>
            <w:pStyle w:val="TOC1"/>
            <w:tabs>
              <w:tab w:val="right" w:leader="dot" w:pos="9350"/>
            </w:tabs>
            <w:rPr>
              <w:noProof/>
              <w:kern w:val="2"/>
              <w:sz w:val="24"/>
              <w:szCs w:val="24"/>
              <w14:ligatures w14:val="standardContextual"/>
            </w:rPr>
          </w:pPr>
          <w:hyperlink w:anchor="_Toc213842623" w:history="1">
            <w:r w:rsidRPr="00AE27C4">
              <w:rPr>
                <w:rStyle w:val="Hyperlink"/>
                <w:rFonts w:asciiTheme="majorBidi" w:hAnsiTheme="majorBidi"/>
                <w:noProof/>
              </w:rPr>
              <w:t>Strategic Recommendations</w:t>
            </w:r>
            <w:r>
              <w:rPr>
                <w:noProof/>
                <w:webHidden/>
              </w:rPr>
              <w:tab/>
            </w:r>
            <w:r>
              <w:rPr>
                <w:noProof/>
                <w:webHidden/>
              </w:rPr>
              <w:fldChar w:fldCharType="begin"/>
            </w:r>
            <w:r>
              <w:rPr>
                <w:noProof/>
                <w:webHidden/>
              </w:rPr>
              <w:instrText xml:space="preserve"> PAGEREF _Toc213842623 \h </w:instrText>
            </w:r>
            <w:r>
              <w:rPr>
                <w:noProof/>
                <w:webHidden/>
              </w:rPr>
            </w:r>
            <w:r>
              <w:rPr>
                <w:noProof/>
                <w:webHidden/>
              </w:rPr>
              <w:fldChar w:fldCharType="separate"/>
            </w:r>
            <w:r>
              <w:rPr>
                <w:noProof/>
                <w:webHidden/>
              </w:rPr>
              <w:t>15</w:t>
            </w:r>
            <w:r>
              <w:rPr>
                <w:noProof/>
                <w:webHidden/>
              </w:rPr>
              <w:fldChar w:fldCharType="end"/>
            </w:r>
          </w:hyperlink>
        </w:p>
        <w:p w14:paraId="3C25D618" w14:textId="65BA15E8" w:rsidR="000C244F" w:rsidRDefault="000C244F">
          <w:pPr>
            <w:pStyle w:val="TOC1"/>
            <w:tabs>
              <w:tab w:val="right" w:leader="dot" w:pos="9350"/>
            </w:tabs>
            <w:rPr>
              <w:noProof/>
              <w:kern w:val="2"/>
              <w:sz w:val="24"/>
              <w:szCs w:val="24"/>
              <w14:ligatures w14:val="standardContextual"/>
            </w:rPr>
          </w:pPr>
          <w:hyperlink w:anchor="_Toc213842624" w:history="1">
            <w:r w:rsidRPr="00AE27C4">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_Toc213842624 \h </w:instrText>
            </w:r>
            <w:r>
              <w:rPr>
                <w:noProof/>
                <w:webHidden/>
              </w:rPr>
            </w:r>
            <w:r>
              <w:rPr>
                <w:noProof/>
                <w:webHidden/>
              </w:rPr>
              <w:fldChar w:fldCharType="separate"/>
            </w:r>
            <w:r>
              <w:rPr>
                <w:noProof/>
                <w:webHidden/>
              </w:rPr>
              <w:t>17</w:t>
            </w:r>
            <w:r>
              <w:rPr>
                <w:noProof/>
                <w:webHidden/>
              </w:rPr>
              <w:fldChar w:fldCharType="end"/>
            </w:r>
          </w:hyperlink>
        </w:p>
        <w:p w14:paraId="1293240C" w14:textId="7C94EA14" w:rsidR="000C244F" w:rsidRDefault="000C244F">
          <w:pPr>
            <w:pStyle w:val="TOC1"/>
            <w:tabs>
              <w:tab w:val="right" w:leader="dot" w:pos="9350"/>
            </w:tabs>
            <w:rPr>
              <w:noProof/>
              <w:kern w:val="2"/>
              <w:sz w:val="24"/>
              <w:szCs w:val="24"/>
              <w14:ligatures w14:val="standardContextual"/>
            </w:rPr>
          </w:pPr>
          <w:hyperlink w:anchor="_Toc213842625" w:history="1">
            <w:r w:rsidRPr="00AE27C4">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_Toc213842625 \h </w:instrText>
            </w:r>
            <w:r>
              <w:rPr>
                <w:noProof/>
                <w:webHidden/>
              </w:rPr>
            </w:r>
            <w:r>
              <w:rPr>
                <w:noProof/>
                <w:webHidden/>
              </w:rPr>
              <w:fldChar w:fldCharType="separate"/>
            </w:r>
            <w:r>
              <w:rPr>
                <w:noProof/>
                <w:webHidden/>
              </w:rPr>
              <w:t>18</w:t>
            </w:r>
            <w:r>
              <w:rPr>
                <w:noProof/>
                <w:webHidden/>
              </w:rPr>
              <w:fldChar w:fldCharType="end"/>
            </w:r>
          </w:hyperlink>
        </w:p>
        <w:p w14:paraId="0F019B55" w14:textId="31DAA538" w:rsidR="00710657" w:rsidRPr="00710657" w:rsidRDefault="00710657" w:rsidP="00347F11">
          <w:pPr>
            <w:spacing w:line="276" w:lineRule="auto"/>
            <w:rPr>
              <w:rFonts w:asciiTheme="majorBidi" w:hAnsiTheme="majorBidi" w:cstheme="majorBidi"/>
              <w:b/>
              <w:bCs/>
              <w:noProof/>
            </w:rPr>
          </w:pPr>
          <w:r w:rsidRPr="00710657">
            <w:rPr>
              <w:rFonts w:asciiTheme="majorBidi" w:hAnsiTheme="majorBidi" w:cstheme="majorBidi"/>
              <w:b/>
              <w:bCs/>
              <w:noProof/>
              <w:sz w:val="24"/>
              <w:szCs w:val="24"/>
            </w:rPr>
            <w:fldChar w:fldCharType="end"/>
          </w:r>
        </w:p>
      </w:sdtContent>
    </w:sdt>
    <w:p w14:paraId="236ED0CF" w14:textId="1C088C78" w:rsidR="00DE3025" w:rsidRPr="00710657" w:rsidRDefault="00DE3025" w:rsidP="00347F11">
      <w:pPr>
        <w:spacing w:line="276" w:lineRule="auto"/>
        <w:rPr>
          <w:rFonts w:asciiTheme="majorBidi" w:hAnsiTheme="majorBidi" w:cstheme="majorBidi"/>
        </w:rPr>
      </w:pPr>
      <w:r w:rsidRPr="00710657">
        <w:rPr>
          <w:rFonts w:asciiTheme="majorBidi" w:hAnsiTheme="majorBidi" w:cstheme="majorBidi"/>
          <w:i/>
          <w:sz w:val="24"/>
          <w:szCs w:val="24"/>
        </w:rPr>
        <w:br w:type="page"/>
      </w:r>
    </w:p>
    <w:p w14:paraId="2E889771" w14:textId="5407DA50" w:rsidR="00271801" w:rsidRPr="00710657" w:rsidRDefault="00271801" w:rsidP="00347F11">
      <w:pPr>
        <w:pStyle w:val="Heading1"/>
        <w:spacing w:before="240" w:line="276" w:lineRule="auto"/>
        <w:rPr>
          <w:rFonts w:asciiTheme="majorBidi" w:hAnsiTheme="majorBidi"/>
        </w:rPr>
      </w:pPr>
      <w:bookmarkStart w:id="1" w:name="_Toc213842609"/>
      <w:r w:rsidRPr="00710657">
        <w:rPr>
          <w:rFonts w:asciiTheme="majorBidi" w:hAnsiTheme="majorBidi"/>
          <w:color w:val="auto"/>
        </w:rPr>
        <w:lastRenderedPageBreak/>
        <w:t>Executive Summary</w:t>
      </w:r>
      <w:bookmarkEnd w:id="1"/>
    </w:p>
    <w:p w14:paraId="3E0AC370" w14:textId="16EBF8DD"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This report evaluates the feasibility of Almarai Company, Saudi Arabia’s leading dairy and food producer, entering the Indonesian market.</w:t>
      </w:r>
      <w:r w:rsidRPr="00CA03D6">
        <w:rPr>
          <w:rFonts w:asciiTheme="majorBidi" w:hAnsiTheme="majorBidi" w:cstheme="majorBidi"/>
          <w:sz w:val="24"/>
          <w:szCs w:val="24"/>
        </w:rPr>
        <w:br/>
        <w:t>The objective is to identify the most suitable foreign market and entry strategy for sustainable international expansion. The analysis applies international business frameworks — PESTLE analysis, comparative factor weighting, and evaluation of entry strategies — to assess Indonesia’s potential.</w:t>
      </w:r>
    </w:p>
    <w:p w14:paraId="7979DE03" w14:textId="6753C666" w:rsidR="00271801" w:rsidRPr="00271801" w:rsidRDefault="00CA03D6" w:rsidP="00142F55">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Indonesia emerged as the optimal choice based on its population exceeding 270 million, strong cultural and religious alignment with Saudi Arabia, and a growing demand for Halal-certified dairy products. Despite logistical and regulatory challenges, the benefits outweigh the risks.</w:t>
      </w:r>
      <w:r w:rsidRPr="00CA03D6">
        <w:rPr>
          <w:rFonts w:asciiTheme="majorBidi" w:hAnsiTheme="majorBidi" w:cstheme="majorBidi"/>
          <w:sz w:val="24"/>
          <w:szCs w:val="24"/>
        </w:rPr>
        <w:br/>
        <w:t>A joint venture with a local food or logistics partner is recommended as the most effective mode of entry to balance control, adaptation, and risk sharing.</w:t>
      </w:r>
      <w:r w:rsidR="00142F55">
        <w:rPr>
          <w:rFonts w:asciiTheme="majorBidi" w:hAnsiTheme="majorBidi" w:cstheme="majorBidi"/>
          <w:sz w:val="24"/>
          <w:szCs w:val="24"/>
        </w:rPr>
        <w:t xml:space="preserve"> T</w:t>
      </w:r>
      <w:r w:rsidR="00142F55" w:rsidRPr="00142F55">
        <w:rPr>
          <w:rFonts w:asciiTheme="majorBidi" w:hAnsiTheme="majorBidi" w:cstheme="majorBidi"/>
          <w:sz w:val="24"/>
          <w:szCs w:val="24"/>
        </w:rPr>
        <w:t>he report also outlines localized marketing, pricing, and CSR strategies designed to build Almarai’s brand equity, strengthen its social reputation, and ensure sustainable market integration in Indonesia.</w:t>
      </w:r>
    </w:p>
    <w:p w14:paraId="534710AD" w14:textId="096524E8" w:rsidR="00271801" w:rsidRPr="00710657" w:rsidRDefault="00271801" w:rsidP="00347F11">
      <w:pPr>
        <w:pStyle w:val="Heading1"/>
        <w:spacing w:before="240" w:line="276" w:lineRule="auto"/>
        <w:rPr>
          <w:rFonts w:asciiTheme="majorBidi" w:hAnsiTheme="majorBidi"/>
          <w:color w:val="auto"/>
        </w:rPr>
      </w:pPr>
      <w:bookmarkStart w:id="2" w:name="_Toc213842610"/>
      <w:r w:rsidRPr="00710657">
        <w:rPr>
          <w:rFonts w:asciiTheme="majorBidi" w:hAnsiTheme="majorBidi"/>
          <w:color w:val="auto"/>
        </w:rPr>
        <w:t>Company Background</w:t>
      </w:r>
      <w:bookmarkEnd w:id="2"/>
    </w:p>
    <w:p w14:paraId="5C4B51D1"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Almarai, founded in 1977 in Riyadh, is the largest vertically integrated dairy and food company in the Middle East. It operates across several categories — dairy, juice, bakery, poultry, and infant nutrition — and serves millions of consumers daily.</w:t>
      </w:r>
    </w:p>
    <w:p w14:paraId="0A959CB9"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With over 200,000 dairy cattle, 20 manufacturing facilities, and one of the region’s most advanced cold-chain logistics networks, Almarai generates annual revenues exceeding SAR 18 billion (USD 4.8 billion). The company aligns with Saudi Arabia’s Vision 2030, which emphasizes economic diversification and expansion beyond oil.</w:t>
      </w:r>
    </w:p>
    <w:p w14:paraId="02A73657" w14:textId="77777777" w:rsidR="00271801" w:rsidRPr="00271801" w:rsidRDefault="00271801" w:rsidP="00347F11">
      <w:pPr>
        <w:numPr>
          <w:ilvl w:val="0"/>
          <w:numId w:val="8"/>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Vision:</w:t>
      </w:r>
      <w:r w:rsidRPr="00271801">
        <w:rPr>
          <w:rFonts w:asciiTheme="majorBidi" w:hAnsiTheme="majorBidi" w:cstheme="majorBidi"/>
          <w:sz w:val="24"/>
          <w:szCs w:val="24"/>
        </w:rPr>
        <w:t xml:space="preserve"> “To be the consumers’ preferred choice by leading in quality, innovation, and nutrition.”</w:t>
      </w:r>
    </w:p>
    <w:p w14:paraId="63DC4ABF" w14:textId="77777777" w:rsidR="00271801" w:rsidRPr="00271801" w:rsidRDefault="00271801" w:rsidP="00347F11">
      <w:pPr>
        <w:numPr>
          <w:ilvl w:val="0"/>
          <w:numId w:val="8"/>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Mission:</w:t>
      </w:r>
      <w:r w:rsidRPr="00271801">
        <w:rPr>
          <w:rFonts w:asciiTheme="majorBidi" w:hAnsiTheme="majorBidi" w:cstheme="majorBidi"/>
          <w:sz w:val="24"/>
          <w:szCs w:val="24"/>
        </w:rPr>
        <w:t xml:space="preserve"> To deliver superior, healthy, and nutritious food and beverage products that enrich consumers’ lives every day.</w:t>
      </w:r>
    </w:p>
    <w:p w14:paraId="152C6280" w14:textId="77777777" w:rsidR="00271801" w:rsidRDefault="00271801" w:rsidP="00347F11">
      <w:pPr>
        <w:numPr>
          <w:ilvl w:val="0"/>
          <w:numId w:val="8"/>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Corporate Goals:</w:t>
      </w:r>
      <w:r w:rsidRPr="00271801">
        <w:rPr>
          <w:rFonts w:asciiTheme="majorBidi" w:hAnsiTheme="majorBidi" w:cstheme="majorBidi"/>
          <w:sz w:val="24"/>
          <w:szCs w:val="24"/>
        </w:rPr>
        <w:t xml:space="preserve"> Continuous innovation, market diversification, operational excellence, and sustainable agricultural sourcing consistent with Saudi Vision 2030.</w:t>
      </w:r>
    </w:p>
    <w:p w14:paraId="19E2B956" w14:textId="77777777" w:rsidR="00CA03D6" w:rsidRPr="00271801" w:rsidRDefault="00CA03D6" w:rsidP="00347F11">
      <w:pPr>
        <w:spacing w:before="240" w:line="276" w:lineRule="auto"/>
        <w:ind w:left="720"/>
        <w:rPr>
          <w:rFonts w:asciiTheme="majorBidi" w:hAnsiTheme="majorBidi" w:cstheme="majorBidi"/>
          <w:sz w:val="24"/>
          <w:szCs w:val="24"/>
        </w:rPr>
      </w:pPr>
    </w:p>
    <w:p w14:paraId="4E79B3D6" w14:textId="32F9A7F2" w:rsidR="00271801" w:rsidRPr="00710657" w:rsidRDefault="00271801" w:rsidP="00347F11">
      <w:pPr>
        <w:pStyle w:val="Heading1"/>
        <w:spacing w:before="240" w:line="276" w:lineRule="auto"/>
        <w:rPr>
          <w:rFonts w:asciiTheme="majorBidi" w:hAnsiTheme="majorBidi"/>
          <w:color w:val="auto"/>
        </w:rPr>
      </w:pPr>
      <w:bookmarkStart w:id="3" w:name="_Toc213842611"/>
      <w:r w:rsidRPr="00710657">
        <w:rPr>
          <w:rFonts w:asciiTheme="majorBidi" w:hAnsiTheme="majorBidi"/>
          <w:color w:val="auto"/>
        </w:rPr>
        <w:lastRenderedPageBreak/>
        <w:t>Drivers of Establishing an International Business</w:t>
      </w:r>
      <w:bookmarkEnd w:id="3"/>
    </w:p>
    <w:p w14:paraId="7B3C50CC"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Almarai’s international expansion is motivated by strategic, economic, and developmental drivers:</w:t>
      </w:r>
    </w:p>
    <w:p w14:paraId="53F4AD40" w14:textId="77777777" w:rsidR="00CA03D6" w:rsidRPr="00CA03D6" w:rsidRDefault="00CA03D6" w:rsidP="00347F11">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Market Saturation in GCC:</w:t>
      </w:r>
      <w:r w:rsidRPr="00CA03D6">
        <w:rPr>
          <w:rFonts w:asciiTheme="majorBidi" w:hAnsiTheme="majorBidi" w:cstheme="majorBidi"/>
          <w:sz w:val="24"/>
          <w:szCs w:val="24"/>
        </w:rPr>
        <w:t xml:space="preserve"> The Gulf markets are mature, and competition has increased. Expanding abroad ensures long-term revenue growth.</w:t>
      </w:r>
    </w:p>
    <w:p w14:paraId="6CA755ED" w14:textId="77777777" w:rsidR="00CA03D6" w:rsidRPr="00CA03D6" w:rsidRDefault="00CA03D6" w:rsidP="00347F11">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Vision 2030 Alignment:</w:t>
      </w:r>
      <w:r w:rsidRPr="00CA03D6">
        <w:rPr>
          <w:rFonts w:asciiTheme="majorBidi" w:hAnsiTheme="majorBidi" w:cstheme="majorBidi"/>
          <w:sz w:val="24"/>
          <w:szCs w:val="24"/>
        </w:rPr>
        <w:t xml:space="preserve"> Saudi Vision 2030 encourages large firms to diversify exports and invest in foreign markets.</w:t>
      </w:r>
    </w:p>
    <w:p w14:paraId="6A985197" w14:textId="77777777" w:rsidR="00CA03D6" w:rsidRPr="00CA03D6" w:rsidRDefault="00CA03D6" w:rsidP="00347F11">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Economic Diversification:</w:t>
      </w:r>
      <w:r w:rsidRPr="00CA03D6">
        <w:rPr>
          <w:rFonts w:asciiTheme="majorBidi" w:hAnsiTheme="majorBidi" w:cstheme="majorBidi"/>
          <w:sz w:val="24"/>
          <w:szCs w:val="24"/>
        </w:rPr>
        <w:t xml:space="preserve"> International growth reduces dependence on regional dairy sales.</w:t>
      </w:r>
    </w:p>
    <w:p w14:paraId="707F0EA8" w14:textId="77777777" w:rsidR="00CA03D6" w:rsidRPr="00CA03D6" w:rsidRDefault="00CA03D6" w:rsidP="00347F11">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Cultural Compatibility:</w:t>
      </w:r>
      <w:r w:rsidRPr="00CA03D6">
        <w:rPr>
          <w:rFonts w:asciiTheme="majorBidi" w:hAnsiTheme="majorBidi" w:cstheme="majorBidi"/>
          <w:sz w:val="24"/>
          <w:szCs w:val="24"/>
        </w:rPr>
        <w:t xml:space="preserve"> Indonesia’s Muslim-majority market aligns with Almarai’s Halal brand identity.</w:t>
      </w:r>
    </w:p>
    <w:p w14:paraId="55622616" w14:textId="77777777" w:rsidR="00CA03D6" w:rsidRPr="00CA03D6" w:rsidRDefault="00CA03D6" w:rsidP="00347F11">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Regional Integration:</w:t>
      </w:r>
      <w:r w:rsidRPr="00CA03D6">
        <w:rPr>
          <w:rFonts w:asciiTheme="majorBidi" w:hAnsiTheme="majorBidi" w:cstheme="majorBidi"/>
          <w:sz w:val="24"/>
          <w:szCs w:val="24"/>
        </w:rPr>
        <w:t xml:space="preserve"> Membership in ASEAN and the RCEP trade agreement enhances market access and reduces tariffs.</w:t>
      </w:r>
    </w:p>
    <w:p w14:paraId="315BF8ED" w14:textId="77777777" w:rsidR="00CA03D6" w:rsidRPr="00CA03D6" w:rsidRDefault="00CA03D6" w:rsidP="00347F11">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Core Competency Transfer:</w:t>
      </w:r>
      <w:r w:rsidRPr="00CA03D6">
        <w:rPr>
          <w:rFonts w:asciiTheme="majorBidi" w:hAnsiTheme="majorBidi" w:cstheme="majorBidi"/>
          <w:sz w:val="24"/>
          <w:szCs w:val="24"/>
        </w:rPr>
        <w:t xml:space="preserve"> Almarai’s expertise in cold-chain logistics and food innovation can be leveraged abroad.</w:t>
      </w:r>
    </w:p>
    <w:p w14:paraId="79DB4D1C" w14:textId="25F0756A" w:rsidR="000C166B" w:rsidRPr="000C166B" w:rsidRDefault="00CA03D6" w:rsidP="000C166B">
      <w:pPr>
        <w:numPr>
          <w:ilvl w:val="0"/>
          <w:numId w:val="13"/>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Brand Globalization:</w:t>
      </w:r>
      <w:r w:rsidRPr="00CA03D6">
        <w:rPr>
          <w:rFonts w:asciiTheme="majorBidi" w:hAnsiTheme="majorBidi" w:cstheme="majorBidi"/>
          <w:sz w:val="24"/>
          <w:szCs w:val="24"/>
        </w:rPr>
        <w:t xml:space="preserve"> Expanding into Indonesia positions Almarai as a trusted global Halal brand.</w:t>
      </w:r>
    </w:p>
    <w:p w14:paraId="76CE9581" w14:textId="1A333ED1" w:rsidR="00271801" w:rsidRPr="00710657" w:rsidRDefault="00271801" w:rsidP="00347F11">
      <w:pPr>
        <w:pStyle w:val="Heading1"/>
        <w:spacing w:before="240" w:line="276" w:lineRule="auto"/>
        <w:rPr>
          <w:rFonts w:asciiTheme="majorBidi" w:hAnsiTheme="majorBidi"/>
          <w:color w:val="auto"/>
        </w:rPr>
      </w:pPr>
      <w:bookmarkStart w:id="4" w:name="_Toc213842612"/>
      <w:r w:rsidRPr="00710657">
        <w:rPr>
          <w:rFonts w:asciiTheme="majorBidi" w:hAnsiTheme="majorBidi"/>
          <w:color w:val="auto"/>
        </w:rPr>
        <w:t>Alternative Foreign Countries</w:t>
      </w:r>
      <w:bookmarkEnd w:id="4"/>
    </w:p>
    <w:p w14:paraId="6FF99DAC"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 xml:space="preserve">Two markets — </w:t>
      </w:r>
      <w:r w:rsidRPr="00CA03D6">
        <w:rPr>
          <w:rFonts w:asciiTheme="majorBidi" w:hAnsiTheme="majorBidi" w:cstheme="majorBidi"/>
          <w:b/>
          <w:bCs/>
          <w:sz w:val="24"/>
          <w:szCs w:val="24"/>
        </w:rPr>
        <w:t>India</w:t>
      </w:r>
      <w:r w:rsidRPr="00CA03D6">
        <w:rPr>
          <w:rFonts w:asciiTheme="majorBidi" w:hAnsiTheme="majorBidi" w:cstheme="majorBidi"/>
          <w:sz w:val="24"/>
          <w:szCs w:val="24"/>
        </w:rPr>
        <w:t xml:space="preserve"> and </w:t>
      </w:r>
      <w:r w:rsidRPr="00CA03D6">
        <w:rPr>
          <w:rFonts w:asciiTheme="majorBidi" w:hAnsiTheme="majorBidi" w:cstheme="majorBidi"/>
          <w:b/>
          <w:bCs/>
          <w:sz w:val="24"/>
          <w:szCs w:val="24"/>
        </w:rPr>
        <w:t>Indonesia</w:t>
      </w:r>
      <w:r w:rsidRPr="00CA03D6">
        <w:rPr>
          <w:rFonts w:asciiTheme="majorBidi" w:hAnsiTheme="majorBidi" w:cstheme="majorBidi"/>
          <w:sz w:val="24"/>
          <w:szCs w:val="24"/>
        </w:rPr>
        <w:t xml:space="preserve"> — were initially assessed.</w:t>
      </w:r>
    </w:p>
    <w:p w14:paraId="5622CA97" w14:textId="77777777" w:rsidR="00CA03D6" w:rsidRPr="00CA03D6" w:rsidRDefault="00CA03D6" w:rsidP="00347F11">
      <w:pPr>
        <w:numPr>
          <w:ilvl w:val="0"/>
          <w:numId w:val="14"/>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India:</w:t>
      </w:r>
      <w:r w:rsidRPr="00CA03D6">
        <w:rPr>
          <w:rFonts w:asciiTheme="majorBidi" w:hAnsiTheme="majorBidi" w:cstheme="majorBidi"/>
          <w:sz w:val="24"/>
          <w:szCs w:val="24"/>
        </w:rPr>
        <w:t xml:space="preserve"> While offering scale, India’s market is dominated by domestic cooperatives such as Amul and Mother Dairy. High competition, strict regulations, and limited cold-chain infrastructure reduce entry attractiveness.</w:t>
      </w:r>
    </w:p>
    <w:p w14:paraId="0FC2ED7B" w14:textId="77777777" w:rsidR="00CA03D6" w:rsidRPr="00CA03D6" w:rsidRDefault="00CA03D6" w:rsidP="00347F11">
      <w:pPr>
        <w:numPr>
          <w:ilvl w:val="0"/>
          <w:numId w:val="14"/>
        </w:num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Indonesia:</w:t>
      </w:r>
      <w:r w:rsidRPr="00CA03D6">
        <w:rPr>
          <w:rFonts w:asciiTheme="majorBidi" w:hAnsiTheme="majorBidi" w:cstheme="majorBidi"/>
          <w:sz w:val="24"/>
          <w:szCs w:val="24"/>
        </w:rPr>
        <w:t xml:space="preserve"> High dependency on dairy imports (over 80%), strong economic growth (GDP ~USD 1.6 trillion), and a young, urbanizing population make it more attractive. Cultural and religious similarity with Saudi Arabia increases consumer trust.</w:t>
      </w:r>
    </w:p>
    <w:p w14:paraId="441D4D5E"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b/>
          <w:bCs/>
          <w:sz w:val="24"/>
          <w:szCs w:val="24"/>
        </w:rPr>
        <w:t>Result:</w:t>
      </w:r>
      <w:r w:rsidRPr="00CA03D6">
        <w:rPr>
          <w:rFonts w:asciiTheme="majorBidi" w:hAnsiTheme="majorBidi" w:cstheme="majorBidi"/>
          <w:sz w:val="24"/>
          <w:szCs w:val="24"/>
        </w:rPr>
        <w:t xml:space="preserve"> Indonesia selected for detailed assessment.</w:t>
      </w:r>
    </w:p>
    <w:p w14:paraId="2E69D201" w14:textId="28251A7D" w:rsidR="00271801" w:rsidRPr="00710657" w:rsidRDefault="00271801" w:rsidP="00347F11">
      <w:pPr>
        <w:pStyle w:val="Heading1"/>
        <w:spacing w:before="240" w:line="276" w:lineRule="auto"/>
        <w:rPr>
          <w:rFonts w:asciiTheme="majorBidi" w:hAnsiTheme="majorBidi"/>
          <w:color w:val="auto"/>
        </w:rPr>
      </w:pPr>
      <w:bookmarkStart w:id="5" w:name="_Toc213842613"/>
      <w:r w:rsidRPr="00710657">
        <w:rPr>
          <w:rFonts w:asciiTheme="majorBidi" w:hAnsiTheme="majorBidi"/>
          <w:color w:val="auto"/>
        </w:rPr>
        <w:lastRenderedPageBreak/>
        <w:t>Assessment of Indonesia (PESTLE and Key Factors)</w:t>
      </w:r>
      <w:bookmarkEnd w:id="5"/>
    </w:p>
    <w:p w14:paraId="1771F6DB" w14:textId="4EBD0B16" w:rsidR="00CA03D6" w:rsidRDefault="00CA03D6" w:rsidP="00347F11">
      <w:pPr>
        <w:spacing w:before="240" w:line="276" w:lineRule="auto"/>
        <w:rPr>
          <w:rFonts w:asciiTheme="majorBidi" w:hAnsiTheme="majorBidi" w:cstheme="majorBidi"/>
          <w:b/>
          <w:bCs/>
          <w:sz w:val="26"/>
          <w:szCs w:val="26"/>
        </w:rPr>
      </w:pPr>
      <w:r>
        <w:rPr>
          <w:rFonts w:asciiTheme="majorBidi" w:hAnsiTheme="majorBidi" w:cstheme="majorBidi"/>
          <w:b/>
          <w:bCs/>
          <w:sz w:val="26"/>
          <w:szCs w:val="26"/>
        </w:rPr>
        <w:t>PESTEL</w:t>
      </w:r>
    </w:p>
    <w:p w14:paraId="2CAA37B2" w14:textId="2907486B" w:rsidR="00271801" w:rsidRPr="00271801" w:rsidRDefault="00710657" w:rsidP="00347F11">
      <w:pPr>
        <w:spacing w:before="240" w:line="276" w:lineRule="auto"/>
        <w:rPr>
          <w:rFonts w:asciiTheme="majorBidi" w:hAnsiTheme="majorBidi" w:cstheme="majorBidi"/>
          <w:b/>
          <w:bCs/>
          <w:sz w:val="24"/>
          <w:szCs w:val="24"/>
        </w:rPr>
      </w:pPr>
      <w:r w:rsidRPr="00CA03D6">
        <w:rPr>
          <w:rFonts w:asciiTheme="majorBidi" w:hAnsiTheme="majorBidi" w:cstheme="majorBidi"/>
          <w:b/>
          <w:bCs/>
          <w:sz w:val="24"/>
          <w:szCs w:val="24"/>
        </w:rPr>
        <w:t xml:space="preserve">1- </w:t>
      </w:r>
      <w:r w:rsidR="00271801" w:rsidRPr="00271801">
        <w:rPr>
          <w:rFonts w:asciiTheme="majorBidi" w:hAnsiTheme="majorBidi" w:cstheme="majorBidi"/>
          <w:b/>
          <w:bCs/>
          <w:sz w:val="24"/>
          <w:szCs w:val="24"/>
        </w:rPr>
        <w:t>Political</w:t>
      </w:r>
    </w:p>
    <w:p w14:paraId="19277E82" w14:textId="77777777"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Indonesia is a stable democracy with consistent economic policy continuity. Government actively promotes food security, Halal industry development, and foreign investment in agriculture. However, regulatory complexity—especially import licensing, Halal certification, and labeling—creates entry barriers.</w:t>
      </w:r>
    </w:p>
    <w:p w14:paraId="1B2D08B6" w14:textId="4A4A9552" w:rsidR="00271801" w:rsidRPr="00271801" w:rsidRDefault="00710657" w:rsidP="00347F11">
      <w:pPr>
        <w:spacing w:before="240" w:line="276" w:lineRule="auto"/>
        <w:rPr>
          <w:rFonts w:asciiTheme="majorBidi" w:hAnsiTheme="majorBidi" w:cstheme="majorBidi"/>
          <w:b/>
          <w:bCs/>
          <w:sz w:val="24"/>
          <w:szCs w:val="24"/>
        </w:rPr>
      </w:pPr>
      <w:r w:rsidRPr="00CA03D6">
        <w:rPr>
          <w:rFonts w:asciiTheme="majorBidi" w:hAnsiTheme="majorBidi" w:cstheme="majorBidi"/>
          <w:b/>
          <w:bCs/>
          <w:sz w:val="24"/>
          <w:szCs w:val="24"/>
        </w:rPr>
        <w:t xml:space="preserve">2- </w:t>
      </w:r>
      <w:r w:rsidR="00461F4E" w:rsidRPr="00CA03D6">
        <w:rPr>
          <w:rFonts w:asciiTheme="majorBidi" w:hAnsiTheme="majorBidi" w:cstheme="majorBidi"/>
          <w:b/>
          <w:bCs/>
          <w:sz w:val="24"/>
          <w:szCs w:val="24"/>
        </w:rPr>
        <w:t>Economics</w:t>
      </w:r>
    </w:p>
    <w:p w14:paraId="29B3EC89" w14:textId="77777777" w:rsidR="00271801" w:rsidRPr="00271801" w:rsidRDefault="00271801" w:rsidP="00347F11">
      <w:pPr>
        <w:numPr>
          <w:ilvl w:val="0"/>
          <w:numId w:val="9"/>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GDP (2024):</w:t>
      </w:r>
      <w:r w:rsidRPr="00271801">
        <w:rPr>
          <w:rFonts w:asciiTheme="majorBidi" w:hAnsiTheme="majorBidi" w:cstheme="majorBidi"/>
          <w:sz w:val="24"/>
          <w:szCs w:val="24"/>
        </w:rPr>
        <w:t xml:space="preserve"> ≈ USD 1.6 trillion; annual growth 5–5.5%.</w:t>
      </w:r>
    </w:p>
    <w:p w14:paraId="76860302" w14:textId="77777777" w:rsidR="00271801" w:rsidRPr="00271801" w:rsidRDefault="00271801" w:rsidP="00347F11">
      <w:pPr>
        <w:numPr>
          <w:ilvl w:val="0"/>
          <w:numId w:val="9"/>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Middle-Class Expansion:</w:t>
      </w:r>
      <w:r w:rsidRPr="00271801">
        <w:rPr>
          <w:rFonts w:asciiTheme="majorBidi" w:hAnsiTheme="majorBidi" w:cstheme="majorBidi"/>
          <w:sz w:val="24"/>
          <w:szCs w:val="24"/>
        </w:rPr>
        <w:t xml:space="preserve"> Projected to reach 140 million by 2030.</w:t>
      </w:r>
    </w:p>
    <w:p w14:paraId="0E2E4942" w14:textId="77777777" w:rsidR="00271801" w:rsidRPr="00271801" w:rsidRDefault="00271801" w:rsidP="00347F11">
      <w:pPr>
        <w:numPr>
          <w:ilvl w:val="0"/>
          <w:numId w:val="9"/>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Dairy Market:</w:t>
      </w:r>
      <w:r w:rsidRPr="00271801">
        <w:rPr>
          <w:rFonts w:asciiTheme="majorBidi" w:hAnsiTheme="majorBidi" w:cstheme="majorBidi"/>
          <w:sz w:val="24"/>
          <w:szCs w:val="24"/>
        </w:rPr>
        <w:t xml:space="preserve"> Imports account for ~80 % of demand; annual growth 8–10%.</w:t>
      </w:r>
    </w:p>
    <w:p w14:paraId="387800F5" w14:textId="05B56007" w:rsidR="00271801" w:rsidRPr="00271801" w:rsidRDefault="00271801" w:rsidP="00347F11">
      <w:pPr>
        <w:numPr>
          <w:ilvl w:val="0"/>
          <w:numId w:val="9"/>
        </w:numPr>
        <w:spacing w:before="240" w:line="276" w:lineRule="auto"/>
        <w:rPr>
          <w:rFonts w:asciiTheme="majorBidi" w:hAnsiTheme="majorBidi" w:cstheme="majorBidi"/>
          <w:sz w:val="24"/>
          <w:szCs w:val="24"/>
        </w:rPr>
      </w:pPr>
      <w:r w:rsidRPr="00271801">
        <w:rPr>
          <w:rFonts w:asciiTheme="majorBidi" w:hAnsiTheme="majorBidi" w:cstheme="majorBidi"/>
          <w:b/>
          <w:bCs/>
          <w:sz w:val="24"/>
          <w:szCs w:val="24"/>
        </w:rPr>
        <w:t>Currency Risk:</w:t>
      </w:r>
      <w:r w:rsidRPr="00271801">
        <w:rPr>
          <w:rFonts w:asciiTheme="majorBidi" w:hAnsiTheme="majorBidi" w:cstheme="majorBidi"/>
          <w:sz w:val="24"/>
          <w:szCs w:val="24"/>
        </w:rPr>
        <w:t xml:space="preserve"> The Rupiah is moderately volatile; hedging and local sourcing recommended.</w:t>
      </w:r>
      <w:r w:rsidRPr="00271801">
        <w:rPr>
          <w:rFonts w:asciiTheme="majorBidi" w:hAnsiTheme="majorBidi" w:cstheme="majorBidi"/>
          <w:sz w:val="24"/>
          <w:szCs w:val="24"/>
        </w:rPr>
        <w:br/>
        <w:t>These indicators reflect a high-growth, middle-income market</w:t>
      </w:r>
    </w:p>
    <w:p w14:paraId="6EC976D7" w14:textId="27DBD7EA" w:rsidR="00271801" w:rsidRPr="00271801" w:rsidRDefault="00710657" w:rsidP="00347F11">
      <w:pPr>
        <w:spacing w:before="240" w:line="276" w:lineRule="auto"/>
        <w:rPr>
          <w:rFonts w:asciiTheme="majorBidi" w:hAnsiTheme="majorBidi" w:cstheme="majorBidi"/>
          <w:b/>
          <w:bCs/>
          <w:sz w:val="24"/>
          <w:szCs w:val="24"/>
        </w:rPr>
      </w:pPr>
      <w:r w:rsidRPr="00CA03D6">
        <w:rPr>
          <w:rFonts w:asciiTheme="majorBidi" w:hAnsiTheme="majorBidi" w:cstheme="majorBidi"/>
          <w:b/>
          <w:bCs/>
          <w:sz w:val="24"/>
          <w:szCs w:val="24"/>
        </w:rPr>
        <w:t xml:space="preserve">3- </w:t>
      </w:r>
      <w:r w:rsidR="00271801" w:rsidRPr="00271801">
        <w:rPr>
          <w:rFonts w:asciiTheme="majorBidi" w:hAnsiTheme="majorBidi" w:cstheme="majorBidi"/>
          <w:b/>
          <w:bCs/>
          <w:sz w:val="24"/>
          <w:szCs w:val="24"/>
        </w:rPr>
        <w:t>Social / Cultural</w:t>
      </w:r>
    </w:p>
    <w:p w14:paraId="02DFF955" w14:textId="1DEEEE3B"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Largest Muslim population globally; Halal certification is mandatory. Consumers favor sweetened and flavored milk, yogurt drinks, and functional beverages. Family-oriented culture values brand trust and quality. Literacy &gt; 95 %; social-media usage among highest worldwide—ideal for digital marketing campaigns. Hofstede’s model shows moderate power distance, collectivism, and long-term orientation, implying the need for relationship-based business (guanxi)</w:t>
      </w:r>
    </w:p>
    <w:p w14:paraId="656CF40A" w14:textId="158D2E51" w:rsidR="00271801" w:rsidRPr="00271801" w:rsidRDefault="00710657" w:rsidP="00347F11">
      <w:pPr>
        <w:spacing w:before="240" w:line="276" w:lineRule="auto"/>
        <w:rPr>
          <w:rFonts w:asciiTheme="majorBidi" w:hAnsiTheme="majorBidi" w:cstheme="majorBidi"/>
          <w:b/>
          <w:bCs/>
          <w:sz w:val="24"/>
          <w:szCs w:val="24"/>
        </w:rPr>
      </w:pPr>
      <w:r w:rsidRPr="00CA03D6">
        <w:rPr>
          <w:rFonts w:asciiTheme="majorBidi" w:hAnsiTheme="majorBidi" w:cstheme="majorBidi"/>
          <w:b/>
          <w:bCs/>
          <w:sz w:val="24"/>
          <w:szCs w:val="24"/>
        </w:rPr>
        <w:t xml:space="preserve">4- </w:t>
      </w:r>
      <w:r w:rsidR="00271801" w:rsidRPr="00271801">
        <w:rPr>
          <w:rFonts w:asciiTheme="majorBidi" w:hAnsiTheme="majorBidi" w:cstheme="majorBidi"/>
          <w:b/>
          <w:bCs/>
          <w:sz w:val="24"/>
          <w:szCs w:val="24"/>
        </w:rPr>
        <w:t>Technological</w:t>
      </w:r>
    </w:p>
    <w:p w14:paraId="1FDB0C63" w14:textId="77777777"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Growing digital infrastructure: e-commerce penetration &gt; 70 %, logistics tech startups rising. However, cold-chain infrastructure remains underdeveloped outside major cities. Opportunity for Almarai’s logistics expertise.</w:t>
      </w:r>
    </w:p>
    <w:p w14:paraId="60AE4E0C" w14:textId="77777777" w:rsidR="00710657" w:rsidRPr="00710657" w:rsidRDefault="00710657" w:rsidP="00347F11">
      <w:pPr>
        <w:spacing w:before="240" w:line="276" w:lineRule="auto"/>
        <w:rPr>
          <w:rFonts w:asciiTheme="majorBidi" w:hAnsiTheme="majorBidi" w:cstheme="majorBidi"/>
          <w:b/>
          <w:bCs/>
          <w:sz w:val="26"/>
          <w:szCs w:val="26"/>
        </w:rPr>
      </w:pPr>
    </w:p>
    <w:p w14:paraId="3176F9E6" w14:textId="44410137" w:rsidR="00271801" w:rsidRPr="00271801" w:rsidRDefault="00710657" w:rsidP="00347F11">
      <w:pPr>
        <w:spacing w:before="240" w:line="276" w:lineRule="auto"/>
        <w:rPr>
          <w:rFonts w:asciiTheme="majorBidi" w:hAnsiTheme="majorBidi" w:cstheme="majorBidi"/>
          <w:b/>
          <w:bCs/>
          <w:sz w:val="24"/>
          <w:szCs w:val="24"/>
        </w:rPr>
      </w:pPr>
      <w:r w:rsidRPr="00CA03D6">
        <w:rPr>
          <w:rFonts w:asciiTheme="majorBidi" w:hAnsiTheme="majorBidi" w:cstheme="majorBidi"/>
          <w:b/>
          <w:bCs/>
          <w:sz w:val="24"/>
          <w:szCs w:val="24"/>
        </w:rPr>
        <w:lastRenderedPageBreak/>
        <w:t xml:space="preserve">5- </w:t>
      </w:r>
      <w:r w:rsidR="00271801" w:rsidRPr="00271801">
        <w:rPr>
          <w:rFonts w:asciiTheme="majorBidi" w:hAnsiTheme="majorBidi" w:cstheme="majorBidi"/>
          <w:b/>
          <w:bCs/>
          <w:sz w:val="24"/>
          <w:szCs w:val="24"/>
        </w:rPr>
        <w:t>Legal</w:t>
      </w:r>
    </w:p>
    <w:p w14:paraId="1D44862A" w14:textId="143AB06B"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Comprehensive consumer and Halal laws under BPOM (Food and Drug Authority) and MUI (</w:t>
      </w:r>
      <w:proofErr w:type="spellStart"/>
      <w:r w:rsidRPr="00271801">
        <w:rPr>
          <w:rFonts w:asciiTheme="majorBidi" w:hAnsiTheme="majorBidi" w:cstheme="majorBidi"/>
          <w:sz w:val="24"/>
          <w:szCs w:val="24"/>
        </w:rPr>
        <w:t>Majelis</w:t>
      </w:r>
      <w:proofErr w:type="spellEnd"/>
      <w:r w:rsidRPr="00271801">
        <w:rPr>
          <w:rFonts w:asciiTheme="majorBidi" w:hAnsiTheme="majorBidi" w:cstheme="majorBidi"/>
          <w:sz w:val="24"/>
          <w:szCs w:val="24"/>
        </w:rPr>
        <w:t xml:space="preserve"> Ulama Indonesia). Compliance costs </w:t>
      </w:r>
      <w:r w:rsidR="00710657" w:rsidRPr="00271801">
        <w:rPr>
          <w:rFonts w:asciiTheme="majorBidi" w:hAnsiTheme="majorBidi" w:cstheme="majorBidi"/>
          <w:sz w:val="24"/>
          <w:szCs w:val="24"/>
        </w:rPr>
        <w:t>are high</w:t>
      </w:r>
      <w:r w:rsidRPr="00271801">
        <w:rPr>
          <w:rFonts w:asciiTheme="majorBidi" w:hAnsiTheme="majorBidi" w:cstheme="majorBidi"/>
          <w:sz w:val="24"/>
          <w:szCs w:val="24"/>
        </w:rPr>
        <w:t xml:space="preserve"> but transparent. IP protection improving under WTO-TRIPS commitment</w:t>
      </w:r>
      <w:r w:rsidRPr="00710657">
        <w:rPr>
          <w:rFonts w:asciiTheme="majorBidi" w:hAnsiTheme="majorBidi" w:cstheme="majorBidi"/>
          <w:sz w:val="24"/>
          <w:szCs w:val="24"/>
        </w:rPr>
        <w:t>s.</w:t>
      </w:r>
    </w:p>
    <w:p w14:paraId="68DBC2C3" w14:textId="55362132" w:rsidR="00271801" w:rsidRPr="00271801" w:rsidRDefault="00710657" w:rsidP="00347F11">
      <w:pPr>
        <w:spacing w:before="240" w:line="276" w:lineRule="auto"/>
        <w:rPr>
          <w:rFonts w:asciiTheme="majorBidi" w:hAnsiTheme="majorBidi" w:cstheme="majorBidi"/>
          <w:b/>
          <w:bCs/>
          <w:sz w:val="24"/>
          <w:szCs w:val="24"/>
        </w:rPr>
      </w:pPr>
      <w:r w:rsidRPr="00CA03D6">
        <w:rPr>
          <w:rFonts w:asciiTheme="majorBidi" w:hAnsiTheme="majorBidi" w:cstheme="majorBidi"/>
          <w:b/>
          <w:bCs/>
          <w:sz w:val="24"/>
          <w:szCs w:val="24"/>
        </w:rPr>
        <w:t xml:space="preserve">6- </w:t>
      </w:r>
      <w:r w:rsidR="00271801" w:rsidRPr="00271801">
        <w:rPr>
          <w:rFonts w:asciiTheme="majorBidi" w:hAnsiTheme="majorBidi" w:cstheme="majorBidi"/>
          <w:b/>
          <w:bCs/>
          <w:sz w:val="24"/>
          <w:szCs w:val="24"/>
        </w:rPr>
        <w:t>Environmental</w:t>
      </w:r>
    </w:p>
    <w:p w14:paraId="3BDF2E2F" w14:textId="18A45FDF" w:rsidR="00461F4E"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 xml:space="preserve">Indonesia faces deforestation, carbon-emission concerns, and sustainability pressure. Dairy waste and packaging management require adherence to local ESG standards. Government incentives exist for green manufacturing and </w:t>
      </w:r>
      <w:r w:rsidRPr="00710657">
        <w:rPr>
          <w:rFonts w:asciiTheme="majorBidi" w:hAnsiTheme="majorBidi" w:cstheme="majorBidi"/>
          <w:sz w:val="24"/>
          <w:szCs w:val="24"/>
        </w:rPr>
        <w:t>renewable energy</w:t>
      </w:r>
      <w:r w:rsidRPr="00271801">
        <w:rPr>
          <w:rFonts w:asciiTheme="majorBidi" w:hAnsiTheme="majorBidi" w:cstheme="majorBidi"/>
          <w:sz w:val="24"/>
          <w:szCs w:val="24"/>
        </w:rPr>
        <w:t xml:space="preserve"> use.</w:t>
      </w:r>
    </w:p>
    <w:p w14:paraId="70E93075" w14:textId="13C1F8B9" w:rsidR="00CA03D6" w:rsidRPr="00271801"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Indonesia’s PESTLE profile reveals a stable, pro-growth economy with rising consumer demand for Halal-certified food. Its combination of economic potential, social alignment, and manageable risks makes it a strategic fit for Almarai’s expansion.</w:t>
      </w:r>
    </w:p>
    <w:p w14:paraId="7A0296E2" w14:textId="77777777"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Other Relevant Factors</w:t>
      </w:r>
    </w:p>
    <w:tbl>
      <w:tblPr>
        <w:tblStyle w:val="TableGrid"/>
        <w:tblW w:w="0" w:type="auto"/>
        <w:tblLook w:val="04A0" w:firstRow="1" w:lastRow="0" w:firstColumn="1" w:lastColumn="0" w:noHBand="0" w:noVBand="1"/>
      </w:tblPr>
      <w:tblGrid>
        <w:gridCol w:w="2420"/>
        <w:gridCol w:w="7156"/>
      </w:tblGrid>
      <w:tr w:rsidR="00271801" w:rsidRPr="00271801" w14:paraId="4D2333E3" w14:textId="77777777" w:rsidTr="00271801">
        <w:tc>
          <w:tcPr>
            <w:tcW w:w="0" w:type="auto"/>
            <w:hideMark/>
          </w:tcPr>
          <w:p w14:paraId="50634EAB"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Factor</w:t>
            </w:r>
          </w:p>
        </w:tc>
        <w:tc>
          <w:tcPr>
            <w:tcW w:w="0" w:type="auto"/>
            <w:hideMark/>
          </w:tcPr>
          <w:p w14:paraId="0CCDC5A0"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Evaluation</w:t>
            </w:r>
          </w:p>
        </w:tc>
      </w:tr>
      <w:tr w:rsidR="00271801" w:rsidRPr="00271801" w14:paraId="5A12F79C" w14:textId="77777777" w:rsidTr="00271801">
        <w:tc>
          <w:tcPr>
            <w:tcW w:w="0" w:type="auto"/>
            <w:hideMark/>
          </w:tcPr>
          <w:p w14:paraId="5A8A5E1C"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Demand</w:t>
            </w:r>
          </w:p>
        </w:tc>
        <w:tc>
          <w:tcPr>
            <w:tcW w:w="0" w:type="auto"/>
            <w:hideMark/>
          </w:tcPr>
          <w:p w14:paraId="09493F6D"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High import dependency; unmet demand for fresh milk and yogurt.</w:t>
            </w:r>
          </w:p>
        </w:tc>
      </w:tr>
      <w:tr w:rsidR="00271801" w:rsidRPr="00271801" w14:paraId="548BEF32" w14:textId="77777777" w:rsidTr="00271801">
        <w:tc>
          <w:tcPr>
            <w:tcW w:w="0" w:type="auto"/>
            <w:hideMark/>
          </w:tcPr>
          <w:p w14:paraId="24B212A9"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Transportation cost</w:t>
            </w:r>
          </w:p>
        </w:tc>
        <w:tc>
          <w:tcPr>
            <w:tcW w:w="0" w:type="auto"/>
            <w:hideMark/>
          </w:tcPr>
          <w:p w14:paraId="5E82A1F4"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Moderate–high due to island geography; requires efficient regional logistics hubs.</w:t>
            </w:r>
          </w:p>
        </w:tc>
      </w:tr>
      <w:tr w:rsidR="00271801" w:rsidRPr="00271801" w14:paraId="2BD61DE4" w14:textId="77777777" w:rsidTr="00271801">
        <w:tc>
          <w:tcPr>
            <w:tcW w:w="0" w:type="auto"/>
            <w:hideMark/>
          </w:tcPr>
          <w:p w14:paraId="17643E0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Trade barriers</w:t>
            </w:r>
          </w:p>
        </w:tc>
        <w:tc>
          <w:tcPr>
            <w:tcW w:w="0" w:type="auto"/>
            <w:hideMark/>
          </w:tcPr>
          <w:p w14:paraId="7BACB62F"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Tariffs on dairy imports ≈ 5–10 %, manageable under ASEAN rules.</w:t>
            </w:r>
          </w:p>
        </w:tc>
      </w:tr>
      <w:tr w:rsidR="00271801" w:rsidRPr="00271801" w14:paraId="54174D0E" w14:textId="77777777" w:rsidTr="00271801">
        <w:tc>
          <w:tcPr>
            <w:tcW w:w="0" w:type="auto"/>
            <w:hideMark/>
          </w:tcPr>
          <w:p w14:paraId="50456E32"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Competition</w:t>
            </w:r>
          </w:p>
        </w:tc>
        <w:tc>
          <w:tcPr>
            <w:tcW w:w="0" w:type="auto"/>
            <w:hideMark/>
          </w:tcPr>
          <w:p w14:paraId="12A1611D"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Dominated by Indofood, Frisian Flag, Ultra Milk—opportunity in premium segment.</w:t>
            </w:r>
          </w:p>
        </w:tc>
      </w:tr>
      <w:tr w:rsidR="00271801" w:rsidRPr="00271801" w14:paraId="2F3DEB9C" w14:textId="77777777" w:rsidTr="00271801">
        <w:tc>
          <w:tcPr>
            <w:tcW w:w="0" w:type="auto"/>
            <w:hideMark/>
          </w:tcPr>
          <w:p w14:paraId="1CF402C8"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First-mover advantage</w:t>
            </w:r>
          </w:p>
        </w:tc>
        <w:tc>
          <w:tcPr>
            <w:tcW w:w="0" w:type="auto"/>
            <w:hideMark/>
          </w:tcPr>
          <w:p w14:paraId="581B6D5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Potential to establish the first large-scale Middle Eastern Halal dairy brand.</w:t>
            </w:r>
          </w:p>
        </w:tc>
      </w:tr>
    </w:tbl>
    <w:p w14:paraId="75848D12" w14:textId="1BDD0F5F" w:rsidR="00271801" w:rsidRPr="00710657" w:rsidRDefault="00271801" w:rsidP="00347F11">
      <w:pPr>
        <w:spacing w:before="240" w:line="276" w:lineRule="auto"/>
        <w:rPr>
          <w:rFonts w:asciiTheme="majorBidi" w:hAnsiTheme="majorBidi" w:cstheme="majorBidi"/>
          <w:sz w:val="24"/>
          <w:szCs w:val="24"/>
        </w:rPr>
      </w:pPr>
    </w:p>
    <w:p w14:paraId="5670D7C2" w14:textId="77777777" w:rsidR="00710657" w:rsidRPr="00271801" w:rsidRDefault="00710657" w:rsidP="00347F11">
      <w:pPr>
        <w:spacing w:before="240" w:line="276" w:lineRule="auto"/>
        <w:rPr>
          <w:rFonts w:asciiTheme="majorBidi" w:hAnsiTheme="majorBidi" w:cstheme="majorBidi"/>
          <w:sz w:val="24"/>
          <w:szCs w:val="24"/>
        </w:rPr>
      </w:pPr>
    </w:p>
    <w:p w14:paraId="7924DDBA" w14:textId="30C08076" w:rsidR="00271801" w:rsidRDefault="00271801" w:rsidP="00347F11">
      <w:pPr>
        <w:pStyle w:val="Heading1"/>
        <w:spacing w:before="240" w:line="276" w:lineRule="auto"/>
        <w:rPr>
          <w:rFonts w:asciiTheme="majorBidi" w:hAnsiTheme="majorBidi"/>
          <w:color w:val="auto"/>
        </w:rPr>
      </w:pPr>
      <w:bookmarkStart w:id="6" w:name="_Toc213842614"/>
      <w:r w:rsidRPr="00710657">
        <w:rPr>
          <w:rFonts w:asciiTheme="majorBidi" w:hAnsiTheme="majorBidi"/>
          <w:color w:val="auto"/>
        </w:rPr>
        <w:lastRenderedPageBreak/>
        <w:t>Comparison of Alternative Countries</w:t>
      </w:r>
      <w:bookmarkEnd w:id="6"/>
    </w:p>
    <w:p w14:paraId="52717E95" w14:textId="77777777" w:rsidR="000C166B" w:rsidRPr="000C166B" w:rsidRDefault="000C166B" w:rsidP="000C166B"/>
    <w:tbl>
      <w:tblPr>
        <w:tblStyle w:val="TableGrid"/>
        <w:tblW w:w="0" w:type="auto"/>
        <w:tblLook w:val="04A0" w:firstRow="1" w:lastRow="0" w:firstColumn="1" w:lastColumn="0" w:noHBand="0" w:noVBand="1"/>
      </w:tblPr>
      <w:tblGrid>
        <w:gridCol w:w="2178"/>
        <w:gridCol w:w="1176"/>
        <w:gridCol w:w="1448"/>
        <w:gridCol w:w="963"/>
        <w:gridCol w:w="1763"/>
        <w:gridCol w:w="2048"/>
      </w:tblGrid>
      <w:tr w:rsidR="00271801" w:rsidRPr="00271801" w14:paraId="6FAA1846" w14:textId="77777777" w:rsidTr="00271801">
        <w:tc>
          <w:tcPr>
            <w:tcW w:w="0" w:type="auto"/>
            <w:hideMark/>
          </w:tcPr>
          <w:p w14:paraId="165B21E2"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Criteria</w:t>
            </w:r>
          </w:p>
        </w:tc>
        <w:tc>
          <w:tcPr>
            <w:tcW w:w="0" w:type="auto"/>
            <w:hideMark/>
          </w:tcPr>
          <w:p w14:paraId="412F9193"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India</w:t>
            </w:r>
          </w:p>
        </w:tc>
        <w:tc>
          <w:tcPr>
            <w:tcW w:w="0" w:type="auto"/>
            <w:hideMark/>
          </w:tcPr>
          <w:p w14:paraId="58F09043"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Indonesia</w:t>
            </w:r>
          </w:p>
        </w:tc>
        <w:tc>
          <w:tcPr>
            <w:tcW w:w="0" w:type="auto"/>
            <w:hideMark/>
          </w:tcPr>
          <w:p w14:paraId="1FDB4EB5"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Weight</w:t>
            </w:r>
          </w:p>
        </w:tc>
        <w:tc>
          <w:tcPr>
            <w:tcW w:w="0" w:type="auto"/>
            <w:hideMark/>
          </w:tcPr>
          <w:p w14:paraId="3B672C9A"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Weighted Score (India)</w:t>
            </w:r>
          </w:p>
        </w:tc>
        <w:tc>
          <w:tcPr>
            <w:tcW w:w="0" w:type="auto"/>
            <w:hideMark/>
          </w:tcPr>
          <w:p w14:paraId="0026E84A"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Weighted Score (Indonesia)</w:t>
            </w:r>
          </w:p>
        </w:tc>
      </w:tr>
      <w:tr w:rsidR="00271801" w:rsidRPr="00271801" w14:paraId="2E209810" w14:textId="77777777" w:rsidTr="00271801">
        <w:tc>
          <w:tcPr>
            <w:tcW w:w="0" w:type="auto"/>
            <w:hideMark/>
          </w:tcPr>
          <w:p w14:paraId="6B723AE0"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Political stability</w:t>
            </w:r>
          </w:p>
        </w:tc>
        <w:tc>
          <w:tcPr>
            <w:tcW w:w="0" w:type="auto"/>
            <w:hideMark/>
          </w:tcPr>
          <w:p w14:paraId="18499EEF"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w:t>
            </w:r>
          </w:p>
        </w:tc>
        <w:tc>
          <w:tcPr>
            <w:tcW w:w="0" w:type="auto"/>
            <w:hideMark/>
          </w:tcPr>
          <w:p w14:paraId="5B62FE87"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High</w:t>
            </w:r>
          </w:p>
        </w:tc>
        <w:tc>
          <w:tcPr>
            <w:tcW w:w="0" w:type="auto"/>
            <w:hideMark/>
          </w:tcPr>
          <w:p w14:paraId="7FCB7AB9"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w:t>
            </w:r>
          </w:p>
        </w:tc>
        <w:tc>
          <w:tcPr>
            <w:tcW w:w="0" w:type="auto"/>
            <w:hideMark/>
          </w:tcPr>
          <w:p w14:paraId="3C300ACF"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0.6</w:t>
            </w:r>
          </w:p>
        </w:tc>
        <w:tc>
          <w:tcPr>
            <w:tcW w:w="0" w:type="auto"/>
            <w:hideMark/>
          </w:tcPr>
          <w:p w14:paraId="1A1B8DEE"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0.9</w:t>
            </w:r>
          </w:p>
        </w:tc>
      </w:tr>
      <w:tr w:rsidR="00271801" w:rsidRPr="00271801" w14:paraId="7F1BC0F0" w14:textId="77777777" w:rsidTr="00271801">
        <w:tc>
          <w:tcPr>
            <w:tcW w:w="0" w:type="auto"/>
            <w:hideMark/>
          </w:tcPr>
          <w:p w14:paraId="337664EC"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Market growth potential</w:t>
            </w:r>
          </w:p>
        </w:tc>
        <w:tc>
          <w:tcPr>
            <w:tcW w:w="0" w:type="auto"/>
            <w:hideMark/>
          </w:tcPr>
          <w:p w14:paraId="600A73AB"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High</w:t>
            </w:r>
          </w:p>
        </w:tc>
        <w:tc>
          <w:tcPr>
            <w:tcW w:w="0" w:type="auto"/>
            <w:hideMark/>
          </w:tcPr>
          <w:p w14:paraId="0C046155"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High</w:t>
            </w:r>
          </w:p>
        </w:tc>
        <w:tc>
          <w:tcPr>
            <w:tcW w:w="0" w:type="auto"/>
            <w:hideMark/>
          </w:tcPr>
          <w:p w14:paraId="1F16B72C"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0.2</w:t>
            </w:r>
          </w:p>
        </w:tc>
        <w:tc>
          <w:tcPr>
            <w:tcW w:w="0" w:type="auto"/>
            <w:hideMark/>
          </w:tcPr>
          <w:p w14:paraId="457DDCC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0.8</w:t>
            </w:r>
          </w:p>
        </w:tc>
        <w:tc>
          <w:tcPr>
            <w:tcW w:w="0" w:type="auto"/>
            <w:hideMark/>
          </w:tcPr>
          <w:p w14:paraId="088C0801"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0.9</w:t>
            </w:r>
          </w:p>
        </w:tc>
      </w:tr>
      <w:tr w:rsidR="00271801" w:rsidRPr="00271801" w14:paraId="3E98D7C7" w14:textId="77777777" w:rsidTr="00271801">
        <w:tc>
          <w:tcPr>
            <w:tcW w:w="0" w:type="auto"/>
            <w:hideMark/>
          </w:tcPr>
          <w:p w14:paraId="66C5A854"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Ease of doing business</w:t>
            </w:r>
          </w:p>
        </w:tc>
        <w:tc>
          <w:tcPr>
            <w:tcW w:w="0" w:type="auto"/>
            <w:hideMark/>
          </w:tcPr>
          <w:p w14:paraId="47D78325"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w:t>
            </w:r>
          </w:p>
        </w:tc>
        <w:tc>
          <w:tcPr>
            <w:tcW w:w="0" w:type="auto"/>
            <w:hideMark/>
          </w:tcPr>
          <w:p w14:paraId="31CEFA1C"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Moderate–High</w:t>
            </w:r>
          </w:p>
        </w:tc>
        <w:tc>
          <w:tcPr>
            <w:tcW w:w="0" w:type="auto"/>
            <w:hideMark/>
          </w:tcPr>
          <w:p w14:paraId="6C5DCB9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w:t>
            </w:r>
          </w:p>
        </w:tc>
        <w:tc>
          <w:tcPr>
            <w:tcW w:w="0" w:type="auto"/>
            <w:hideMark/>
          </w:tcPr>
          <w:p w14:paraId="6557CA9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0.6</w:t>
            </w:r>
          </w:p>
        </w:tc>
        <w:tc>
          <w:tcPr>
            <w:tcW w:w="0" w:type="auto"/>
            <w:hideMark/>
          </w:tcPr>
          <w:p w14:paraId="74035320"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0.8</w:t>
            </w:r>
          </w:p>
        </w:tc>
      </w:tr>
      <w:tr w:rsidR="00271801" w:rsidRPr="00271801" w14:paraId="2A7A2C04" w14:textId="77777777" w:rsidTr="00271801">
        <w:tc>
          <w:tcPr>
            <w:tcW w:w="0" w:type="auto"/>
            <w:hideMark/>
          </w:tcPr>
          <w:p w14:paraId="089ACF87"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Dairy import dependency</w:t>
            </w:r>
          </w:p>
        </w:tc>
        <w:tc>
          <w:tcPr>
            <w:tcW w:w="0" w:type="auto"/>
            <w:hideMark/>
          </w:tcPr>
          <w:p w14:paraId="3618268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Low</w:t>
            </w:r>
          </w:p>
        </w:tc>
        <w:tc>
          <w:tcPr>
            <w:tcW w:w="0" w:type="auto"/>
            <w:hideMark/>
          </w:tcPr>
          <w:p w14:paraId="578B545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High</w:t>
            </w:r>
          </w:p>
        </w:tc>
        <w:tc>
          <w:tcPr>
            <w:tcW w:w="0" w:type="auto"/>
            <w:hideMark/>
          </w:tcPr>
          <w:p w14:paraId="172EC5F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0.15</w:t>
            </w:r>
          </w:p>
        </w:tc>
        <w:tc>
          <w:tcPr>
            <w:tcW w:w="0" w:type="auto"/>
            <w:hideMark/>
          </w:tcPr>
          <w:p w14:paraId="786DC8C8"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0.4</w:t>
            </w:r>
          </w:p>
        </w:tc>
        <w:tc>
          <w:tcPr>
            <w:tcW w:w="0" w:type="auto"/>
            <w:hideMark/>
          </w:tcPr>
          <w:p w14:paraId="26BC8D01"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0.9</w:t>
            </w:r>
          </w:p>
        </w:tc>
      </w:tr>
      <w:tr w:rsidR="00271801" w:rsidRPr="00271801" w14:paraId="4F1D7218" w14:textId="77777777" w:rsidTr="00271801">
        <w:tc>
          <w:tcPr>
            <w:tcW w:w="0" w:type="auto"/>
            <w:hideMark/>
          </w:tcPr>
          <w:p w14:paraId="2BF7685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Logistics feasibility</w:t>
            </w:r>
          </w:p>
        </w:tc>
        <w:tc>
          <w:tcPr>
            <w:tcW w:w="0" w:type="auto"/>
            <w:hideMark/>
          </w:tcPr>
          <w:p w14:paraId="4D6A0DF2"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Low</w:t>
            </w:r>
          </w:p>
        </w:tc>
        <w:tc>
          <w:tcPr>
            <w:tcW w:w="0" w:type="auto"/>
            <w:hideMark/>
          </w:tcPr>
          <w:p w14:paraId="78A5D5ED"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w:t>
            </w:r>
          </w:p>
        </w:tc>
        <w:tc>
          <w:tcPr>
            <w:tcW w:w="0" w:type="auto"/>
            <w:hideMark/>
          </w:tcPr>
          <w:p w14:paraId="0D0CDD36"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w:t>
            </w:r>
          </w:p>
        </w:tc>
        <w:tc>
          <w:tcPr>
            <w:tcW w:w="0" w:type="auto"/>
            <w:hideMark/>
          </w:tcPr>
          <w:p w14:paraId="418F1AB0"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0.5</w:t>
            </w:r>
          </w:p>
        </w:tc>
        <w:tc>
          <w:tcPr>
            <w:tcW w:w="0" w:type="auto"/>
            <w:hideMark/>
          </w:tcPr>
          <w:p w14:paraId="29FFA30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0.7</w:t>
            </w:r>
          </w:p>
        </w:tc>
      </w:tr>
      <w:tr w:rsidR="00271801" w:rsidRPr="00271801" w14:paraId="3F7FAE3B" w14:textId="77777777" w:rsidTr="00271801">
        <w:tc>
          <w:tcPr>
            <w:tcW w:w="0" w:type="auto"/>
            <w:hideMark/>
          </w:tcPr>
          <w:p w14:paraId="37AEF1E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Cultural alignment (Halal, taste)</w:t>
            </w:r>
          </w:p>
        </w:tc>
        <w:tc>
          <w:tcPr>
            <w:tcW w:w="0" w:type="auto"/>
            <w:hideMark/>
          </w:tcPr>
          <w:p w14:paraId="4D8366C3"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High</w:t>
            </w:r>
          </w:p>
        </w:tc>
        <w:tc>
          <w:tcPr>
            <w:tcW w:w="0" w:type="auto"/>
            <w:hideMark/>
          </w:tcPr>
          <w:p w14:paraId="450A2EFD"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Very High</w:t>
            </w:r>
          </w:p>
        </w:tc>
        <w:tc>
          <w:tcPr>
            <w:tcW w:w="0" w:type="auto"/>
            <w:hideMark/>
          </w:tcPr>
          <w:p w14:paraId="32B98C2F"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0.15</w:t>
            </w:r>
          </w:p>
        </w:tc>
        <w:tc>
          <w:tcPr>
            <w:tcW w:w="0" w:type="auto"/>
            <w:hideMark/>
          </w:tcPr>
          <w:p w14:paraId="1343AC9C"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0.8</w:t>
            </w:r>
          </w:p>
        </w:tc>
        <w:tc>
          <w:tcPr>
            <w:tcW w:w="0" w:type="auto"/>
            <w:hideMark/>
          </w:tcPr>
          <w:p w14:paraId="2641A5BB"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0.95</w:t>
            </w:r>
          </w:p>
        </w:tc>
      </w:tr>
      <w:tr w:rsidR="00271801" w:rsidRPr="00271801" w14:paraId="6E9F0D8F" w14:textId="77777777" w:rsidTr="00271801">
        <w:tc>
          <w:tcPr>
            <w:tcW w:w="0" w:type="auto"/>
            <w:hideMark/>
          </w:tcPr>
          <w:p w14:paraId="204BE939"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Competition intensity</w:t>
            </w:r>
          </w:p>
        </w:tc>
        <w:tc>
          <w:tcPr>
            <w:tcW w:w="0" w:type="auto"/>
            <w:hideMark/>
          </w:tcPr>
          <w:p w14:paraId="1B3EF6BE"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Very High</w:t>
            </w:r>
          </w:p>
        </w:tc>
        <w:tc>
          <w:tcPr>
            <w:tcW w:w="0" w:type="auto"/>
            <w:hideMark/>
          </w:tcPr>
          <w:p w14:paraId="598C91FE"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w:t>
            </w:r>
          </w:p>
        </w:tc>
        <w:tc>
          <w:tcPr>
            <w:tcW w:w="0" w:type="auto"/>
            <w:hideMark/>
          </w:tcPr>
          <w:p w14:paraId="00C9953E"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w:t>
            </w:r>
          </w:p>
        </w:tc>
        <w:tc>
          <w:tcPr>
            <w:tcW w:w="0" w:type="auto"/>
            <w:hideMark/>
          </w:tcPr>
          <w:p w14:paraId="506F2871"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0.4</w:t>
            </w:r>
          </w:p>
        </w:tc>
        <w:tc>
          <w:tcPr>
            <w:tcW w:w="0" w:type="auto"/>
            <w:hideMark/>
          </w:tcPr>
          <w:p w14:paraId="536F4461"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0.8</w:t>
            </w:r>
          </w:p>
        </w:tc>
      </w:tr>
      <w:tr w:rsidR="00271801" w:rsidRPr="00271801" w14:paraId="4EBBB7CB" w14:textId="77777777" w:rsidTr="00271801">
        <w:tc>
          <w:tcPr>
            <w:tcW w:w="0" w:type="auto"/>
            <w:hideMark/>
          </w:tcPr>
          <w:p w14:paraId="66D81C5C"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Risk level</w:t>
            </w:r>
          </w:p>
        </w:tc>
        <w:tc>
          <w:tcPr>
            <w:tcW w:w="0" w:type="auto"/>
            <w:hideMark/>
          </w:tcPr>
          <w:p w14:paraId="0BC4E78B"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w:t>
            </w:r>
          </w:p>
        </w:tc>
        <w:tc>
          <w:tcPr>
            <w:tcW w:w="0" w:type="auto"/>
            <w:hideMark/>
          </w:tcPr>
          <w:p w14:paraId="1BF3651D"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Moderate</w:t>
            </w:r>
          </w:p>
        </w:tc>
        <w:tc>
          <w:tcPr>
            <w:tcW w:w="0" w:type="auto"/>
            <w:hideMark/>
          </w:tcPr>
          <w:p w14:paraId="637AC40D"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0.1</w:t>
            </w:r>
          </w:p>
        </w:tc>
        <w:tc>
          <w:tcPr>
            <w:tcW w:w="0" w:type="auto"/>
            <w:hideMark/>
          </w:tcPr>
          <w:p w14:paraId="77C0219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0.6</w:t>
            </w:r>
          </w:p>
        </w:tc>
        <w:tc>
          <w:tcPr>
            <w:tcW w:w="0" w:type="auto"/>
            <w:hideMark/>
          </w:tcPr>
          <w:p w14:paraId="20D60CF4"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0.7</w:t>
            </w:r>
          </w:p>
        </w:tc>
      </w:tr>
      <w:tr w:rsidR="00271801" w:rsidRPr="00271801" w14:paraId="3A1CC54F" w14:textId="77777777" w:rsidTr="00271801">
        <w:tc>
          <w:tcPr>
            <w:tcW w:w="0" w:type="auto"/>
            <w:hideMark/>
          </w:tcPr>
          <w:p w14:paraId="1286C7B5"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Total Score</w:t>
            </w:r>
          </w:p>
        </w:tc>
        <w:tc>
          <w:tcPr>
            <w:tcW w:w="0" w:type="auto"/>
            <w:hideMark/>
          </w:tcPr>
          <w:p w14:paraId="57A81FE0"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w:t>
            </w:r>
          </w:p>
        </w:tc>
        <w:tc>
          <w:tcPr>
            <w:tcW w:w="0" w:type="auto"/>
            <w:hideMark/>
          </w:tcPr>
          <w:p w14:paraId="67DBCC42"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w:t>
            </w:r>
          </w:p>
        </w:tc>
        <w:tc>
          <w:tcPr>
            <w:tcW w:w="0" w:type="auto"/>
            <w:hideMark/>
          </w:tcPr>
          <w:p w14:paraId="7637F1C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1.0</w:t>
            </w:r>
          </w:p>
        </w:tc>
        <w:tc>
          <w:tcPr>
            <w:tcW w:w="0" w:type="auto"/>
            <w:hideMark/>
          </w:tcPr>
          <w:p w14:paraId="5B43CF36"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5.7 / 10</w:t>
            </w:r>
          </w:p>
        </w:tc>
        <w:tc>
          <w:tcPr>
            <w:tcW w:w="0" w:type="auto"/>
            <w:hideMark/>
          </w:tcPr>
          <w:p w14:paraId="53713C22"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 xml:space="preserve">7.8 / 10 </w:t>
            </w:r>
            <w:r w:rsidRPr="00271801">
              <w:rPr>
                <w:rFonts w:ascii="Segoe UI Emoji" w:hAnsi="Segoe UI Emoji" w:cs="Segoe UI Emoji"/>
                <w:b/>
                <w:bCs/>
                <w:sz w:val="24"/>
                <w:szCs w:val="24"/>
              </w:rPr>
              <w:t>✅</w:t>
            </w:r>
          </w:p>
        </w:tc>
      </w:tr>
    </w:tbl>
    <w:p w14:paraId="6E86DEFB" w14:textId="77777777" w:rsidR="00710657" w:rsidRPr="00710657" w:rsidRDefault="00710657" w:rsidP="00347F11">
      <w:pPr>
        <w:spacing w:line="276" w:lineRule="auto"/>
        <w:rPr>
          <w:rFonts w:asciiTheme="majorBidi" w:hAnsiTheme="majorBidi" w:cstheme="majorBidi"/>
        </w:rPr>
      </w:pPr>
    </w:p>
    <w:p w14:paraId="4E994E19" w14:textId="77777777" w:rsidR="00710657" w:rsidRPr="00710657" w:rsidRDefault="00710657" w:rsidP="00347F11">
      <w:pPr>
        <w:spacing w:line="276" w:lineRule="auto"/>
        <w:rPr>
          <w:rFonts w:asciiTheme="majorBidi" w:hAnsiTheme="majorBidi" w:cstheme="majorBidi"/>
        </w:rPr>
      </w:pPr>
    </w:p>
    <w:p w14:paraId="7ED83899" w14:textId="77777777" w:rsidR="00710657" w:rsidRDefault="00710657" w:rsidP="00347F11">
      <w:pPr>
        <w:spacing w:line="276" w:lineRule="auto"/>
        <w:rPr>
          <w:rFonts w:asciiTheme="majorBidi" w:hAnsiTheme="majorBidi" w:cstheme="majorBidi"/>
        </w:rPr>
      </w:pPr>
    </w:p>
    <w:p w14:paraId="3EDE1F59" w14:textId="77777777" w:rsidR="00710657" w:rsidRPr="00710657" w:rsidRDefault="00710657" w:rsidP="00347F11">
      <w:pPr>
        <w:spacing w:line="276" w:lineRule="auto"/>
        <w:rPr>
          <w:rFonts w:asciiTheme="majorBidi" w:hAnsiTheme="majorBidi" w:cstheme="majorBidi"/>
        </w:rPr>
      </w:pPr>
    </w:p>
    <w:p w14:paraId="3507FDD2" w14:textId="705EAD46" w:rsidR="00271801" w:rsidRPr="00710657" w:rsidRDefault="00271801" w:rsidP="00347F11">
      <w:pPr>
        <w:pStyle w:val="Heading1"/>
        <w:spacing w:before="240" w:line="276" w:lineRule="auto"/>
        <w:rPr>
          <w:rFonts w:asciiTheme="majorBidi" w:hAnsiTheme="majorBidi"/>
          <w:color w:val="auto"/>
        </w:rPr>
      </w:pPr>
      <w:bookmarkStart w:id="7" w:name="_Toc213842615"/>
      <w:r w:rsidRPr="00710657">
        <w:rPr>
          <w:rFonts w:asciiTheme="majorBidi" w:hAnsiTheme="majorBidi"/>
          <w:color w:val="auto"/>
        </w:rPr>
        <w:lastRenderedPageBreak/>
        <w:t>Final Foreign Country Selection</w:t>
      </w:r>
      <w:bookmarkEnd w:id="7"/>
    </w:p>
    <w:p w14:paraId="0EA137D6" w14:textId="77777777"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Indonesia is selected as the optimal foreign market for Almarai’s expansion because:</w:t>
      </w:r>
    </w:p>
    <w:p w14:paraId="59E7B859" w14:textId="77777777" w:rsidR="00271801" w:rsidRPr="00271801" w:rsidRDefault="00271801" w:rsidP="00347F11">
      <w:pPr>
        <w:numPr>
          <w:ilvl w:val="0"/>
          <w:numId w:val="10"/>
        </w:numPr>
        <w:spacing w:before="240" w:line="276" w:lineRule="auto"/>
        <w:rPr>
          <w:rFonts w:asciiTheme="majorBidi" w:hAnsiTheme="majorBidi" w:cstheme="majorBidi"/>
          <w:sz w:val="24"/>
          <w:szCs w:val="24"/>
        </w:rPr>
      </w:pPr>
      <w:r w:rsidRPr="00271801">
        <w:rPr>
          <w:rFonts w:asciiTheme="majorBidi" w:hAnsiTheme="majorBidi" w:cstheme="majorBidi"/>
          <w:sz w:val="24"/>
          <w:szCs w:val="24"/>
        </w:rPr>
        <w:t>High and sustainable demand growth driven by urbanization, rising income, and Halal dietary norms.</w:t>
      </w:r>
    </w:p>
    <w:p w14:paraId="29982399" w14:textId="08BD8258" w:rsidR="00271801" w:rsidRPr="00271801" w:rsidRDefault="00271801" w:rsidP="00347F11">
      <w:pPr>
        <w:numPr>
          <w:ilvl w:val="0"/>
          <w:numId w:val="10"/>
        </w:numPr>
        <w:spacing w:before="240" w:line="276" w:lineRule="auto"/>
        <w:rPr>
          <w:rFonts w:asciiTheme="majorBidi" w:hAnsiTheme="majorBidi" w:cstheme="majorBidi"/>
          <w:sz w:val="24"/>
          <w:szCs w:val="24"/>
        </w:rPr>
      </w:pPr>
      <w:r w:rsidRPr="00271801">
        <w:rPr>
          <w:rFonts w:asciiTheme="majorBidi" w:hAnsiTheme="majorBidi" w:cstheme="majorBidi"/>
          <w:sz w:val="24"/>
          <w:szCs w:val="24"/>
        </w:rPr>
        <w:t>Strategic location within ASEAN and the RCEP trade bloc, offering reduced tariffs and market access to 2 billion consumers</w:t>
      </w:r>
      <w:r w:rsidR="00CA03D6">
        <w:rPr>
          <w:rFonts w:asciiTheme="majorBidi" w:hAnsiTheme="majorBidi" w:cstheme="majorBidi"/>
          <w:sz w:val="24"/>
          <w:szCs w:val="24"/>
        </w:rPr>
        <w:t>.</w:t>
      </w:r>
    </w:p>
    <w:p w14:paraId="6FE66EAB" w14:textId="6818568E" w:rsidR="00271801" w:rsidRPr="00271801" w:rsidRDefault="00271801" w:rsidP="00347F11">
      <w:pPr>
        <w:numPr>
          <w:ilvl w:val="0"/>
          <w:numId w:val="10"/>
        </w:numPr>
        <w:spacing w:before="240" w:line="276" w:lineRule="auto"/>
        <w:rPr>
          <w:rFonts w:asciiTheme="majorBidi" w:hAnsiTheme="majorBidi" w:cstheme="majorBidi"/>
          <w:sz w:val="24"/>
          <w:szCs w:val="24"/>
        </w:rPr>
      </w:pPr>
      <w:r w:rsidRPr="00271801">
        <w:rPr>
          <w:rFonts w:asciiTheme="majorBidi" w:hAnsiTheme="majorBidi" w:cstheme="majorBidi"/>
          <w:sz w:val="24"/>
          <w:szCs w:val="24"/>
        </w:rPr>
        <w:t>Political and economic stability under a market-based system</w:t>
      </w:r>
      <w:r w:rsidR="00CA03D6">
        <w:rPr>
          <w:rFonts w:asciiTheme="majorBidi" w:hAnsiTheme="majorBidi" w:cstheme="majorBidi"/>
          <w:sz w:val="24"/>
          <w:szCs w:val="24"/>
        </w:rPr>
        <w:t>.</w:t>
      </w:r>
    </w:p>
    <w:p w14:paraId="763097AB" w14:textId="77777777" w:rsidR="00271801" w:rsidRPr="00271801" w:rsidRDefault="00271801" w:rsidP="00347F11">
      <w:pPr>
        <w:numPr>
          <w:ilvl w:val="0"/>
          <w:numId w:val="10"/>
        </w:numPr>
        <w:spacing w:before="240" w:line="276" w:lineRule="auto"/>
        <w:rPr>
          <w:rFonts w:asciiTheme="majorBidi" w:hAnsiTheme="majorBidi" w:cstheme="majorBidi"/>
          <w:sz w:val="24"/>
          <w:szCs w:val="24"/>
        </w:rPr>
      </w:pPr>
      <w:r w:rsidRPr="00271801">
        <w:rPr>
          <w:rFonts w:asciiTheme="majorBidi" w:hAnsiTheme="majorBidi" w:cstheme="majorBidi"/>
          <w:sz w:val="24"/>
          <w:szCs w:val="24"/>
        </w:rPr>
        <w:t>Cultural and religious compatibility with Saudi values, enhancing brand trust.</w:t>
      </w:r>
    </w:p>
    <w:p w14:paraId="7472C70B" w14:textId="2A05B2F1" w:rsidR="00710657" w:rsidRDefault="00271801" w:rsidP="00347F11">
      <w:pPr>
        <w:numPr>
          <w:ilvl w:val="0"/>
          <w:numId w:val="10"/>
        </w:numPr>
        <w:spacing w:before="240" w:line="276" w:lineRule="auto"/>
        <w:rPr>
          <w:rFonts w:asciiTheme="majorBidi" w:hAnsiTheme="majorBidi" w:cstheme="majorBidi"/>
          <w:sz w:val="24"/>
          <w:szCs w:val="24"/>
        </w:rPr>
      </w:pPr>
      <w:r w:rsidRPr="00271801">
        <w:rPr>
          <w:rFonts w:asciiTheme="majorBidi" w:hAnsiTheme="majorBidi" w:cstheme="majorBidi"/>
          <w:sz w:val="24"/>
          <w:szCs w:val="24"/>
        </w:rPr>
        <w:t>Favorable demographics: a young, health-conscious, tech-savvy population.</w:t>
      </w:r>
    </w:p>
    <w:p w14:paraId="69715A02" w14:textId="5ED2B9BF" w:rsidR="00710657" w:rsidRPr="00271801"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This environment provides Almarai with an opportunity to achieve sustainable international growth while advancing Saudi Vision 2030 objectives.</w:t>
      </w:r>
    </w:p>
    <w:p w14:paraId="0EA0F0A3" w14:textId="46B8E104" w:rsidR="00271801" w:rsidRPr="00710657" w:rsidRDefault="00271801" w:rsidP="00347F11">
      <w:pPr>
        <w:pStyle w:val="Heading1"/>
        <w:spacing w:before="240" w:after="240" w:line="276" w:lineRule="auto"/>
        <w:rPr>
          <w:rFonts w:asciiTheme="majorBidi" w:hAnsiTheme="majorBidi"/>
          <w:color w:val="auto"/>
        </w:rPr>
      </w:pPr>
      <w:bookmarkStart w:id="8" w:name="_Toc213842616"/>
      <w:r w:rsidRPr="00710657">
        <w:rPr>
          <w:rFonts w:asciiTheme="majorBidi" w:hAnsiTheme="majorBidi"/>
          <w:color w:val="auto"/>
        </w:rPr>
        <w:t>Assessment of Entry Strategies</w:t>
      </w:r>
      <w:bookmarkEnd w:id="8"/>
    </w:p>
    <w:p w14:paraId="09654AE5" w14:textId="77777777"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1. Exporting</w:t>
      </w:r>
    </w:p>
    <w:p w14:paraId="0DF6EC11" w14:textId="77777777"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Selling from Saudi Arabia to Indonesian distributors.</w:t>
      </w:r>
      <w:r w:rsidRPr="00271801">
        <w:rPr>
          <w:rFonts w:asciiTheme="majorBidi" w:hAnsiTheme="majorBidi" w:cstheme="majorBidi"/>
          <w:sz w:val="24"/>
          <w:szCs w:val="24"/>
        </w:rPr>
        <w:br/>
      </w:r>
      <w:r w:rsidRPr="00271801">
        <w:rPr>
          <w:rFonts w:asciiTheme="majorBidi" w:hAnsiTheme="majorBidi" w:cstheme="majorBidi"/>
          <w:b/>
          <w:bCs/>
          <w:sz w:val="24"/>
          <w:szCs w:val="24"/>
        </w:rPr>
        <w:t>Pros:</w:t>
      </w:r>
      <w:r w:rsidRPr="00271801">
        <w:rPr>
          <w:rFonts w:asciiTheme="majorBidi" w:hAnsiTheme="majorBidi" w:cstheme="majorBidi"/>
          <w:sz w:val="24"/>
          <w:szCs w:val="24"/>
        </w:rPr>
        <w:t xml:space="preserve"> Low investment, easy exit.</w:t>
      </w:r>
      <w:r w:rsidRPr="00271801">
        <w:rPr>
          <w:rFonts w:asciiTheme="majorBidi" w:hAnsiTheme="majorBidi" w:cstheme="majorBidi"/>
          <w:sz w:val="24"/>
          <w:szCs w:val="24"/>
        </w:rPr>
        <w:br/>
      </w:r>
      <w:r w:rsidRPr="00271801">
        <w:rPr>
          <w:rFonts w:asciiTheme="majorBidi" w:hAnsiTheme="majorBidi" w:cstheme="majorBidi"/>
          <w:b/>
          <w:bCs/>
          <w:sz w:val="24"/>
          <w:szCs w:val="24"/>
        </w:rPr>
        <w:t>Cons:</w:t>
      </w:r>
      <w:r w:rsidRPr="00271801">
        <w:rPr>
          <w:rFonts w:asciiTheme="majorBidi" w:hAnsiTheme="majorBidi" w:cstheme="majorBidi"/>
          <w:sz w:val="24"/>
          <w:szCs w:val="24"/>
        </w:rPr>
        <w:t xml:space="preserve"> High transport cost, import duties, limited control over brand and quality.</w:t>
      </w:r>
      <w:r w:rsidRPr="00271801">
        <w:rPr>
          <w:rFonts w:asciiTheme="majorBidi" w:hAnsiTheme="majorBidi" w:cstheme="majorBidi"/>
          <w:sz w:val="24"/>
          <w:szCs w:val="24"/>
        </w:rPr>
        <w:br/>
      </w:r>
      <w:r w:rsidRPr="00271801">
        <w:rPr>
          <w:rFonts w:asciiTheme="majorBidi" w:hAnsiTheme="majorBidi" w:cstheme="majorBidi"/>
          <w:b/>
          <w:bCs/>
          <w:sz w:val="24"/>
          <w:szCs w:val="24"/>
        </w:rPr>
        <w:t>Suitability:</w:t>
      </w:r>
      <w:r w:rsidRPr="00271801">
        <w:rPr>
          <w:rFonts w:asciiTheme="majorBidi" w:hAnsiTheme="majorBidi" w:cstheme="majorBidi"/>
          <w:sz w:val="24"/>
          <w:szCs w:val="24"/>
        </w:rPr>
        <w:t xml:space="preserve"> Short-term, initial test phase.</w:t>
      </w:r>
    </w:p>
    <w:p w14:paraId="54CAF67B" w14:textId="77777777"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2. Licensing / Franchising</w:t>
      </w:r>
    </w:p>
    <w:p w14:paraId="095EB044" w14:textId="77777777"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Allowing a local firm to produce or distribute Almarai’s products.</w:t>
      </w:r>
      <w:r w:rsidRPr="00271801">
        <w:rPr>
          <w:rFonts w:asciiTheme="majorBidi" w:hAnsiTheme="majorBidi" w:cstheme="majorBidi"/>
          <w:sz w:val="24"/>
          <w:szCs w:val="24"/>
        </w:rPr>
        <w:br/>
      </w:r>
      <w:r w:rsidRPr="00271801">
        <w:rPr>
          <w:rFonts w:asciiTheme="majorBidi" w:hAnsiTheme="majorBidi" w:cstheme="majorBidi"/>
          <w:b/>
          <w:bCs/>
          <w:sz w:val="24"/>
          <w:szCs w:val="24"/>
        </w:rPr>
        <w:t>Pros:</w:t>
      </w:r>
      <w:r w:rsidRPr="00271801">
        <w:rPr>
          <w:rFonts w:asciiTheme="majorBidi" w:hAnsiTheme="majorBidi" w:cstheme="majorBidi"/>
          <w:sz w:val="24"/>
          <w:szCs w:val="24"/>
        </w:rPr>
        <w:t xml:space="preserve"> Low cost, low risk.</w:t>
      </w:r>
      <w:r w:rsidRPr="00271801">
        <w:rPr>
          <w:rFonts w:asciiTheme="majorBidi" w:hAnsiTheme="majorBidi" w:cstheme="majorBidi"/>
          <w:sz w:val="24"/>
          <w:szCs w:val="24"/>
        </w:rPr>
        <w:br/>
      </w:r>
      <w:r w:rsidRPr="00271801">
        <w:rPr>
          <w:rFonts w:asciiTheme="majorBidi" w:hAnsiTheme="majorBidi" w:cstheme="majorBidi"/>
          <w:b/>
          <w:bCs/>
          <w:sz w:val="24"/>
          <w:szCs w:val="24"/>
        </w:rPr>
        <w:t>Cons:</w:t>
      </w:r>
      <w:r w:rsidRPr="00271801">
        <w:rPr>
          <w:rFonts w:asciiTheme="majorBidi" w:hAnsiTheme="majorBidi" w:cstheme="majorBidi"/>
          <w:sz w:val="24"/>
          <w:szCs w:val="24"/>
        </w:rPr>
        <w:t xml:space="preserve"> Risk of intellectual-property leakage, quality inconsistency, limited profit.</w:t>
      </w:r>
      <w:r w:rsidRPr="00271801">
        <w:rPr>
          <w:rFonts w:asciiTheme="majorBidi" w:hAnsiTheme="majorBidi" w:cstheme="majorBidi"/>
          <w:sz w:val="24"/>
          <w:szCs w:val="24"/>
        </w:rPr>
        <w:br/>
      </w:r>
      <w:r w:rsidRPr="00271801">
        <w:rPr>
          <w:rFonts w:asciiTheme="majorBidi" w:hAnsiTheme="majorBidi" w:cstheme="majorBidi"/>
          <w:b/>
          <w:bCs/>
          <w:sz w:val="24"/>
          <w:szCs w:val="24"/>
        </w:rPr>
        <w:t>Suitability:</w:t>
      </w:r>
      <w:r w:rsidRPr="00271801">
        <w:rPr>
          <w:rFonts w:asciiTheme="majorBidi" w:hAnsiTheme="majorBidi" w:cstheme="majorBidi"/>
          <w:sz w:val="24"/>
          <w:szCs w:val="24"/>
        </w:rPr>
        <w:t xml:space="preserve"> Poor—Almarai’s brand depends on strict quality control.</w:t>
      </w:r>
    </w:p>
    <w:p w14:paraId="109CE38B" w14:textId="77777777"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3. Joint Venture (JV)</w:t>
      </w:r>
    </w:p>
    <w:p w14:paraId="05CC116A" w14:textId="1B3C3F14" w:rsidR="00710657"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Partnering with an established Indonesian company such as Indofood CBP or Mayora Indah.</w:t>
      </w:r>
      <w:r w:rsidRPr="00271801">
        <w:rPr>
          <w:rFonts w:asciiTheme="majorBidi" w:hAnsiTheme="majorBidi" w:cstheme="majorBidi"/>
          <w:sz w:val="24"/>
          <w:szCs w:val="24"/>
        </w:rPr>
        <w:br/>
      </w:r>
      <w:r w:rsidRPr="00271801">
        <w:rPr>
          <w:rFonts w:asciiTheme="majorBidi" w:hAnsiTheme="majorBidi" w:cstheme="majorBidi"/>
          <w:b/>
          <w:bCs/>
          <w:sz w:val="24"/>
          <w:szCs w:val="24"/>
        </w:rPr>
        <w:t>Pros:</w:t>
      </w:r>
      <w:r w:rsidRPr="00271801">
        <w:rPr>
          <w:rFonts w:asciiTheme="majorBidi" w:hAnsiTheme="majorBidi" w:cstheme="majorBidi"/>
          <w:sz w:val="24"/>
          <w:szCs w:val="24"/>
        </w:rPr>
        <w:t xml:space="preserve"> Shared risk, access to distribution network, regulatory facilitation, local market insight.</w:t>
      </w:r>
      <w:r w:rsidRPr="00271801">
        <w:rPr>
          <w:rFonts w:asciiTheme="majorBidi" w:hAnsiTheme="majorBidi" w:cstheme="majorBidi"/>
          <w:sz w:val="24"/>
          <w:szCs w:val="24"/>
        </w:rPr>
        <w:br/>
      </w:r>
      <w:r w:rsidRPr="00271801">
        <w:rPr>
          <w:rFonts w:asciiTheme="majorBidi" w:hAnsiTheme="majorBidi" w:cstheme="majorBidi"/>
          <w:b/>
          <w:bCs/>
          <w:sz w:val="24"/>
          <w:szCs w:val="24"/>
        </w:rPr>
        <w:lastRenderedPageBreak/>
        <w:t>Cons:</w:t>
      </w:r>
      <w:r w:rsidRPr="00271801">
        <w:rPr>
          <w:rFonts w:asciiTheme="majorBidi" w:hAnsiTheme="majorBidi" w:cstheme="majorBidi"/>
          <w:sz w:val="24"/>
          <w:szCs w:val="24"/>
        </w:rPr>
        <w:t xml:space="preserve"> Profit sharing, potential management conflict.</w:t>
      </w:r>
      <w:r w:rsidRPr="00271801">
        <w:rPr>
          <w:rFonts w:asciiTheme="majorBidi" w:hAnsiTheme="majorBidi" w:cstheme="majorBidi"/>
          <w:sz w:val="24"/>
          <w:szCs w:val="24"/>
        </w:rPr>
        <w:br/>
      </w:r>
      <w:r w:rsidRPr="00271801">
        <w:rPr>
          <w:rFonts w:asciiTheme="majorBidi" w:hAnsiTheme="majorBidi" w:cstheme="majorBidi"/>
          <w:b/>
          <w:bCs/>
          <w:sz w:val="24"/>
          <w:szCs w:val="24"/>
        </w:rPr>
        <w:t>Suitability:</w:t>
      </w:r>
      <w:r w:rsidRPr="00271801">
        <w:rPr>
          <w:rFonts w:asciiTheme="majorBidi" w:hAnsiTheme="majorBidi" w:cstheme="majorBidi"/>
          <w:sz w:val="24"/>
          <w:szCs w:val="24"/>
        </w:rPr>
        <w:t xml:space="preserve"> High—balances risk and control.</w:t>
      </w:r>
    </w:p>
    <w:p w14:paraId="2C51E694" w14:textId="77777777"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4. Wholly Owned Subsidiary (Greenfield Investment)</w:t>
      </w:r>
    </w:p>
    <w:p w14:paraId="5D078A37" w14:textId="77777777" w:rsidR="00271801"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Establishing a new production facility.</w:t>
      </w:r>
      <w:r w:rsidRPr="00271801">
        <w:rPr>
          <w:rFonts w:asciiTheme="majorBidi" w:hAnsiTheme="majorBidi" w:cstheme="majorBidi"/>
          <w:sz w:val="24"/>
          <w:szCs w:val="24"/>
        </w:rPr>
        <w:br/>
      </w:r>
      <w:r w:rsidRPr="00271801">
        <w:rPr>
          <w:rFonts w:asciiTheme="majorBidi" w:hAnsiTheme="majorBidi" w:cstheme="majorBidi"/>
          <w:b/>
          <w:bCs/>
          <w:sz w:val="24"/>
          <w:szCs w:val="24"/>
        </w:rPr>
        <w:t>Pros:</w:t>
      </w:r>
      <w:r w:rsidRPr="00271801">
        <w:rPr>
          <w:rFonts w:asciiTheme="majorBidi" w:hAnsiTheme="majorBidi" w:cstheme="majorBidi"/>
          <w:sz w:val="24"/>
          <w:szCs w:val="24"/>
        </w:rPr>
        <w:t xml:space="preserve"> Full control, protection of proprietary processes, long-term returns.</w:t>
      </w:r>
      <w:r w:rsidRPr="00271801">
        <w:rPr>
          <w:rFonts w:asciiTheme="majorBidi" w:hAnsiTheme="majorBidi" w:cstheme="majorBidi"/>
          <w:sz w:val="24"/>
          <w:szCs w:val="24"/>
        </w:rPr>
        <w:br/>
      </w:r>
      <w:r w:rsidRPr="00271801">
        <w:rPr>
          <w:rFonts w:asciiTheme="majorBidi" w:hAnsiTheme="majorBidi" w:cstheme="majorBidi"/>
          <w:b/>
          <w:bCs/>
          <w:sz w:val="24"/>
          <w:szCs w:val="24"/>
        </w:rPr>
        <w:t>Cons:</w:t>
      </w:r>
      <w:r w:rsidRPr="00271801">
        <w:rPr>
          <w:rFonts w:asciiTheme="majorBidi" w:hAnsiTheme="majorBidi" w:cstheme="majorBidi"/>
          <w:sz w:val="24"/>
          <w:szCs w:val="24"/>
        </w:rPr>
        <w:t xml:space="preserve"> High capital cost, high political and operational risk.</w:t>
      </w:r>
      <w:r w:rsidRPr="00271801">
        <w:rPr>
          <w:rFonts w:asciiTheme="majorBidi" w:hAnsiTheme="majorBidi" w:cstheme="majorBidi"/>
          <w:sz w:val="24"/>
          <w:szCs w:val="24"/>
        </w:rPr>
        <w:br/>
      </w:r>
      <w:r w:rsidRPr="00271801">
        <w:rPr>
          <w:rFonts w:asciiTheme="majorBidi" w:hAnsiTheme="majorBidi" w:cstheme="majorBidi"/>
          <w:b/>
          <w:bCs/>
          <w:sz w:val="24"/>
          <w:szCs w:val="24"/>
        </w:rPr>
        <w:t>Suitability:</w:t>
      </w:r>
      <w:r w:rsidRPr="00271801">
        <w:rPr>
          <w:rFonts w:asciiTheme="majorBidi" w:hAnsiTheme="majorBidi" w:cstheme="majorBidi"/>
          <w:sz w:val="24"/>
          <w:szCs w:val="24"/>
        </w:rPr>
        <w:t xml:space="preserve"> Viable after market penetration through JV.</w:t>
      </w:r>
    </w:p>
    <w:p w14:paraId="054E40A4" w14:textId="77777777"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5. Acquisition</w:t>
      </w:r>
    </w:p>
    <w:p w14:paraId="12D04960" w14:textId="73D0A602" w:rsidR="00710657" w:rsidRPr="00271801"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Buying or merging with a local dairy company.</w:t>
      </w:r>
      <w:r w:rsidRPr="00271801">
        <w:rPr>
          <w:rFonts w:asciiTheme="majorBidi" w:hAnsiTheme="majorBidi" w:cstheme="majorBidi"/>
          <w:sz w:val="24"/>
          <w:szCs w:val="24"/>
        </w:rPr>
        <w:br/>
      </w:r>
      <w:r w:rsidRPr="00271801">
        <w:rPr>
          <w:rFonts w:asciiTheme="majorBidi" w:hAnsiTheme="majorBidi" w:cstheme="majorBidi"/>
          <w:b/>
          <w:bCs/>
          <w:sz w:val="24"/>
          <w:szCs w:val="24"/>
        </w:rPr>
        <w:t>Pros:</w:t>
      </w:r>
      <w:r w:rsidRPr="00271801">
        <w:rPr>
          <w:rFonts w:asciiTheme="majorBidi" w:hAnsiTheme="majorBidi" w:cstheme="majorBidi"/>
          <w:sz w:val="24"/>
          <w:szCs w:val="24"/>
        </w:rPr>
        <w:t xml:space="preserve"> Quick access to market share and infrastructure.</w:t>
      </w:r>
      <w:r w:rsidRPr="00271801">
        <w:rPr>
          <w:rFonts w:asciiTheme="majorBidi" w:hAnsiTheme="majorBidi" w:cstheme="majorBidi"/>
          <w:sz w:val="24"/>
          <w:szCs w:val="24"/>
        </w:rPr>
        <w:br/>
      </w:r>
      <w:r w:rsidRPr="00271801">
        <w:rPr>
          <w:rFonts w:asciiTheme="majorBidi" w:hAnsiTheme="majorBidi" w:cstheme="majorBidi"/>
          <w:b/>
          <w:bCs/>
          <w:sz w:val="24"/>
          <w:szCs w:val="24"/>
        </w:rPr>
        <w:t>Cons:</w:t>
      </w:r>
      <w:r w:rsidRPr="00271801">
        <w:rPr>
          <w:rFonts w:asciiTheme="majorBidi" w:hAnsiTheme="majorBidi" w:cstheme="majorBidi"/>
          <w:sz w:val="24"/>
          <w:szCs w:val="24"/>
        </w:rPr>
        <w:t xml:space="preserve"> Cultural clashes, overvaluation, integration challenges.</w:t>
      </w:r>
      <w:r w:rsidRPr="00271801">
        <w:rPr>
          <w:rFonts w:asciiTheme="majorBidi" w:hAnsiTheme="majorBidi" w:cstheme="majorBidi"/>
          <w:sz w:val="24"/>
          <w:szCs w:val="24"/>
        </w:rPr>
        <w:br/>
      </w:r>
      <w:r w:rsidRPr="00271801">
        <w:rPr>
          <w:rFonts w:asciiTheme="majorBidi" w:hAnsiTheme="majorBidi" w:cstheme="majorBidi"/>
          <w:b/>
          <w:bCs/>
          <w:sz w:val="24"/>
          <w:szCs w:val="24"/>
        </w:rPr>
        <w:t>Suitability:</w:t>
      </w:r>
      <w:r w:rsidRPr="00271801">
        <w:rPr>
          <w:rFonts w:asciiTheme="majorBidi" w:hAnsiTheme="majorBidi" w:cstheme="majorBidi"/>
          <w:sz w:val="24"/>
          <w:szCs w:val="24"/>
        </w:rPr>
        <w:t xml:space="preserve"> Complex; better as second-phase expansion.</w:t>
      </w:r>
    </w:p>
    <w:p w14:paraId="1CE18FB9" w14:textId="77777777" w:rsidR="00271801" w:rsidRPr="00271801" w:rsidRDefault="00271801" w:rsidP="00347F11">
      <w:pPr>
        <w:spacing w:before="240" w:line="276" w:lineRule="auto"/>
        <w:rPr>
          <w:rFonts w:asciiTheme="majorBidi" w:hAnsiTheme="majorBidi" w:cstheme="majorBidi"/>
          <w:b/>
          <w:bCs/>
          <w:sz w:val="24"/>
          <w:szCs w:val="24"/>
        </w:rPr>
      </w:pPr>
      <w:r w:rsidRPr="00271801">
        <w:rPr>
          <w:rFonts w:asciiTheme="majorBidi" w:hAnsiTheme="majorBidi" w:cstheme="majorBidi"/>
          <w:b/>
          <w:bCs/>
          <w:sz w:val="24"/>
          <w:szCs w:val="24"/>
        </w:rPr>
        <w:t>Recommended Mode: Joint Venture with Local Partner</w:t>
      </w:r>
    </w:p>
    <w:p w14:paraId="1F803DEC" w14:textId="714C9909" w:rsidR="00710657" w:rsidRPr="002974CE" w:rsidRDefault="00271801" w:rsidP="00347F11">
      <w:pPr>
        <w:spacing w:before="240" w:line="276" w:lineRule="auto"/>
        <w:rPr>
          <w:rFonts w:asciiTheme="majorBidi" w:hAnsiTheme="majorBidi" w:cstheme="majorBidi"/>
          <w:sz w:val="24"/>
          <w:szCs w:val="24"/>
        </w:rPr>
      </w:pPr>
      <w:r w:rsidRPr="00271801">
        <w:rPr>
          <w:rFonts w:asciiTheme="majorBidi" w:hAnsiTheme="majorBidi" w:cstheme="majorBidi"/>
          <w:sz w:val="24"/>
          <w:szCs w:val="24"/>
        </w:rPr>
        <w:t>A joint venture offers the best strategic fit for Almarai’s entry into Indonesia, combining transnational strategy advantages—global efficiency with local responsiveness</w:t>
      </w:r>
      <w:r w:rsidR="00710657" w:rsidRPr="002974CE">
        <w:rPr>
          <w:rFonts w:asciiTheme="majorBidi" w:hAnsiTheme="majorBidi" w:cstheme="majorBidi"/>
          <w:sz w:val="24"/>
          <w:szCs w:val="24"/>
        </w:rPr>
        <w:t>.</w:t>
      </w:r>
    </w:p>
    <w:p w14:paraId="760E0118" w14:textId="5B2B198E" w:rsidR="00271801" w:rsidRPr="00271801" w:rsidRDefault="00271801" w:rsidP="00347F11">
      <w:pPr>
        <w:spacing w:before="240" w:line="276" w:lineRule="auto"/>
        <w:rPr>
          <w:rFonts w:asciiTheme="majorBidi" w:hAnsiTheme="majorBidi" w:cstheme="majorBidi"/>
          <w:b/>
          <w:bCs/>
          <w:sz w:val="26"/>
          <w:szCs w:val="26"/>
        </w:rPr>
      </w:pPr>
      <w:r w:rsidRPr="00271801">
        <w:rPr>
          <w:rFonts w:asciiTheme="majorBidi" w:hAnsiTheme="majorBidi" w:cstheme="majorBidi"/>
          <w:b/>
          <w:bCs/>
          <w:sz w:val="26"/>
          <w:szCs w:val="26"/>
        </w:rPr>
        <w:t>Justification</w:t>
      </w:r>
    </w:p>
    <w:tbl>
      <w:tblPr>
        <w:tblStyle w:val="TableGrid"/>
        <w:tblW w:w="0" w:type="auto"/>
        <w:tblLook w:val="04A0" w:firstRow="1" w:lastRow="0" w:firstColumn="1" w:lastColumn="0" w:noHBand="0" w:noVBand="1"/>
      </w:tblPr>
      <w:tblGrid>
        <w:gridCol w:w="2538"/>
        <w:gridCol w:w="7038"/>
      </w:tblGrid>
      <w:tr w:rsidR="00271801" w:rsidRPr="00271801" w14:paraId="11402C73" w14:textId="77777777" w:rsidTr="00675621">
        <w:tc>
          <w:tcPr>
            <w:tcW w:w="2538" w:type="dxa"/>
            <w:hideMark/>
          </w:tcPr>
          <w:p w14:paraId="124CEF7B"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Strategic Rationale</w:t>
            </w:r>
          </w:p>
        </w:tc>
        <w:tc>
          <w:tcPr>
            <w:tcW w:w="7038" w:type="dxa"/>
            <w:hideMark/>
          </w:tcPr>
          <w:p w14:paraId="2C8BFB9B" w14:textId="77777777" w:rsidR="00271801" w:rsidRPr="00271801" w:rsidRDefault="00271801" w:rsidP="00347F11">
            <w:pPr>
              <w:spacing w:before="240" w:after="120" w:line="276" w:lineRule="auto"/>
              <w:rPr>
                <w:rFonts w:asciiTheme="majorBidi" w:hAnsiTheme="majorBidi" w:cstheme="majorBidi"/>
                <w:b/>
                <w:bCs/>
                <w:sz w:val="24"/>
                <w:szCs w:val="24"/>
              </w:rPr>
            </w:pPr>
            <w:r w:rsidRPr="00271801">
              <w:rPr>
                <w:rFonts w:asciiTheme="majorBidi" w:hAnsiTheme="majorBidi" w:cstheme="majorBidi"/>
                <w:b/>
                <w:bCs/>
                <w:sz w:val="24"/>
                <w:szCs w:val="24"/>
              </w:rPr>
              <w:t>Explanation</w:t>
            </w:r>
          </w:p>
        </w:tc>
      </w:tr>
      <w:tr w:rsidR="00271801" w:rsidRPr="00271801" w14:paraId="19E34DE8" w14:textId="77777777" w:rsidTr="00675621">
        <w:tc>
          <w:tcPr>
            <w:tcW w:w="2538" w:type="dxa"/>
            <w:hideMark/>
          </w:tcPr>
          <w:p w14:paraId="65F5E1A9"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Regulatory alignment</w:t>
            </w:r>
          </w:p>
        </w:tc>
        <w:tc>
          <w:tcPr>
            <w:tcW w:w="7038" w:type="dxa"/>
            <w:hideMark/>
          </w:tcPr>
          <w:p w14:paraId="24DEFED7"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Local partner expedites licensing, Halal certification, and land acquisition.</w:t>
            </w:r>
          </w:p>
        </w:tc>
      </w:tr>
      <w:tr w:rsidR="00271801" w:rsidRPr="00271801" w14:paraId="0ED70829" w14:textId="77777777" w:rsidTr="00675621">
        <w:tc>
          <w:tcPr>
            <w:tcW w:w="2538" w:type="dxa"/>
            <w:hideMark/>
          </w:tcPr>
          <w:p w14:paraId="403081EA"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Distribution efficiency</w:t>
            </w:r>
          </w:p>
        </w:tc>
        <w:tc>
          <w:tcPr>
            <w:tcW w:w="7038" w:type="dxa"/>
            <w:hideMark/>
          </w:tcPr>
          <w:p w14:paraId="1FF4D689"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Partner’s logistics network mitigates Indonesia’s island geography challenge.</w:t>
            </w:r>
          </w:p>
        </w:tc>
      </w:tr>
      <w:tr w:rsidR="00271801" w:rsidRPr="00271801" w14:paraId="0658AA2F" w14:textId="77777777" w:rsidTr="00675621">
        <w:tc>
          <w:tcPr>
            <w:tcW w:w="2538" w:type="dxa"/>
            <w:hideMark/>
          </w:tcPr>
          <w:p w14:paraId="6A60BDD2"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Cultural compatibility</w:t>
            </w:r>
          </w:p>
        </w:tc>
        <w:tc>
          <w:tcPr>
            <w:tcW w:w="7038" w:type="dxa"/>
            <w:hideMark/>
          </w:tcPr>
          <w:p w14:paraId="1C5F1295"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Joint local brand identity improves consumer acceptance and trust.</w:t>
            </w:r>
          </w:p>
        </w:tc>
      </w:tr>
      <w:tr w:rsidR="00271801" w:rsidRPr="00271801" w14:paraId="2830EE23" w14:textId="77777777" w:rsidTr="00675621">
        <w:tc>
          <w:tcPr>
            <w:tcW w:w="2538" w:type="dxa"/>
            <w:hideMark/>
          </w:tcPr>
          <w:p w14:paraId="12858E91"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Cost control</w:t>
            </w:r>
          </w:p>
        </w:tc>
        <w:tc>
          <w:tcPr>
            <w:tcW w:w="7038" w:type="dxa"/>
            <w:hideMark/>
          </w:tcPr>
          <w:p w14:paraId="28BAFAB6"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Shared capital investment lowers financial exposure.</w:t>
            </w:r>
          </w:p>
        </w:tc>
      </w:tr>
      <w:tr w:rsidR="00271801" w:rsidRPr="00271801" w14:paraId="1CE46332" w14:textId="77777777" w:rsidTr="00675621">
        <w:tc>
          <w:tcPr>
            <w:tcW w:w="2538" w:type="dxa"/>
            <w:hideMark/>
          </w:tcPr>
          <w:p w14:paraId="782C7C45" w14:textId="77777777"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b/>
                <w:bCs/>
                <w:sz w:val="24"/>
                <w:szCs w:val="24"/>
              </w:rPr>
              <w:t>Learning advantage</w:t>
            </w:r>
          </w:p>
        </w:tc>
        <w:tc>
          <w:tcPr>
            <w:tcW w:w="7038" w:type="dxa"/>
            <w:hideMark/>
          </w:tcPr>
          <w:p w14:paraId="5DA84ED0" w14:textId="206496B0" w:rsidR="00271801" w:rsidRPr="00271801" w:rsidRDefault="00271801" w:rsidP="00347F11">
            <w:pPr>
              <w:spacing w:before="240" w:after="120" w:line="276" w:lineRule="auto"/>
              <w:rPr>
                <w:rFonts w:asciiTheme="majorBidi" w:hAnsiTheme="majorBidi" w:cstheme="majorBidi"/>
                <w:sz w:val="24"/>
                <w:szCs w:val="24"/>
              </w:rPr>
            </w:pPr>
            <w:r w:rsidRPr="00271801">
              <w:rPr>
                <w:rFonts w:asciiTheme="majorBidi" w:hAnsiTheme="majorBidi" w:cstheme="majorBidi"/>
                <w:sz w:val="24"/>
                <w:szCs w:val="24"/>
              </w:rPr>
              <w:t xml:space="preserve">Acquire deep market knowledge before moving to </w:t>
            </w:r>
            <w:proofErr w:type="gramStart"/>
            <w:r w:rsidRPr="00271801">
              <w:rPr>
                <w:rFonts w:asciiTheme="majorBidi" w:hAnsiTheme="majorBidi" w:cstheme="majorBidi"/>
                <w:sz w:val="24"/>
                <w:szCs w:val="24"/>
              </w:rPr>
              <w:t>a</w:t>
            </w:r>
            <w:proofErr w:type="gramEnd"/>
            <w:r w:rsidRPr="00271801">
              <w:rPr>
                <w:rFonts w:asciiTheme="majorBidi" w:hAnsiTheme="majorBidi" w:cstheme="majorBidi"/>
                <w:sz w:val="24"/>
                <w:szCs w:val="24"/>
              </w:rPr>
              <w:t xml:space="preserve"> owned subsidiary.</w:t>
            </w:r>
          </w:p>
        </w:tc>
      </w:tr>
    </w:tbl>
    <w:p w14:paraId="00BE42A5" w14:textId="73013299" w:rsidR="00271801" w:rsidRPr="00D165BB" w:rsidRDefault="00271801" w:rsidP="00347F11">
      <w:pPr>
        <w:pStyle w:val="Heading1"/>
        <w:spacing w:line="276" w:lineRule="auto"/>
        <w:rPr>
          <w:rFonts w:asciiTheme="majorBidi" w:hAnsiTheme="majorBidi"/>
          <w:color w:val="auto"/>
        </w:rPr>
      </w:pPr>
      <w:bookmarkStart w:id="9" w:name="_Toc213842617"/>
      <w:r w:rsidRPr="00D165BB">
        <w:rPr>
          <w:rFonts w:asciiTheme="majorBidi" w:hAnsiTheme="majorBidi"/>
          <w:color w:val="auto"/>
        </w:rPr>
        <w:lastRenderedPageBreak/>
        <w:t>Implementation</w:t>
      </w:r>
      <w:r w:rsidR="00D6377C" w:rsidRPr="00D165BB">
        <w:rPr>
          <w:rFonts w:asciiTheme="majorBidi" w:hAnsiTheme="majorBidi"/>
          <w:color w:val="auto"/>
        </w:rPr>
        <w:t xml:space="preserve"> Plan</w:t>
      </w:r>
      <w:bookmarkEnd w:id="9"/>
    </w:p>
    <w:p w14:paraId="7BF6114A" w14:textId="55C2D766"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sz w:val="24"/>
          <w:szCs w:val="24"/>
        </w:rPr>
        <w:t>Implementation should occur in three structured phases, supported by targeted marketing, brand awareness, and distribution initiatives.</w:t>
      </w:r>
      <w:r w:rsidR="0059252B">
        <w:rPr>
          <w:rFonts w:asciiTheme="majorBidi" w:hAnsiTheme="majorBidi" w:cstheme="majorBidi"/>
          <w:sz w:val="24"/>
          <w:szCs w:val="24"/>
        </w:rPr>
        <w:t xml:space="preserve"> </w:t>
      </w:r>
    </w:p>
    <w:p w14:paraId="2A02413D" w14:textId="257B2289" w:rsidR="00D165BB" w:rsidRPr="00D165BB" w:rsidRDefault="00D165BB" w:rsidP="00347F11">
      <w:pPr>
        <w:pStyle w:val="ListParagraph"/>
        <w:numPr>
          <w:ilvl w:val="0"/>
          <w:numId w:val="25"/>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Phase 1 (Year 1–2): Establishment and Market Entry</w:t>
      </w:r>
      <w:r w:rsidRPr="00D165BB">
        <w:rPr>
          <w:rFonts w:asciiTheme="majorBidi" w:hAnsiTheme="majorBidi" w:cstheme="majorBidi"/>
          <w:sz w:val="24"/>
          <w:szCs w:val="24"/>
        </w:rPr>
        <w:br/>
        <w:t xml:space="preserve">Almarai should first form the joint venture and complete regulatory requirements for Halal certification and food importation. Imported dairy products—mainly milk, yogurt, and juice—will be introduced through major retail chains and e-commerce platforms such as Carrefour, </w:t>
      </w:r>
      <w:proofErr w:type="spellStart"/>
      <w:r w:rsidRPr="00D165BB">
        <w:rPr>
          <w:rFonts w:asciiTheme="majorBidi" w:hAnsiTheme="majorBidi" w:cstheme="majorBidi"/>
          <w:sz w:val="24"/>
          <w:szCs w:val="24"/>
        </w:rPr>
        <w:t>Hypermart</w:t>
      </w:r>
      <w:proofErr w:type="spellEnd"/>
      <w:r w:rsidRPr="00D165BB">
        <w:rPr>
          <w:rFonts w:asciiTheme="majorBidi" w:hAnsiTheme="majorBidi" w:cstheme="majorBidi"/>
          <w:sz w:val="24"/>
          <w:szCs w:val="24"/>
        </w:rPr>
        <w:t>, Tokopedia, and Shopee.</w:t>
      </w:r>
      <w:r w:rsidRPr="00D165BB">
        <w:rPr>
          <w:rFonts w:asciiTheme="majorBidi" w:hAnsiTheme="majorBidi" w:cstheme="majorBidi"/>
          <w:sz w:val="24"/>
          <w:szCs w:val="24"/>
        </w:rPr>
        <w:br/>
        <w:t xml:space="preserve">A digital-first marketing campaign should accompany the launch, focusing on Almarai’s brand identity: </w:t>
      </w:r>
      <w:r w:rsidRPr="00D165BB">
        <w:rPr>
          <w:rFonts w:asciiTheme="majorBidi" w:hAnsiTheme="majorBidi" w:cstheme="majorBidi"/>
          <w:i/>
          <w:iCs/>
          <w:sz w:val="24"/>
          <w:szCs w:val="24"/>
        </w:rPr>
        <w:t>“Pure, Fresh, and Halal—From Saudi Arabia to Indonesia.”</w:t>
      </w:r>
      <w:r w:rsidRPr="00D165BB">
        <w:rPr>
          <w:rFonts w:asciiTheme="majorBidi" w:hAnsiTheme="majorBidi" w:cstheme="majorBidi"/>
          <w:sz w:val="24"/>
          <w:szCs w:val="24"/>
        </w:rPr>
        <w:br/>
        <w:t>Social media channels like Instagram, TikTok, and YouTube will be leveraged with local influencer collaborations to reach young urban consumers.</w:t>
      </w:r>
      <w:r w:rsidRPr="00D165BB">
        <w:rPr>
          <w:rFonts w:asciiTheme="majorBidi" w:hAnsiTheme="majorBidi" w:cstheme="majorBidi"/>
          <w:sz w:val="24"/>
          <w:szCs w:val="24"/>
        </w:rPr>
        <w:br/>
        <w:t>Sampling booths in malls and supermarkets, along with family-oriented advertising, will emphasize Almarai’s freshness, quality, and Halal credibility.</w:t>
      </w:r>
    </w:p>
    <w:p w14:paraId="338D96A8" w14:textId="2E304D9E" w:rsidR="00D165BB" w:rsidRPr="00D165BB" w:rsidRDefault="00D165BB" w:rsidP="00347F11">
      <w:pPr>
        <w:pStyle w:val="ListParagraph"/>
        <w:numPr>
          <w:ilvl w:val="0"/>
          <w:numId w:val="25"/>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Phase 2 (Year 3–4): Localization and Expansion</w:t>
      </w:r>
      <w:r w:rsidRPr="00D165BB">
        <w:rPr>
          <w:rFonts w:asciiTheme="majorBidi" w:hAnsiTheme="majorBidi" w:cstheme="majorBidi"/>
          <w:sz w:val="24"/>
          <w:szCs w:val="24"/>
        </w:rPr>
        <w:br/>
        <w:t>During this stage, Almarai will establish local processing and packaging facilities, reducing dependency on imports.</w:t>
      </w:r>
      <w:r w:rsidRPr="00D165BB">
        <w:rPr>
          <w:rFonts w:asciiTheme="majorBidi" w:hAnsiTheme="majorBidi" w:cstheme="majorBidi"/>
          <w:sz w:val="24"/>
          <w:szCs w:val="24"/>
        </w:rPr>
        <w:br/>
        <w:t>The company should diversify its product portfolio by introducing flavored and sweetened dairy beverages adapted to Indonesian tastes, such as chocolate and strawberry milk.</w:t>
      </w:r>
      <w:r w:rsidRPr="00D165BB">
        <w:rPr>
          <w:rFonts w:asciiTheme="majorBidi" w:hAnsiTheme="majorBidi" w:cstheme="majorBidi"/>
          <w:sz w:val="24"/>
          <w:szCs w:val="24"/>
        </w:rPr>
        <w:br/>
        <w:t xml:space="preserve">A community engagement program, such as </w:t>
      </w:r>
      <w:r w:rsidRPr="00D165BB">
        <w:rPr>
          <w:rFonts w:asciiTheme="majorBidi" w:hAnsiTheme="majorBidi" w:cstheme="majorBidi"/>
          <w:i/>
          <w:iCs/>
          <w:sz w:val="24"/>
          <w:szCs w:val="24"/>
        </w:rPr>
        <w:t>“Healthy Milk for Schools”</w:t>
      </w:r>
      <w:r w:rsidRPr="00D165BB">
        <w:rPr>
          <w:rFonts w:asciiTheme="majorBidi" w:hAnsiTheme="majorBidi" w:cstheme="majorBidi"/>
          <w:sz w:val="24"/>
          <w:szCs w:val="24"/>
        </w:rPr>
        <w:t>, will strengthen social responsibility and brand trust among families.</w:t>
      </w:r>
      <w:r w:rsidRPr="00D165BB">
        <w:rPr>
          <w:rFonts w:asciiTheme="majorBidi" w:hAnsiTheme="majorBidi" w:cstheme="majorBidi"/>
          <w:sz w:val="24"/>
          <w:szCs w:val="24"/>
        </w:rPr>
        <w:br/>
        <w:t>Distribution should expand into convenience stores (</w:t>
      </w:r>
      <w:proofErr w:type="spellStart"/>
      <w:r w:rsidRPr="00D165BB">
        <w:rPr>
          <w:rFonts w:asciiTheme="majorBidi" w:hAnsiTheme="majorBidi" w:cstheme="majorBidi"/>
          <w:sz w:val="24"/>
          <w:szCs w:val="24"/>
        </w:rPr>
        <w:t>Indomaret</w:t>
      </w:r>
      <w:proofErr w:type="spellEnd"/>
      <w:r w:rsidRPr="00D165BB">
        <w:rPr>
          <w:rFonts w:asciiTheme="majorBidi" w:hAnsiTheme="majorBidi" w:cstheme="majorBidi"/>
          <w:sz w:val="24"/>
          <w:szCs w:val="24"/>
        </w:rPr>
        <w:t xml:space="preserve">, </w:t>
      </w:r>
      <w:proofErr w:type="spellStart"/>
      <w:r w:rsidRPr="00D165BB">
        <w:rPr>
          <w:rFonts w:asciiTheme="majorBidi" w:hAnsiTheme="majorBidi" w:cstheme="majorBidi"/>
          <w:sz w:val="24"/>
          <w:szCs w:val="24"/>
        </w:rPr>
        <w:t>Alfamart</w:t>
      </w:r>
      <w:proofErr w:type="spellEnd"/>
      <w:r w:rsidRPr="00D165BB">
        <w:rPr>
          <w:rFonts w:asciiTheme="majorBidi" w:hAnsiTheme="majorBidi" w:cstheme="majorBidi"/>
          <w:sz w:val="24"/>
          <w:szCs w:val="24"/>
        </w:rPr>
        <w:t>) and regional outlets through cold-chain partners.</w:t>
      </w:r>
    </w:p>
    <w:p w14:paraId="59D9682C" w14:textId="5BEA73D5" w:rsidR="00D165BB" w:rsidRPr="00D165BB" w:rsidRDefault="00D165BB" w:rsidP="00347F11">
      <w:pPr>
        <w:pStyle w:val="ListParagraph"/>
        <w:numPr>
          <w:ilvl w:val="0"/>
          <w:numId w:val="25"/>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Phase 3 (Year 5 onward): Consolidation and Regional Exports</w:t>
      </w:r>
      <w:r w:rsidRPr="00D165BB">
        <w:rPr>
          <w:rFonts w:asciiTheme="majorBidi" w:hAnsiTheme="majorBidi" w:cstheme="majorBidi"/>
          <w:sz w:val="24"/>
          <w:szCs w:val="24"/>
        </w:rPr>
        <w:br/>
        <w:t>Almarai should expand into ASEAN exports while solidifying its market share in Indonesia.</w:t>
      </w:r>
      <w:r w:rsidRPr="00D165BB">
        <w:rPr>
          <w:rFonts w:asciiTheme="majorBidi" w:hAnsiTheme="majorBidi" w:cstheme="majorBidi"/>
          <w:sz w:val="24"/>
          <w:szCs w:val="24"/>
        </w:rPr>
        <w:br/>
        <w:t>Local R&amp;D units can develop region-specific innovations such as probiotic drinks or plant-based dairy alternatives.</w:t>
      </w:r>
      <w:r w:rsidRPr="00D165BB">
        <w:rPr>
          <w:rFonts w:asciiTheme="majorBidi" w:hAnsiTheme="majorBidi" w:cstheme="majorBidi"/>
          <w:sz w:val="24"/>
          <w:szCs w:val="24"/>
        </w:rPr>
        <w:br/>
        <w:t>By Year 5, the brand should be recognized as the leading premium Halal dairy brand in Indonesia, with nationwide visibility across both modern and traditional retail formats.</w:t>
      </w:r>
    </w:p>
    <w:p w14:paraId="047E4238" w14:textId="7777777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Key Performance Indicators (KPIs):</w:t>
      </w:r>
    </w:p>
    <w:p w14:paraId="7ABF16D6" w14:textId="77777777" w:rsidR="00D165BB" w:rsidRPr="00D165BB" w:rsidRDefault="00D165BB" w:rsidP="00347F11">
      <w:pPr>
        <w:numPr>
          <w:ilvl w:val="0"/>
          <w:numId w:val="21"/>
        </w:numPr>
        <w:spacing w:before="240" w:line="276" w:lineRule="auto"/>
        <w:rPr>
          <w:rFonts w:asciiTheme="majorBidi" w:hAnsiTheme="majorBidi" w:cstheme="majorBidi"/>
          <w:sz w:val="24"/>
          <w:szCs w:val="24"/>
        </w:rPr>
      </w:pPr>
      <w:proofErr w:type="gramStart"/>
      <w:r w:rsidRPr="00D165BB">
        <w:rPr>
          <w:rFonts w:asciiTheme="majorBidi" w:hAnsiTheme="majorBidi" w:cstheme="majorBidi"/>
          <w:sz w:val="24"/>
          <w:szCs w:val="24"/>
        </w:rPr>
        <w:t>Achieve</w:t>
      </w:r>
      <w:proofErr w:type="gramEnd"/>
      <w:r w:rsidRPr="00D165BB">
        <w:rPr>
          <w:rFonts w:asciiTheme="majorBidi" w:hAnsiTheme="majorBidi" w:cstheme="majorBidi"/>
          <w:sz w:val="24"/>
          <w:szCs w:val="24"/>
        </w:rPr>
        <w:t xml:space="preserve"> 5% national market share within five years.</w:t>
      </w:r>
    </w:p>
    <w:p w14:paraId="0FDC0E4D" w14:textId="77777777" w:rsidR="00D165BB" w:rsidRPr="00D165BB" w:rsidRDefault="00D165BB" w:rsidP="00347F11">
      <w:pPr>
        <w:numPr>
          <w:ilvl w:val="0"/>
          <w:numId w:val="21"/>
        </w:numPr>
        <w:spacing w:before="240" w:line="276" w:lineRule="auto"/>
        <w:rPr>
          <w:rFonts w:asciiTheme="majorBidi" w:hAnsiTheme="majorBidi" w:cstheme="majorBidi"/>
          <w:sz w:val="24"/>
          <w:szCs w:val="24"/>
        </w:rPr>
      </w:pPr>
      <w:r w:rsidRPr="00D165BB">
        <w:rPr>
          <w:rFonts w:asciiTheme="majorBidi" w:hAnsiTheme="majorBidi" w:cstheme="majorBidi"/>
          <w:sz w:val="24"/>
          <w:szCs w:val="24"/>
        </w:rPr>
        <w:t>Attain 70% brand awareness among middle-income consumers.</w:t>
      </w:r>
    </w:p>
    <w:p w14:paraId="081D4B82" w14:textId="77777777" w:rsidR="00D165BB" w:rsidRPr="00D165BB" w:rsidRDefault="00D165BB" w:rsidP="00347F11">
      <w:pPr>
        <w:numPr>
          <w:ilvl w:val="0"/>
          <w:numId w:val="21"/>
        </w:numPr>
        <w:spacing w:before="240" w:line="276" w:lineRule="auto"/>
        <w:rPr>
          <w:rFonts w:asciiTheme="majorBidi" w:hAnsiTheme="majorBidi" w:cstheme="majorBidi"/>
          <w:sz w:val="24"/>
          <w:szCs w:val="24"/>
        </w:rPr>
      </w:pPr>
      <w:r w:rsidRPr="00D165BB">
        <w:rPr>
          <w:rFonts w:asciiTheme="majorBidi" w:hAnsiTheme="majorBidi" w:cstheme="majorBidi"/>
          <w:sz w:val="24"/>
          <w:szCs w:val="24"/>
        </w:rPr>
        <w:lastRenderedPageBreak/>
        <w:t>Reach 90% distribution coverage in major cities.</w:t>
      </w:r>
    </w:p>
    <w:p w14:paraId="66E68228" w14:textId="77777777" w:rsidR="00D165BB" w:rsidRPr="00D165BB" w:rsidRDefault="00D165BB" w:rsidP="00347F11">
      <w:pPr>
        <w:numPr>
          <w:ilvl w:val="0"/>
          <w:numId w:val="21"/>
        </w:numPr>
        <w:spacing w:before="240" w:line="276" w:lineRule="auto"/>
        <w:rPr>
          <w:rFonts w:asciiTheme="majorBidi" w:hAnsiTheme="majorBidi" w:cstheme="majorBidi"/>
          <w:sz w:val="24"/>
          <w:szCs w:val="24"/>
        </w:rPr>
      </w:pPr>
      <w:r w:rsidRPr="00D165BB">
        <w:rPr>
          <w:rFonts w:asciiTheme="majorBidi" w:hAnsiTheme="majorBidi" w:cstheme="majorBidi"/>
          <w:sz w:val="24"/>
          <w:szCs w:val="24"/>
        </w:rPr>
        <w:t>Reduce logistics costs by 15% through localized operations.</w:t>
      </w:r>
    </w:p>
    <w:p w14:paraId="36217F5B" w14:textId="1091CB84" w:rsidR="00D165BB" w:rsidRPr="00D165BB" w:rsidRDefault="00D165BB" w:rsidP="00347F11">
      <w:pPr>
        <w:numPr>
          <w:ilvl w:val="0"/>
          <w:numId w:val="21"/>
        </w:numPr>
        <w:spacing w:before="240" w:line="276" w:lineRule="auto"/>
        <w:rPr>
          <w:rFonts w:asciiTheme="majorBidi" w:hAnsiTheme="majorBidi" w:cstheme="majorBidi"/>
          <w:sz w:val="24"/>
          <w:szCs w:val="24"/>
        </w:rPr>
      </w:pPr>
      <w:r w:rsidRPr="00D165BB">
        <w:rPr>
          <w:rFonts w:asciiTheme="majorBidi" w:hAnsiTheme="majorBidi" w:cstheme="majorBidi"/>
          <w:sz w:val="24"/>
          <w:szCs w:val="24"/>
        </w:rPr>
        <w:t>Ensure at least 30% of materials are sourced locally by Year 5.</w:t>
      </w:r>
    </w:p>
    <w:p w14:paraId="3E1F8779" w14:textId="428D72C1" w:rsidR="00D165BB" w:rsidRPr="00D165BB" w:rsidRDefault="00D165BB" w:rsidP="00347F11">
      <w:pPr>
        <w:pStyle w:val="Heading1"/>
        <w:spacing w:line="276" w:lineRule="auto"/>
        <w:rPr>
          <w:rFonts w:asciiTheme="majorBidi" w:hAnsiTheme="majorBidi"/>
          <w:color w:val="auto"/>
        </w:rPr>
      </w:pPr>
      <w:bookmarkStart w:id="10" w:name="_Toc213842618"/>
      <w:r w:rsidRPr="00D165BB">
        <w:rPr>
          <w:rFonts w:asciiTheme="majorBidi" w:hAnsiTheme="majorBidi"/>
          <w:color w:val="auto"/>
        </w:rPr>
        <w:t>Marketing and Brand Awareness Strategy</w:t>
      </w:r>
      <w:bookmarkEnd w:id="10"/>
    </w:p>
    <w:p w14:paraId="5A9CF663" w14:textId="7777777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sz w:val="24"/>
          <w:szCs w:val="24"/>
        </w:rPr>
        <w:t>Marketing will be a cornerstone of Almarai’s success in Indonesia. The company must establish clear positioning, strong emotional resonance, and localized communication.</w:t>
      </w:r>
    </w:p>
    <w:p w14:paraId="52A50E1A" w14:textId="44D6CAB9"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b/>
          <w:bCs/>
          <w:sz w:val="26"/>
          <w:szCs w:val="26"/>
        </w:rPr>
        <w:t>Positioning Strategy:</w:t>
      </w:r>
      <w:r w:rsidRPr="00D165BB">
        <w:rPr>
          <w:rFonts w:asciiTheme="majorBidi" w:hAnsiTheme="majorBidi" w:cstheme="majorBidi"/>
          <w:sz w:val="26"/>
          <w:szCs w:val="26"/>
        </w:rPr>
        <w:br/>
      </w:r>
      <w:r w:rsidRPr="00D165BB">
        <w:rPr>
          <w:rFonts w:asciiTheme="majorBidi" w:hAnsiTheme="majorBidi" w:cstheme="majorBidi"/>
          <w:sz w:val="24"/>
          <w:szCs w:val="24"/>
        </w:rPr>
        <w:t>Almarai should position itself as a trusted, premium, family-oriented Halal dairy brand that delivers Middle Eastern quality and freshness adapted to Indonesian tastes. The brand narrative— “From Saudi Arabia to Your Family’s Table”—should blend authenticity with aspiration.</w:t>
      </w:r>
    </w:p>
    <w:p w14:paraId="211AE8FE" w14:textId="7777777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b/>
          <w:bCs/>
          <w:sz w:val="26"/>
          <w:szCs w:val="26"/>
        </w:rPr>
        <w:t>Promotion and Brand Awareness:</w:t>
      </w:r>
      <w:r w:rsidRPr="00D165BB">
        <w:rPr>
          <w:rFonts w:asciiTheme="majorBidi" w:hAnsiTheme="majorBidi" w:cstheme="majorBidi"/>
          <w:sz w:val="24"/>
          <w:szCs w:val="24"/>
        </w:rPr>
        <w:br/>
        <w:t>Almarai’s marketing should be digitally driven and emotionally persuasive:</w:t>
      </w:r>
    </w:p>
    <w:p w14:paraId="2069212E" w14:textId="77777777" w:rsidR="00D165BB" w:rsidRPr="00D165BB" w:rsidRDefault="00D165BB" w:rsidP="00347F11">
      <w:pPr>
        <w:numPr>
          <w:ilvl w:val="0"/>
          <w:numId w:val="22"/>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Digital Channels:</w:t>
      </w:r>
      <w:r w:rsidRPr="00D165BB">
        <w:rPr>
          <w:rFonts w:asciiTheme="majorBidi" w:hAnsiTheme="majorBidi" w:cstheme="majorBidi"/>
          <w:sz w:val="24"/>
          <w:szCs w:val="24"/>
        </w:rPr>
        <w:t xml:space="preserve"> Focus on TikTok, Instagram, and YouTube, where young Indonesian consumers are most active.</w:t>
      </w:r>
    </w:p>
    <w:p w14:paraId="7C2AB16E" w14:textId="77777777" w:rsidR="00D165BB" w:rsidRPr="00D165BB" w:rsidRDefault="00D165BB" w:rsidP="00347F11">
      <w:pPr>
        <w:numPr>
          <w:ilvl w:val="0"/>
          <w:numId w:val="22"/>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Influencer Partnerships:</w:t>
      </w:r>
      <w:r w:rsidRPr="00D165BB">
        <w:rPr>
          <w:rFonts w:asciiTheme="majorBidi" w:hAnsiTheme="majorBidi" w:cstheme="majorBidi"/>
          <w:sz w:val="24"/>
          <w:szCs w:val="24"/>
        </w:rPr>
        <w:t xml:space="preserve"> Collaborate with family-oriented and Halal lifestyle </w:t>
      </w:r>
      <w:proofErr w:type="gramStart"/>
      <w:r w:rsidRPr="00D165BB">
        <w:rPr>
          <w:rFonts w:asciiTheme="majorBidi" w:hAnsiTheme="majorBidi" w:cstheme="majorBidi"/>
          <w:sz w:val="24"/>
          <w:szCs w:val="24"/>
        </w:rPr>
        <w:t>influencers</w:t>
      </w:r>
      <w:proofErr w:type="gramEnd"/>
      <w:r w:rsidRPr="00D165BB">
        <w:rPr>
          <w:rFonts w:asciiTheme="majorBidi" w:hAnsiTheme="majorBidi" w:cstheme="majorBidi"/>
          <w:sz w:val="24"/>
          <w:szCs w:val="24"/>
        </w:rPr>
        <w:t xml:space="preserve"> to increase relatability and reach.</w:t>
      </w:r>
    </w:p>
    <w:p w14:paraId="0CE5D35B" w14:textId="77777777" w:rsidR="00D165BB" w:rsidRPr="00D165BB" w:rsidRDefault="00D165BB" w:rsidP="00347F11">
      <w:pPr>
        <w:numPr>
          <w:ilvl w:val="0"/>
          <w:numId w:val="22"/>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Retail Activation:</w:t>
      </w:r>
      <w:r w:rsidRPr="00D165BB">
        <w:rPr>
          <w:rFonts w:asciiTheme="majorBidi" w:hAnsiTheme="majorBidi" w:cstheme="majorBidi"/>
          <w:sz w:val="24"/>
          <w:szCs w:val="24"/>
        </w:rPr>
        <w:t xml:space="preserve"> Offer free sampling, loyalty programs, and promotional bundles in Carrefour, </w:t>
      </w:r>
      <w:proofErr w:type="spellStart"/>
      <w:r w:rsidRPr="00D165BB">
        <w:rPr>
          <w:rFonts w:asciiTheme="majorBidi" w:hAnsiTheme="majorBidi" w:cstheme="majorBidi"/>
          <w:sz w:val="24"/>
          <w:szCs w:val="24"/>
        </w:rPr>
        <w:t>Transmart</w:t>
      </w:r>
      <w:proofErr w:type="spellEnd"/>
      <w:r w:rsidRPr="00D165BB">
        <w:rPr>
          <w:rFonts w:asciiTheme="majorBidi" w:hAnsiTheme="majorBidi" w:cstheme="majorBidi"/>
          <w:sz w:val="24"/>
          <w:szCs w:val="24"/>
        </w:rPr>
        <w:t xml:space="preserve">, and </w:t>
      </w:r>
      <w:proofErr w:type="spellStart"/>
      <w:r w:rsidRPr="00D165BB">
        <w:rPr>
          <w:rFonts w:asciiTheme="majorBidi" w:hAnsiTheme="majorBidi" w:cstheme="majorBidi"/>
          <w:sz w:val="24"/>
          <w:szCs w:val="24"/>
        </w:rPr>
        <w:t>Indomaret</w:t>
      </w:r>
      <w:proofErr w:type="spellEnd"/>
      <w:r w:rsidRPr="00D165BB">
        <w:rPr>
          <w:rFonts w:asciiTheme="majorBidi" w:hAnsiTheme="majorBidi" w:cstheme="majorBidi"/>
          <w:sz w:val="24"/>
          <w:szCs w:val="24"/>
        </w:rPr>
        <w:t>.</w:t>
      </w:r>
    </w:p>
    <w:p w14:paraId="67EA106A" w14:textId="77777777" w:rsidR="00D165BB" w:rsidRPr="00D165BB" w:rsidRDefault="00D165BB" w:rsidP="00347F11">
      <w:pPr>
        <w:numPr>
          <w:ilvl w:val="0"/>
          <w:numId w:val="22"/>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Public Relations:</w:t>
      </w:r>
      <w:r w:rsidRPr="00D165BB">
        <w:rPr>
          <w:rFonts w:asciiTheme="majorBidi" w:hAnsiTheme="majorBidi" w:cstheme="majorBidi"/>
          <w:sz w:val="24"/>
          <w:szCs w:val="24"/>
        </w:rPr>
        <w:t xml:space="preserve"> Sponsor cultural and family events, positioning Almarai as a socially engaged and values-driven brand.</w:t>
      </w:r>
    </w:p>
    <w:p w14:paraId="1984A1DB" w14:textId="77777777" w:rsidR="00D165BB" w:rsidRPr="00D165BB" w:rsidRDefault="00D165BB" w:rsidP="00347F11">
      <w:pPr>
        <w:numPr>
          <w:ilvl w:val="0"/>
          <w:numId w:val="22"/>
        </w:numPr>
        <w:spacing w:before="240" w:line="276" w:lineRule="auto"/>
        <w:rPr>
          <w:rFonts w:asciiTheme="majorBidi" w:hAnsiTheme="majorBidi" w:cstheme="majorBidi"/>
          <w:sz w:val="24"/>
          <w:szCs w:val="24"/>
        </w:rPr>
      </w:pPr>
      <w:r w:rsidRPr="00D165BB">
        <w:rPr>
          <w:rFonts w:asciiTheme="majorBidi" w:hAnsiTheme="majorBidi" w:cstheme="majorBidi"/>
          <w:b/>
          <w:bCs/>
          <w:sz w:val="24"/>
          <w:szCs w:val="24"/>
        </w:rPr>
        <w:t>CSR-Based Promotion:</w:t>
      </w:r>
      <w:r w:rsidRPr="00D165BB">
        <w:rPr>
          <w:rFonts w:asciiTheme="majorBidi" w:hAnsiTheme="majorBidi" w:cstheme="majorBidi"/>
          <w:sz w:val="24"/>
          <w:szCs w:val="24"/>
        </w:rPr>
        <w:t xml:space="preserve"> Launch a </w:t>
      </w:r>
      <w:r w:rsidRPr="00D165BB">
        <w:rPr>
          <w:rFonts w:asciiTheme="majorBidi" w:hAnsiTheme="majorBidi" w:cstheme="majorBidi"/>
          <w:i/>
          <w:iCs/>
          <w:sz w:val="24"/>
          <w:szCs w:val="24"/>
        </w:rPr>
        <w:t>“Milk for Growth”</w:t>
      </w:r>
      <w:r w:rsidRPr="00D165BB">
        <w:rPr>
          <w:rFonts w:asciiTheme="majorBidi" w:hAnsiTheme="majorBidi" w:cstheme="majorBidi"/>
          <w:sz w:val="24"/>
          <w:szCs w:val="24"/>
        </w:rPr>
        <w:t xml:space="preserve"> initiative donating products to schools, tying social impact with marketing visibility.</w:t>
      </w:r>
    </w:p>
    <w:p w14:paraId="542841BF" w14:textId="77777777" w:rsidR="00D165BB" w:rsidRDefault="00D165BB" w:rsidP="00347F11">
      <w:pPr>
        <w:spacing w:before="240" w:line="276" w:lineRule="auto"/>
        <w:rPr>
          <w:rFonts w:asciiTheme="majorBidi" w:hAnsiTheme="majorBidi" w:cstheme="majorBidi"/>
          <w:b/>
          <w:bCs/>
          <w:sz w:val="26"/>
          <w:szCs w:val="26"/>
        </w:rPr>
      </w:pPr>
    </w:p>
    <w:p w14:paraId="6294110A" w14:textId="77777777" w:rsidR="00142F55" w:rsidRDefault="00142F55" w:rsidP="00347F11">
      <w:pPr>
        <w:spacing w:before="240" w:line="276" w:lineRule="auto"/>
        <w:rPr>
          <w:rFonts w:asciiTheme="majorBidi" w:hAnsiTheme="majorBidi" w:cstheme="majorBidi"/>
          <w:b/>
          <w:bCs/>
          <w:sz w:val="26"/>
          <w:szCs w:val="26"/>
        </w:rPr>
      </w:pPr>
    </w:p>
    <w:p w14:paraId="4EDC2A5F" w14:textId="0E13745C"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b/>
          <w:bCs/>
          <w:sz w:val="26"/>
          <w:szCs w:val="26"/>
        </w:rPr>
        <w:lastRenderedPageBreak/>
        <w:t>Brand Awareness Metrics:</w:t>
      </w:r>
      <w:r w:rsidRPr="00D165BB">
        <w:rPr>
          <w:rFonts w:asciiTheme="majorBidi" w:hAnsiTheme="majorBidi" w:cstheme="majorBidi"/>
          <w:sz w:val="26"/>
          <w:szCs w:val="26"/>
        </w:rPr>
        <w:br/>
      </w:r>
      <w:r w:rsidRPr="00D165BB">
        <w:rPr>
          <w:rFonts w:asciiTheme="majorBidi" w:hAnsiTheme="majorBidi" w:cstheme="majorBidi"/>
          <w:sz w:val="24"/>
          <w:szCs w:val="24"/>
        </w:rPr>
        <w:t>Success will be tracked through digital engagement analytics, consumer surveys, and retail data measuring repeat purchases and brand recall.</w:t>
      </w:r>
      <w:r w:rsidRPr="00D165BB">
        <w:rPr>
          <w:rFonts w:asciiTheme="majorBidi" w:hAnsiTheme="majorBidi" w:cstheme="majorBidi"/>
          <w:sz w:val="24"/>
          <w:szCs w:val="24"/>
        </w:rPr>
        <w:br/>
        <w:t>The goal is to build emotional trust by associating Almarai with purity, family, and faith, differentiating it from foreign or local mass brands.</w:t>
      </w:r>
    </w:p>
    <w:p w14:paraId="6F526B88" w14:textId="0C53DFE5" w:rsidR="00D165BB" w:rsidRPr="00D165BB" w:rsidRDefault="00D165BB" w:rsidP="00347F11">
      <w:pPr>
        <w:pStyle w:val="Heading1"/>
        <w:spacing w:line="276" w:lineRule="auto"/>
        <w:rPr>
          <w:rFonts w:asciiTheme="majorBidi" w:hAnsiTheme="majorBidi"/>
          <w:color w:val="auto"/>
        </w:rPr>
      </w:pPr>
      <w:bookmarkStart w:id="11" w:name="_Toc213842619"/>
      <w:r w:rsidRPr="00D165BB">
        <w:rPr>
          <w:rFonts w:asciiTheme="majorBidi" w:hAnsiTheme="majorBidi"/>
          <w:color w:val="auto"/>
        </w:rPr>
        <w:t>Pricing Strategy</w:t>
      </w:r>
      <w:bookmarkEnd w:id="11"/>
    </w:p>
    <w:p w14:paraId="47F42542" w14:textId="7777777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sz w:val="24"/>
          <w:szCs w:val="24"/>
        </w:rPr>
        <w:t>Almarai should implement a penetration pricing strategy during its initial years in Indonesia to gain market share and overcome brand unfamiliarity. Prices will be slightly below imported competitors like Frisian Flag or Ultra Milk but above low-end local brands to maintain a premium-accessible perception.</w:t>
      </w:r>
    </w:p>
    <w:p w14:paraId="7C4641B2" w14:textId="7777777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sz w:val="24"/>
          <w:szCs w:val="24"/>
        </w:rPr>
        <w:t>Once the brand achieves stable recognition and loyalty, Almarai can transition to a value-based pricing model, charging a moderate premium for freshness, consistent quality, and Halal assurance.</w:t>
      </w:r>
      <w:r w:rsidRPr="00D165BB">
        <w:rPr>
          <w:rFonts w:asciiTheme="majorBidi" w:hAnsiTheme="majorBidi" w:cstheme="majorBidi"/>
          <w:sz w:val="24"/>
          <w:szCs w:val="24"/>
        </w:rPr>
        <w:br/>
        <w:t>To appeal to price-sensitive consumers, Almarai should also introduce smaller SKUs (e.g., 150ml packs) and multi-pack options to create affordability without compromising margins.</w:t>
      </w:r>
    </w:p>
    <w:p w14:paraId="49BED891" w14:textId="488B42D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sz w:val="24"/>
          <w:szCs w:val="24"/>
        </w:rPr>
        <w:t>This two-phase pricing model—penetration followed by value-based—will ensure both early adoption and long-term profitability.</w:t>
      </w:r>
    </w:p>
    <w:p w14:paraId="39872085" w14:textId="21900B0C" w:rsidR="00D165BB" w:rsidRPr="00D165BB" w:rsidRDefault="00D165BB" w:rsidP="00347F11">
      <w:pPr>
        <w:pStyle w:val="Heading1"/>
        <w:spacing w:line="276" w:lineRule="auto"/>
        <w:rPr>
          <w:rFonts w:asciiTheme="majorBidi" w:hAnsiTheme="majorBidi"/>
          <w:color w:val="auto"/>
        </w:rPr>
      </w:pPr>
      <w:bookmarkStart w:id="12" w:name="_Toc213842620"/>
      <w:r w:rsidRPr="00D165BB">
        <w:rPr>
          <w:rFonts w:asciiTheme="majorBidi" w:hAnsiTheme="majorBidi"/>
          <w:color w:val="auto"/>
        </w:rPr>
        <w:t>CSR and Sustainability Integration</w:t>
      </w:r>
      <w:bookmarkEnd w:id="12"/>
    </w:p>
    <w:p w14:paraId="0FF77319" w14:textId="77777777" w:rsidR="00D165BB" w:rsidRPr="00D165BB" w:rsidRDefault="00D165BB" w:rsidP="00347F11">
      <w:pPr>
        <w:spacing w:before="240" w:line="276" w:lineRule="auto"/>
        <w:rPr>
          <w:rFonts w:asciiTheme="majorBidi" w:hAnsiTheme="majorBidi" w:cstheme="majorBidi"/>
          <w:sz w:val="24"/>
          <w:szCs w:val="24"/>
        </w:rPr>
      </w:pPr>
      <w:r w:rsidRPr="00D165BB">
        <w:rPr>
          <w:rFonts w:asciiTheme="majorBidi" w:hAnsiTheme="majorBidi" w:cstheme="majorBidi"/>
          <w:sz w:val="24"/>
          <w:szCs w:val="24"/>
        </w:rPr>
        <w:t>Corporate Social Responsibility (CSR) should be woven into Almarai’s market strategy to strengthen its public image and align with Indonesia’s sustainability priorities.</w:t>
      </w:r>
      <w:r w:rsidRPr="00D165BB">
        <w:rPr>
          <w:rFonts w:asciiTheme="majorBidi" w:hAnsiTheme="majorBidi" w:cstheme="majorBidi"/>
          <w:sz w:val="24"/>
          <w:szCs w:val="24"/>
        </w:rPr>
        <w:br/>
        <w:t>Almarai can support local dairy cooperatives through training programs and partnerships to enhance local milk quality, improving both reputation and supply security.</w:t>
      </w:r>
      <w:r w:rsidRPr="00D165BB">
        <w:rPr>
          <w:rFonts w:asciiTheme="majorBidi" w:hAnsiTheme="majorBidi" w:cstheme="majorBidi"/>
          <w:sz w:val="24"/>
          <w:szCs w:val="24"/>
        </w:rPr>
        <w:br/>
        <w:t>Environmental sustainability should be addressed by using eco-friendly packaging, investing in energy-efficient production, and promoting waste management practices in partnership with local NGOs.</w:t>
      </w:r>
      <w:r w:rsidRPr="00D165BB">
        <w:rPr>
          <w:rFonts w:asciiTheme="majorBidi" w:hAnsiTheme="majorBidi" w:cstheme="majorBidi"/>
          <w:sz w:val="24"/>
          <w:szCs w:val="24"/>
        </w:rPr>
        <w:br/>
        <w:t>Publicizing these initiatives through marketing channels will elevate Almarai’s image as a socially responsible, environmentally conscious, and community-driven brand.</w:t>
      </w:r>
    </w:p>
    <w:p w14:paraId="1E2BD642" w14:textId="77777777" w:rsidR="00D165BB" w:rsidRPr="00D165BB" w:rsidRDefault="00D165BB" w:rsidP="00347F11">
      <w:pPr>
        <w:spacing w:before="240" w:line="276" w:lineRule="auto"/>
        <w:rPr>
          <w:rFonts w:asciiTheme="majorBidi" w:hAnsiTheme="majorBidi" w:cstheme="majorBidi"/>
          <w:sz w:val="24"/>
          <w:szCs w:val="24"/>
        </w:rPr>
      </w:pPr>
    </w:p>
    <w:p w14:paraId="18088B73" w14:textId="4E427D6B" w:rsidR="00CA03D6" w:rsidRPr="00CA03D6" w:rsidRDefault="00271801" w:rsidP="00347F11">
      <w:pPr>
        <w:pStyle w:val="Heading1"/>
        <w:spacing w:before="240" w:after="240" w:line="276" w:lineRule="auto"/>
        <w:rPr>
          <w:rFonts w:asciiTheme="majorBidi" w:hAnsiTheme="majorBidi"/>
          <w:color w:val="auto"/>
        </w:rPr>
      </w:pPr>
      <w:bookmarkStart w:id="13" w:name="_Toc213842621"/>
      <w:r w:rsidRPr="00710657">
        <w:rPr>
          <w:rFonts w:asciiTheme="majorBidi" w:hAnsiTheme="majorBidi"/>
          <w:color w:val="auto"/>
        </w:rPr>
        <w:lastRenderedPageBreak/>
        <w:t>Challenges and Solutions</w:t>
      </w:r>
      <w:bookmarkEnd w:id="13"/>
    </w:p>
    <w:p w14:paraId="1ADA767F"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Expanding Almarai’s operations into Indonesia will present several challenges across logistics, pricing, regulations, competition, and sustainability. These challenges, while significant, can be effectively managed through strategic planning, partnerships, and adaptive execution.</w:t>
      </w:r>
    </w:p>
    <w:p w14:paraId="4A00B70F"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The first major challenge lies in logistics and cold-chain management. Indonesia’s geography, spread across more than 17,000 islands, makes nationwide distribution complex and costly. Dairy products are particularly sensitive to temperature variations, requiring efficient refrigeration throughout the supply chain. To mitigate this, Almarai should establish regional distribution hubs on key islands such as Java and Sumatra and form partnerships with established logistics companies that already operate cold-chain systems. Leveraging Almarai’s technological capabilities in transport monitoring and IoT-enabled refrigeration will also enhance operational efficiency and minimize waste.</w:t>
      </w:r>
    </w:p>
    <w:p w14:paraId="187B9AE2"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Another challenge involves price sensitivity among Indonesian consumers. The local market is dominated by affordable brands that cater to low and middle-income households. Premium imported products, such as Almarai’s, risk being perceived as expensive. To address this, Almarai should introduce smaller packaging sizes and localized product lines to reduce the entry price point while maintaining quality. Targeting urban middle-class consumers first — particularly in cities like Jakarta and Surabaya — allows Almarai to build brand recognition before expanding to broader market segments.</w:t>
      </w:r>
    </w:p>
    <w:p w14:paraId="58F1A12C"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Regulatory complexity is also a potential barrier. Indonesia enforces strict requirements for Halal certification, food labeling, and product importation. Bureaucratic delays could slow market entry. Almarai can mitigate this risk by establishing an in-country legal and compliance team or partnering with a local consultant experienced with BPOM (Food and Drug Authority) and MUI (the Indonesian Council of Ulama). Early engagement with regulators and proactive documentation submission will ensure faster approvals and reduce compliance costs.</w:t>
      </w:r>
    </w:p>
    <w:p w14:paraId="48C1035B"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Cultural differences in taste preferences represent another operational consideration. Indonesian consumers typically favor sweetened or flavored milk rather than plain dairy. Almarai’s traditional portfolio may not align perfectly with local demand. The solution lies in product localization — developing new flavored dairy beverages (chocolate, strawberry, and coffee-based variants) through local R&amp;D initiatives. Conducting focus groups and pilot tests before full-scale production will help identify preferred taste profiles and strengthen market acceptance.</w:t>
      </w:r>
    </w:p>
    <w:p w14:paraId="2FAA82E4" w14:textId="77777777"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lastRenderedPageBreak/>
        <w:t>A competitive challenge will come from established domestic players such as Indofood and Frisian Flag, which already dominate retail shelves and enjoy brand loyalty. Rather than competing directly on price, Almarai should position itself as a premium, high-quality, and authentically Halal brand. Marketing should emphasize its reputation as the “Middle East’s most trusted dairy producer,” leveraging emotional appeal around purity, family values, and Islamic quality assurance. Co-branding initiatives with the local joint venture partner could further enhance credibility.</w:t>
      </w:r>
    </w:p>
    <w:p w14:paraId="3B6C2D96" w14:textId="40E3A4FD" w:rsidR="00CA03D6" w:rsidRPr="00CA03D6"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 xml:space="preserve">Economic and financial risks are also possible due to currency volatility of the Indonesian Rupiah (IDR). Fluctuations in exchange rates can affect imported input costs and profit margins. Almarai should employ financial hedging instruments and prioritize local sourcing for packaging and non-critical raw materials to minimize exposure. Establishing supplier agreements denominated in the local currency would stabilize cash </w:t>
      </w:r>
      <w:r w:rsidR="002974CE" w:rsidRPr="00CA03D6">
        <w:rPr>
          <w:rFonts w:asciiTheme="majorBidi" w:hAnsiTheme="majorBidi" w:cstheme="majorBidi"/>
          <w:sz w:val="24"/>
          <w:szCs w:val="24"/>
        </w:rPr>
        <w:t>flow</w:t>
      </w:r>
      <w:r w:rsidRPr="00CA03D6">
        <w:rPr>
          <w:rFonts w:asciiTheme="majorBidi" w:hAnsiTheme="majorBidi" w:cstheme="majorBidi"/>
          <w:sz w:val="24"/>
          <w:szCs w:val="24"/>
        </w:rPr>
        <w:t xml:space="preserve"> and reduce transaction risk.</w:t>
      </w:r>
    </w:p>
    <w:p w14:paraId="401D9548" w14:textId="77777777" w:rsidR="00CA03D6" w:rsidRPr="00142F55" w:rsidRDefault="00CA03D6" w:rsidP="00347F11">
      <w:pPr>
        <w:spacing w:before="240" w:line="276" w:lineRule="auto"/>
        <w:rPr>
          <w:rFonts w:asciiTheme="majorBidi" w:hAnsiTheme="majorBidi" w:cstheme="majorBidi"/>
          <w:sz w:val="24"/>
          <w:szCs w:val="24"/>
        </w:rPr>
      </w:pPr>
      <w:r w:rsidRPr="00CA03D6">
        <w:rPr>
          <w:rFonts w:asciiTheme="majorBidi" w:hAnsiTheme="majorBidi" w:cstheme="majorBidi"/>
          <w:sz w:val="24"/>
          <w:szCs w:val="24"/>
        </w:rPr>
        <w:t xml:space="preserve">Environmental </w:t>
      </w:r>
      <w:r w:rsidRPr="00142F55">
        <w:rPr>
          <w:rFonts w:asciiTheme="majorBidi" w:hAnsiTheme="majorBidi" w:cstheme="majorBidi"/>
          <w:sz w:val="24"/>
          <w:szCs w:val="24"/>
        </w:rPr>
        <w:t>expectations are rising among both consumers and regulators. As sustainability becomes a key differentiator in global markets, Almarai may face scrutiny over water consumption, waste management, and carbon emissions. The company can preempt this by adopting sustainable production practices, such as energy-efficient processing, eco-friendly packaging, and waste recycling programs. Collaborating with local dairy cooperatives and community initiatives will further strengthen Almarai’s image as a responsible and ethical investor.</w:t>
      </w:r>
    </w:p>
    <w:p w14:paraId="6A7B43D9" w14:textId="4CC33F0F" w:rsidR="00675621" w:rsidRPr="00142F55" w:rsidRDefault="00CA03D6" w:rsidP="00142F55">
      <w:pPr>
        <w:spacing w:line="276" w:lineRule="auto"/>
        <w:rPr>
          <w:rFonts w:asciiTheme="majorBidi" w:hAnsiTheme="majorBidi" w:cstheme="majorBidi"/>
          <w:sz w:val="24"/>
          <w:szCs w:val="24"/>
        </w:rPr>
      </w:pPr>
      <w:r w:rsidRPr="00142F55">
        <w:rPr>
          <w:rFonts w:asciiTheme="majorBidi" w:hAnsiTheme="majorBidi" w:cstheme="majorBidi"/>
          <w:sz w:val="24"/>
          <w:szCs w:val="24"/>
        </w:rPr>
        <w:t>Finally, human resource integration may present difficulties in aligning Saudi management approaches with Indonesian workplace culture. A geocentric HR strategy, combining Saudi managerial expertise with local leadership, should be applied. Cross-cultural training and talent development programs can ensure strong employee engagement and operational alignment.</w:t>
      </w:r>
    </w:p>
    <w:p w14:paraId="3C792016" w14:textId="77777777" w:rsidR="00142F55" w:rsidRPr="00142F55" w:rsidRDefault="00142F55" w:rsidP="00142F55">
      <w:pPr>
        <w:spacing w:line="276" w:lineRule="auto"/>
        <w:rPr>
          <w:rFonts w:asciiTheme="majorBidi" w:hAnsiTheme="majorBidi" w:cstheme="majorBidi"/>
          <w:sz w:val="24"/>
          <w:szCs w:val="24"/>
        </w:rPr>
      </w:pPr>
    </w:p>
    <w:p w14:paraId="533E5AB0" w14:textId="77777777" w:rsidR="00142F55" w:rsidRDefault="00142F55" w:rsidP="00142F55"/>
    <w:p w14:paraId="56B4128A" w14:textId="77777777" w:rsidR="00142F55" w:rsidRDefault="00142F55" w:rsidP="00142F55"/>
    <w:p w14:paraId="6513183C" w14:textId="77777777" w:rsidR="00142F55" w:rsidRDefault="00142F55" w:rsidP="00142F55"/>
    <w:p w14:paraId="1E2E0373" w14:textId="77777777" w:rsidR="00142F55" w:rsidRDefault="00142F55" w:rsidP="00142F55"/>
    <w:p w14:paraId="3572F586" w14:textId="77777777" w:rsidR="00142F55" w:rsidRDefault="00142F55" w:rsidP="00142F55"/>
    <w:p w14:paraId="2F3B404A" w14:textId="240380DA" w:rsidR="00142F55" w:rsidRPr="00142F55" w:rsidRDefault="00142F55" w:rsidP="00142F55">
      <w:pPr>
        <w:pStyle w:val="Heading1"/>
        <w:rPr>
          <w:rFonts w:asciiTheme="majorBidi" w:hAnsiTheme="majorBidi"/>
          <w:color w:val="auto"/>
        </w:rPr>
      </w:pPr>
      <w:bookmarkStart w:id="14" w:name="_Toc213842622"/>
      <w:r w:rsidRPr="00142F55">
        <w:rPr>
          <w:rFonts w:asciiTheme="majorBidi" w:hAnsiTheme="majorBidi"/>
          <w:color w:val="auto"/>
        </w:rPr>
        <w:lastRenderedPageBreak/>
        <w:t>Study Key Findings</w:t>
      </w:r>
      <w:bookmarkEnd w:id="14"/>
    </w:p>
    <w:p w14:paraId="0F1E2DCE" w14:textId="77777777" w:rsidR="00142F55" w:rsidRPr="00347F11" w:rsidRDefault="00142F55" w:rsidP="00142F55">
      <w:pPr>
        <w:numPr>
          <w:ilvl w:val="0"/>
          <w:numId w:val="28"/>
        </w:numPr>
        <w:spacing w:line="276" w:lineRule="auto"/>
        <w:rPr>
          <w:rFonts w:asciiTheme="majorBidi" w:hAnsiTheme="majorBidi" w:cstheme="majorBidi"/>
          <w:sz w:val="24"/>
          <w:szCs w:val="24"/>
        </w:rPr>
      </w:pPr>
      <w:r w:rsidRPr="00347F11">
        <w:rPr>
          <w:rFonts w:asciiTheme="majorBidi" w:hAnsiTheme="majorBidi" w:cstheme="majorBidi"/>
          <w:b/>
          <w:bCs/>
          <w:sz w:val="24"/>
          <w:szCs w:val="24"/>
        </w:rPr>
        <w:t>High Market Potential:</w:t>
      </w:r>
      <w:r w:rsidRPr="00347F11">
        <w:rPr>
          <w:rFonts w:asciiTheme="majorBidi" w:hAnsiTheme="majorBidi" w:cstheme="majorBidi"/>
          <w:sz w:val="24"/>
          <w:szCs w:val="24"/>
        </w:rPr>
        <w:t xml:space="preserve"> Indonesia’s dairy import dependency and population of 270+ million create a substantial untapped market for premium dairy products.</w:t>
      </w:r>
    </w:p>
    <w:p w14:paraId="13CFDFED" w14:textId="77777777" w:rsidR="00142F55" w:rsidRPr="00347F11" w:rsidRDefault="00142F55" w:rsidP="00142F55">
      <w:pPr>
        <w:numPr>
          <w:ilvl w:val="0"/>
          <w:numId w:val="28"/>
        </w:numPr>
        <w:spacing w:line="276" w:lineRule="auto"/>
        <w:rPr>
          <w:rFonts w:asciiTheme="majorBidi" w:hAnsiTheme="majorBidi" w:cstheme="majorBidi"/>
          <w:sz w:val="24"/>
          <w:szCs w:val="24"/>
        </w:rPr>
      </w:pPr>
      <w:r w:rsidRPr="00347F11">
        <w:rPr>
          <w:rFonts w:asciiTheme="majorBidi" w:hAnsiTheme="majorBidi" w:cstheme="majorBidi"/>
          <w:b/>
          <w:bCs/>
          <w:sz w:val="24"/>
          <w:szCs w:val="24"/>
        </w:rPr>
        <w:t>Cultural Compatibility:</w:t>
      </w:r>
      <w:r w:rsidRPr="00347F11">
        <w:rPr>
          <w:rFonts w:asciiTheme="majorBidi" w:hAnsiTheme="majorBidi" w:cstheme="majorBidi"/>
          <w:sz w:val="24"/>
          <w:szCs w:val="24"/>
        </w:rPr>
        <w:t xml:space="preserve"> The shared Islamic values and Halal orientation establish an immediate foundation of consumer trust and brand credibility.</w:t>
      </w:r>
    </w:p>
    <w:p w14:paraId="28CE4165" w14:textId="77777777" w:rsidR="00142F55" w:rsidRPr="00347F11" w:rsidRDefault="00142F55" w:rsidP="00142F55">
      <w:pPr>
        <w:numPr>
          <w:ilvl w:val="0"/>
          <w:numId w:val="28"/>
        </w:numPr>
        <w:spacing w:line="276" w:lineRule="auto"/>
        <w:rPr>
          <w:rFonts w:asciiTheme="majorBidi" w:hAnsiTheme="majorBidi" w:cstheme="majorBidi"/>
          <w:sz w:val="24"/>
          <w:szCs w:val="24"/>
        </w:rPr>
      </w:pPr>
      <w:r w:rsidRPr="00347F11">
        <w:rPr>
          <w:rFonts w:asciiTheme="majorBidi" w:hAnsiTheme="majorBidi" w:cstheme="majorBidi"/>
          <w:b/>
          <w:bCs/>
          <w:sz w:val="24"/>
          <w:szCs w:val="24"/>
        </w:rPr>
        <w:t>Economic Attractiveness:</w:t>
      </w:r>
      <w:r w:rsidRPr="00347F11">
        <w:rPr>
          <w:rFonts w:asciiTheme="majorBidi" w:hAnsiTheme="majorBidi" w:cstheme="majorBidi"/>
          <w:sz w:val="24"/>
          <w:szCs w:val="24"/>
        </w:rPr>
        <w:t xml:space="preserve"> Consistent GDP growth, rapid urbanization, and middle-class expansion fuel long-term demand for high-quality food products.</w:t>
      </w:r>
    </w:p>
    <w:p w14:paraId="0BAF7F4F" w14:textId="77777777" w:rsidR="00142F55" w:rsidRPr="00347F11" w:rsidRDefault="00142F55" w:rsidP="00142F55">
      <w:pPr>
        <w:numPr>
          <w:ilvl w:val="0"/>
          <w:numId w:val="28"/>
        </w:numPr>
        <w:spacing w:line="276" w:lineRule="auto"/>
        <w:rPr>
          <w:rFonts w:asciiTheme="majorBidi" w:hAnsiTheme="majorBidi" w:cstheme="majorBidi"/>
          <w:sz w:val="24"/>
          <w:szCs w:val="24"/>
        </w:rPr>
      </w:pPr>
      <w:r w:rsidRPr="00347F11">
        <w:rPr>
          <w:rFonts w:asciiTheme="majorBidi" w:hAnsiTheme="majorBidi" w:cstheme="majorBidi"/>
          <w:b/>
          <w:bCs/>
          <w:sz w:val="24"/>
          <w:szCs w:val="24"/>
        </w:rPr>
        <w:t>Favorable Trade Environment:</w:t>
      </w:r>
      <w:r w:rsidRPr="00347F11">
        <w:rPr>
          <w:rFonts w:asciiTheme="majorBidi" w:hAnsiTheme="majorBidi" w:cstheme="majorBidi"/>
          <w:sz w:val="24"/>
          <w:szCs w:val="24"/>
        </w:rPr>
        <w:t xml:space="preserve"> ASEAN and RCEP membership facilitates regional scalability and tariff advantages for future exports.</w:t>
      </w:r>
    </w:p>
    <w:p w14:paraId="66B3B557" w14:textId="77777777" w:rsidR="00142F55" w:rsidRPr="00347F11" w:rsidRDefault="00142F55" w:rsidP="00142F55">
      <w:pPr>
        <w:numPr>
          <w:ilvl w:val="0"/>
          <w:numId w:val="28"/>
        </w:numPr>
        <w:spacing w:line="276" w:lineRule="auto"/>
        <w:rPr>
          <w:rFonts w:asciiTheme="majorBidi" w:hAnsiTheme="majorBidi" w:cstheme="majorBidi"/>
          <w:sz w:val="24"/>
          <w:szCs w:val="24"/>
        </w:rPr>
      </w:pPr>
      <w:r w:rsidRPr="00347F11">
        <w:rPr>
          <w:rFonts w:asciiTheme="majorBidi" w:hAnsiTheme="majorBidi" w:cstheme="majorBidi"/>
          <w:b/>
          <w:bCs/>
          <w:sz w:val="24"/>
          <w:szCs w:val="24"/>
        </w:rPr>
        <w:t>Competitive Advantage:</w:t>
      </w:r>
      <w:r w:rsidRPr="00347F11">
        <w:rPr>
          <w:rFonts w:asciiTheme="majorBidi" w:hAnsiTheme="majorBidi" w:cstheme="majorBidi"/>
          <w:sz w:val="24"/>
          <w:szCs w:val="24"/>
        </w:rPr>
        <w:t xml:space="preserve"> The premium segment remains underserved, offering Almarai a clear opportunity to differentiate on quality, purity, and brand heritage.</w:t>
      </w:r>
    </w:p>
    <w:p w14:paraId="294FD44A" w14:textId="5108F1C0" w:rsidR="00142F55" w:rsidRPr="00142F55" w:rsidRDefault="00142F55" w:rsidP="00142F55">
      <w:pPr>
        <w:numPr>
          <w:ilvl w:val="0"/>
          <w:numId w:val="28"/>
        </w:numPr>
        <w:spacing w:line="276" w:lineRule="auto"/>
        <w:rPr>
          <w:rFonts w:asciiTheme="majorBidi" w:hAnsiTheme="majorBidi" w:cstheme="majorBidi"/>
          <w:sz w:val="24"/>
          <w:szCs w:val="24"/>
        </w:rPr>
      </w:pPr>
      <w:r w:rsidRPr="00347F11">
        <w:rPr>
          <w:rFonts w:asciiTheme="majorBidi" w:hAnsiTheme="majorBidi" w:cstheme="majorBidi"/>
          <w:b/>
          <w:bCs/>
          <w:sz w:val="24"/>
          <w:szCs w:val="24"/>
        </w:rPr>
        <w:t>Feasible Risk Management:</w:t>
      </w:r>
      <w:r w:rsidRPr="00347F11">
        <w:rPr>
          <w:rFonts w:asciiTheme="majorBidi" w:hAnsiTheme="majorBidi" w:cstheme="majorBidi"/>
          <w:sz w:val="24"/>
          <w:szCs w:val="24"/>
        </w:rPr>
        <w:t xml:space="preserve"> Identified challenges—logistics, pricing, and regulation—are mitigable through partnerships, technology integration, and phased entry.</w:t>
      </w:r>
    </w:p>
    <w:p w14:paraId="768FEB94" w14:textId="77777777" w:rsidR="00142F55" w:rsidRDefault="00142F55" w:rsidP="00142F55">
      <w:pPr>
        <w:pStyle w:val="Heading1"/>
        <w:rPr>
          <w:rFonts w:asciiTheme="majorBidi" w:hAnsiTheme="majorBidi"/>
          <w:color w:val="auto"/>
        </w:rPr>
      </w:pPr>
      <w:bookmarkStart w:id="15" w:name="_Toc213842623"/>
      <w:r w:rsidRPr="00142F55">
        <w:rPr>
          <w:rFonts w:asciiTheme="majorBidi" w:hAnsiTheme="majorBidi"/>
          <w:color w:val="auto"/>
        </w:rPr>
        <w:t>Strategic Recommendations</w:t>
      </w:r>
      <w:bookmarkEnd w:id="15"/>
    </w:p>
    <w:p w14:paraId="2AE93740" w14:textId="0D72B8F0" w:rsidR="0059252B" w:rsidRPr="0059252B" w:rsidRDefault="0059252B" w:rsidP="0059252B">
      <w:pPr>
        <w:spacing w:line="276" w:lineRule="auto"/>
        <w:rPr>
          <w:rFonts w:asciiTheme="majorBidi" w:hAnsiTheme="majorBidi" w:cstheme="majorBidi"/>
          <w:sz w:val="24"/>
          <w:szCs w:val="24"/>
        </w:rPr>
      </w:pPr>
      <w:r w:rsidRPr="0059252B">
        <w:rPr>
          <w:rFonts w:asciiTheme="majorBidi" w:hAnsiTheme="majorBidi" w:cstheme="majorBidi"/>
          <w:sz w:val="24"/>
          <w:szCs w:val="24"/>
        </w:rPr>
        <w:t>Building on the key findings, the following strategic actions are proposed to ensure successful market entry and long-term competitiveness</w:t>
      </w:r>
    </w:p>
    <w:p w14:paraId="0A4D7EA9" w14:textId="77777777" w:rsidR="00142F55" w:rsidRPr="00347F11"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Adopt a Joint Venture Entry Model:</w:t>
      </w:r>
      <w:r w:rsidRPr="00347F11">
        <w:rPr>
          <w:rFonts w:asciiTheme="majorBidi" w:hAnsiTheme="majorBidi" w:cstheme="majorBidi"/>
          <w:sz w:val="24"/>
          <w:szCs w:val="24"/>
        </w:rPr>
        <w:br/>
        <w:t>Partner with a reputable local firm in the food or logistics sector (e.g., Indofood CBP or Mayora Indah) to navigate the regulatory system, access distribution networks, and adapt to consumer behavior. Shared governance will enhance compliance, risk control, and operational efficiency.</w:t>
      </w:r>
    </w:p>
    <w:p w14:paraId="5A00D077" w14:textId="77777777" w:rsidR="00142F55" w:rsidRPr="00347F11"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Execute a Phased Market Entry Plan:</w:t>
      </w:r>
    </w:p>
    <w:p w14:paraId="6C4A5279" w14:textId="77777777" w:rsidR="00142F55" w:rsidRPr="00347F11" w:rsidRDefault="00142F55" w:rsidP="00142F55">
      <w:pPr>
        <w:numPr>
          <w:ilvl w:val="1"/>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Phase 1:</w:t>
      </w:r>
      <w:r w:rsidRPr="00347F11">
        <w:rPr>
          <w:rFonts w:asciiTheme="majorBidi" w:hAnsiTheme="majorBidi" w:cstheme="majorBidi"/>
          <w:sz w:val="24"/>
          <w:szCs w:val="24"/>
        </w:rPr>
        <w:t xml:space="preserve"> Import and distribute existing Almarai products while launching digital and retail brand awareness campaigns.</w:t>
      </w:r>
    </w:p>
    <w:p w14:paraId="7A4AE5B6" w14:textId="77777777" w:rsidR="00142F55" w:rsidRPr="00347F11" w:rsidRDefault="00142F55" w:rsidP="00142F55">
      <w:pPr>
        <w:numPr>
          <w:ilvl w:val="1"/>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Phase 2:</w:t>
      </w:r>
      <w:r w:rsidRPr="00347F11">
        <w:rPr>
          <w:rFonts w:asciiTheme="majorBidi" w:hAnsiTheme="majorBidi" w:cstheme="majorBidi"/>
          <w:sz w:val="24"/>
          <w:szCs w:val="24"/>
        </w:rPr>
        <w:t xml:space="preserve"> Establish local processing and packaging facilities to reduce import costs and enable product localization.</w:t>
      </w:r>
    </w:p>
    <w:p w14:paraId="265B7DC4" w14:textId="77777777" w:rsidR="00142F55" w:rsidRDefault="00142F55" w:rsidP="00142F55">
      <w:pPr>
        <w:numPr>
          <w:ilvl w:val="1"/>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Phase 3:</w:t>
      </w:r>
      <w:r w:rsidRPr="00347F11">
        <w:rPr>
          <w:rFonts w:asciiTheme="majorBidi" w:hAnsiTheme="majorBidi" w:cstheme="majorBidi"/>
          <w:sz w:val="24"/>
          <w:szCs w:val="24"/>
        </w:rPr>
        <w:t xml:space="preserve"> Develop full-scale manufacturing and position Indonesia as a regional export hub serving ASEAN markets.</w:t>
      </w:r>
    </w:p>
    <w:p w14:paraId="3DCDD187" w14:textId="77777777" w:rsidR="000C244F" w:rsidRPr="00347F11" w:rsidRDefault="000C244F" w:rsidP="000C244F">
      <w:pPr>
        <w:spacing w:line="276" w:lineRule="auto"/>
        <w:ind w:left="720"/>
        <w:rPr>
          <w:rFonts w:asciiTheme="majorBidi" w:hAnsiTheme="majorBidi" w:cstheme="majorBidi"/>
          <w:sz w:val="24"/>
          <w:szCs w:val="24"/>
        </w:rPr>
      </w:pPr>
    </w:p>
    <w:p w14:paraId="1EF48B6B" w14:textId="7B5C87C9" w:rsidR="00142F55" w:rsidRPr="00142F55"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lastRenderedPageBreak/>
        <w:t>Implement a Localized Marketing and Branding Strategy:</w:t>
      </w:r>
      <w:r w:rsidRPr="00347F11">
        <w:rPr>
          <w:rFonts w:asciiTheme="majorBidi" w:hAnsiTheme="majorBidi" w:cstheme="majorBidi"/>
          <w:sz w:val="24"/>
          <w:szCs w:val="24"/>
        </w:rPr>
        <w:br/>
      </w:r>
      <w:r w:rsidRPr="00142F55">
        <w:rPr>
          <w:rFonts w:asciiTheme="majorBidi" w:hAnsiTheme="majorBidi" w:cstheme="majorBidi"/>
          <w:sz w:val="24"/>
          <w:szCs w:val="24"/>
        </w:rPr>
        <w:t xml:space="preserve">Develop emotionally resonant campaigns emphasizing “Halal Freshness from Saudi Arabia” as the central theme. Utilize digital platforms (TikTok, Instagram, YouTube) and collaborate with family-oriented influencers to connect with Indonesia’s young and tech-driven consumers. </w:t>
      </w:r>
    </w:p>
    <w:p w14:paraId="269538BA" w14:textId="77777777" w:rsidR="00142F55" w:rsidRPr="00347F11"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Apply a Penetration-to-Value Pricing Strategy:</w:t>
      </w:r>
      <w:r w:rsidRPr="00347F11">
        <w:rPr>
          <w:rFonts w:asciiTheme="majorBidi" w:hAnsiTheme="majorBidi" w:cstheme="majorBidi"/>
          <w:sz w:val="24"/>
          <w:szCs w:val="24"/>
        </w:rPr>
        <w:br/>
        <w:t>Introduce products at accessible prices to gain market share while maintaining a premium image. Transition to value-based pricing once brand loyalty is achieved. Offer smaller SKUs to cater to price-sensitive consumers without diluting brand perception.</w:t>
      </w:r>
    </w:p>
    <w:p w14:paraId="45ADFB88" w14:textId="77777777" w:rsidR="00142F55" w:rsidRPr="00347F11"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Strengthen Cold-Chain and Distribution Infrastructure:</w:t>
      </w:r>
      <w:r w:rsidRPr="00347F11">
        <w:rPr>
          <w:rFonts w:asciiTheme="majorBidi" w:hAnsiTheme="majorBidi" w:cstheme="majorBidi"/>
          <w:sz w:val="24"/>
          <w:szCs w:val="24"/>
        </w:rPr>
        <w:br/>
        <w:t xml:space="preserve">Establish regional distribution hubs on Java and Sumatra, integrating IoT and data analytics for efficiency. Expand through partnerships with major retailers (Carrefour, </w:t>
      </w:r>
      <w:proofErr w:type="spellStart"/>
      <w:r w:rsidRPr="00347F11">
        <w:rPr>
          <w:rFonts w:asciiTheme="majorBidi" w:hAnsiTheme="majorBidi" w:cstheme="majorBidi"/>
          <w:sz w:val="24"/>
          <w:szCs w:val="24"/>
        </w:rPr>
        <w:t>Indomaret</w:t>
      </w:r>
      <w:proofErr w:type="spellEnd"/>
      <w:r w:rsidRPr="00347F11">
        <w:rPr>
          <w:rFonts w:asciiTheme="majorBidi" w:hAnsiTheme="majorBidi" w:cstheme="majorBidi"/>
          <w:sz w:val="24"/>
          <w:szCs w:val="24"/>
        </w:rPr>
        <w:t xml:space="preserve">, </w:t>
      </w:r>
      <w:proofErr w:type="spellStart"/>
      <w:r w:rsidRPr="00347F11">
        <w:rPr>
          <w:rFonts w:asciiTheme="majorBidi" w:hAnsiTheme="majorBidi" w:cstheme="majorBidi"/>
          <w:sz w:val="24"/>
          <w:szCs w:val="24"/>
        </w:rPr>
        <w:t>Alfamart</w:t>
      </w:r>
      <w:proofErr w:type="spellEnd"/>
      <w:r w:rsidRPr="00347F11">
        <w:rPr>
          <w:rFonts w:asciiTheme="majorBidi" w:hAnsiTheme="majorBidi" w:cstheme="majorBidi"/>
          <w:sz w:val="24"/>
          <w:szCs w:val="24"/>
        </w:rPr>
        <w:t>) and e-commerce platforms to ensure product reach and visibility.</w:t>
      </w:r>
    </w:p>
    <w:p w14:paraId="3E976094" w14:textId="77777777" w:rsidR="00142F55" w:rsidRPr="00347F11"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Embed CSR and Sustainability Practices:</w:t>
      </w:r>
      <w:r w:rsidRPr="00347F11">
        <w:rPr>
          <w:rFonts w:asciiTheme="majorBidi" w:hAnsiTheme="majorBidi" w:cstheme="majorBidi"/>
          <w:sz w:val="24"/>
          <w:szCs w:val="24"/>
        </w:rPr>
        <w:br/>
        <w:t>Build reputation and consumer loyalty through community engagement programs like school milk donations, local dairy farmer partnerships, and eco-friendly packaging. Position Almarai as a socially responsible and environmentally conscious investor aligned with Indonesia’s sustainability vision.</w:t>
      </w:r>
    </w:p>
    <w:p w14:paraId="5060F53E" w14:textId="77777777" w:rsidR="00142F55" w:rsidRPr="00347F11"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Invest in Human Capital and Cross-Cultural Management:</w:t>
      </w:r>
      <w:r w:rsidRPr="00347F11">
        <w:rPr>
          <w:rFonts w:asciiTheme="majorBidi" w:hAnsiTheme="majorBidi" w:cstheme="majorBidi"/>
          <w:sz w:val="24"/>
          <w:szCs w:val="24"/>
        </w:rPr>
        <w:br/>
        <w:t xml:space="preserve">Implement a </w:t>
      </w:r>
      <w:r w:rsidRPr="00347F11">
        <w:rPr>
          <w:rFonts w:asciiTheme="majorBidi" w:hAnsiTheme="majorBidi" w:cstheme="majorBidi"/>
          <w:b/>
          <w:bCs/>
          <w:sz w:val="24"/>
          <w:szCs w:val="24"/>
        </w:rPr>
        <w:t>geocentric HR approach</w:t>
      </w:r>
      <w:r w:rsidRPr="00347F11">
        <w:rPr>
          <w:rFonts w:asciiTheme="majorBidi" w:hAnsiTheme="majorBidi" w:cstheme="majorBidi"/>
          <w:sz w:val="24"/>
          <w:szCs w:val="24"/>
        </w:rPr>
        <w:t xml:space="preserve"> combining Saudi expertise with Indonesian talent. Provide cultural training and growth opportunities to ensure cohesion and performance consistency across operations.</w:t>
      </w:r>
    </w:p>
    <w:p w14:paraId="242096C5" w14:textId="6A579613" w:rsidR="00142F55" w:rsidRDefault="00142F55" w:rsidP="00142F55">
      <w:pPr>
        <w:numPr>
          <w:ilvl w:val="0"/>
          <w:numId w:val="29"/>
        </w:numPr>
        <w:spacing w:line="276" w:lineRule="auto"/>
        <w:rPr>
          <w:rFonts w:asciiTheme="majorBidi" w:hAnsiTheme="majorBidi" w:cstheme="majorBidi"/>
          <w:sz w:val="24"/>
          <w:szCs w:val="24"/>
        </w:rPr>
      </w:pPr>
      <w:r w:rsidRPr="00347F11">
        <w:rPr>
          <w:rFonts w:asciiTheme="majorBidi" w:hAnsiTheme="majorBidi" w:cstheme="majorBidi"/>
          <w:b/>
          <w:bCs/>
          <w:sz w:val="24"/>
          <w:szCs w:val="24"/>
        </w:rPr>
        <w:t>Monitor and Evaluate Progress through KPIs:</w:t>
      </w:r>
      <w:r w:rsidRPr="00347F11">
        <w:rPr>
          <w:rFonts w:asciiTheme="majorBidi" w:hAnsiTheme="majorBidi" w:cstheme="majorBidi"/>
          <w:sz w:val="24"/>
          <w:szCs w:val="24"/>
        </w:rPr>
        <w:br/>
        <w:t>Track success through measurable outcomes such as market share (target 5% within five years), brand awareness (70%), distribution coverage (90% in key cities), and local sourcing (30% of inputs).</w:t>
      </w:r>
    </w:p>
    <w:p w14:paraId="124E915B" w14:textId="77777777" w:rsidR="00142F55" w:rsidRDefault="00142F55" w:rsidP="00142F55">
      <w:pPr>
        <w:spacing w:line="276" w:lineRule="auto"/>
        <w:rPr>
          <w:rFonts w:asciiTheme="majorBidi" w:hAnsiTheme="majorBidi" w:cstheme="majorBidi"/>
          <w:sz w:val="24"/>
          <w:szCs w:val="24"/>
        </w:rPr>
      </w:pPr>
    </w:p>
    <w:p w14:paraId="6E69B6F6" w14:textId="77777777" w:rsidR="00142F55" w:rsidRDefault="00142F55" w:rsidP="00142F55">
      <w:pPr>
        <w:spacing w:line="276" w:lineRule="auto"/>
        <w:rPr>
          <w:rFonts w:asciiTheme="majorBidi" w:hAnsiTheme="majorBidi" w:cstheme="majorBidi"/>
          <w:sz w:val="24"/>
          <w:szCs w:val="24"/>
        </w:rPr>
      </w:pPr>
    </w:p>
    <w:p w14:paraId="70B03924" w14:textId="77777777" w:rsidR="00142F55" w:rsidRDefault="00142F55" w:rsidP="00142F55">
      <w:pPr>
        <w:spacing w:line="276" w:lineRule="auto"/>
        <w:rPr>
          <w:rFonts w:asciiTheme="majorBidi" w:hAnsiTheme="majorBidi" w:cstheme="majorBidi"/>
          <w:sz w:val="24"/>
          <w:szCs w:val="24"/>
        </w:rPr>
      </w:pPr>
    </w:p>
    <w:p w14:paraId="418B8268" w14:textId="77777777" w:rsidR="00142F55" w:rsidRDefault="00142F55" w:rsidP="00142F55">
      <w:pPr>
        <w:spacing w:line="276" w:lineRule="auto"/>
        <w:rPr>
          <w:rFonts w:asciiTheme="majorBidi" w:hAnsiTheme="majorBidi" w:cstheme="majorBidi"/>
          <w:sz w:val="24"/>
          <w:szCs w:val="24"/>
        </w:rPr>
      </w:pPr>
    </w:p>
    <w:p w14:paraId="4D42C83A" w14:textId="77777777" w:rsidR="00142F55" w:rsidRDefault="00142F55" w:rsidP="00142F55">
      <w:pPr>
        <w:spacing w:line="276" w:lineRule="auto"/>
        <w:rPr>
          <w:rFonts w:asciiTheme="majorBidi" w:hAnsiTheme="majorBidi" w:cstheme="majorBidi"/>
          <w:sz w:val="24"/>
          <w:szCs w:val="24"/>
        </w:rPr>
      </w:pPr>
    </w:p>
    <w:p w14:paraId="31633A63" w14:textId="77777777" w:rsidR="00142F55" w:rsidRPr="00142F55" w:rsidRDefault="00142F55" w:rsidP="00142F55">
      <w:pPr>
        <w:spacing w:line="276" w:lineRule="auto"/>
        <w:rPr>
          <w:rFonts w:asciiTheme="majorBidi" w:hAnsiTheme="majorBidi" w:cstheme="majorBidi"/>
          <w:sz w:val="24"/>
          <w:szCs w:val="24"/>
        </w:rPr>
      </w:pPr>
    </w:p>
    <w:p w14:paraId="0C8DC1FD" w14:textId="3D2552FC" w:rsidR="00271801" w:rsidRPr="00710657" w:rsidRDefault="00271801" w:rsidP="00347F11">
      <w:pPr>
        <w:pStyle w:val="Heading1"/>
        <w:spacing w:before="240" w:after="240" w:line="276" w:lineRule="auto"/>
        <w:rPr>
          <w:rFonts w:asciiTheme="majorBidi" w:hAnsiTheme="majorBidi"/>
          <w:color w:val="auto"/>
        </w:rPr>
      </w:pPr>
      <w:bookmarkStart w:id="16" w:name="_Toc213842624"/>
      <w:r w:rsidRPr="00710657">
        <w:rPr>
          <w:rFonts w:asciiTheme="majorBidi" w:hAnsiTheme="majorBidi"/>
          <w:color w:val="auto"/>
        </w:rPr>
        <w:lastRenderedPageBreak/>
        <w:t>Conclusion</w:t>
      </w:r>
      <w:bookmarkEnd w:id="16"/>
      <w:r w:rsidRPr="00710657">
        <w:rPr>
          <w:rFonts w:asciiTheme="majorBidi" w:hAnsiTheme="majorBidi"/>
          <w:color w:val="auto"/>
        </w:rPr>
        <w:t xml:space="preserve"> </w:t>
      </w:r>
    </w:p>
    <w:bookmarkEnd w:id="0"/>
    <w:p w14:paraId="02EF8CB6" w14:textId="77777777" w:rsidR="000C244F" w:rsidRPr="000C244F" w:rsidRDefault="000C244F" w:rsidP="000C244F">
      <w:pPr>
        <w:spacing w:line="276" w:lineRule="auto"/>
        <w:rPr>
          <w:rFonts w:asciiTheme="majorBidi" w:hAnsiTheme="majorBidi" w:cstheme="majorBidi"/>
          <w:sz w:val="24"/>
          <w:szCs w:val="24"/>
        </w:rPr>
      </w:pPr>
      <w:r w:rsidRPr="000C244F">
        <w:rPr>
          <w:rFonts w:asciiTheme="majorBidi" w:hAnsiTheme="majorBidi" w:cstheme="majorBidi"/>
          <w:sz w:val="24"/>
          <w:szCs w:val="24"/>
        </w:rPr>
        <w:t>The analysis concludes that Indonesia is the most strategically viable and sustainable market for Almarai’s international expansion. The assessment across economic, cultural, regulatory, and competitive dimensions demonstrates that Indonesia provides both immediate opportunities and long-term growth potential for a trusted Halal food brand like Almarai.</w:t>
      </w:r>
    </w:p>
    <w:p w14:paraId="3AF5D37F" w14:textId="77777777" w:rsidR="000C244F" w:rsidRPr="000C244F" w:rsidRDefault="000C244F" w:rsidP="000C244F">
      <w:pPr>
        <w:spacing w:line="276" w:lineRule="auto"/>
        <w:rPr>
          <w:rFonts w:asciiTheme="majorBidi" w:hAnsiTheme="majorBidi" w:cstheme="majorBidi"/>
          <w:sz w:val="24"/>
          <w:szCs w:val="24"/>
        </w:rPr>
      </w:pPr>
      <w:r w:rsidRPr="000C244F">
        <w:rPr>
          <w:rFonts w:asciiTheme="majorBidi" w:hAnsiTheme="majorBidi" w:cstheme="majorBidi"/>
          <w:sz w:val="24"/>
          <w:szCs w:val="24"/>
        </w:rPr>
        <w:t>Indonesia’s strong macroeconomic fundamentals, growing middle class, and increasing demand for nutritious and Halal-certified dairy products make it an ideal environment for Almarai’s entry. The nation’s dependency on dairy imports presents a clear supply gap, while its cultural and religious alignment with Saudi Arabia creates a foundation of consumer trust that few global competitors can replicate. By leveraging its expertise in dairy production, advanced cold-chain logistics, and product innovation, Almarai can deliver the premium freshness and quality Indonesian consumers increasingly seek.</w:t>
      </w:r>
    </w:p>
    <w:p w14:paraId="03BF7D85" w14:textId="77777777" w:rsidR="000C244F" w:rsidRPr="000C244F" w:rsidRDefault="000C244F" w:rsidP="000C244F">
      <w:pPr>
        <w:spacing w:line="276" w:lineRule="auto"/>
        <w:rPr>
          <w:rFonts w:asciiTheme="majorBidi" w:hAnsiTheme="majorBidi" w:cstheme="majorBidi"/>
          <w:sz w:val="24"/>
          <w:szCs w:val="24"/>
        </w:rPr>
      </w:pPr>
      <w:r w:rsidRPr="000C244F">
        <w:rPr>
          <w:rFonts w:asciiTheme="majorBidi" w:hAnsiTheme="majorBidi" w:cstheme="majorBidi"/>
          <w:sz w:val="24"/>
          <w:szCs w:val="24"/>
        </w:rPr>
        <w:t xml:space="preserve">The adoption of a Joint Venture (JV) strategy ensures a balanced entry mode that combines local market knowledge with Almarai’s technical and operational strengths. It allows shared financial responsibility, easier regulatory navigation, and rapid access to established retail and distribution networks. Through a phased implementation approach—starting with imported goods, followed by local processing, and eventually regional </w:t>
      </w:r>
      <w:proofErr w:type="gramStart"/>
      <w:r w:rsidRPr="000C244F">
        <w:rPr>
          <w:rFonts w:asciiTheme="majorBidi" w:hAnsiTheme="majorBidi" w:cstheme="majorBidi"/>
          <w:sz w:val="24"/>
          <w:szCs w:val="24"/>
        </w:rPr>
        <w:t>exports—</w:t>
      </w:r>
      <w:proofErr w:type="gramEnd"/>
      <w:r w:rsidRPr="000C244F">
        <w:rPr>
          <w:rFonts w:asciiTheme="majorBidi" w:hAnsiTheme="majorBidi" w:cstheme="majorBidi"/>
          <w:sz w:val="24"/>
          <w:szCs w:val="24"/>
        </w:rPr>
        <w:t>Almarai can gradually increase market control while minimizing risk.</w:t>
      </w:r>
    </w:p>
    <w:p w14:paraId="643EFB48" w14:textId="77777777" w:rsidR="000C244F" w:rsidRPr="000C244F" w:rsidRDefault="000C244F" w:rsidP="000C244F">
      <w:pPr>
        <w:spacing w:line="276" w:lineRule="auto"/>
        <w:rPr>
          <w:rFonts w:asciiTheme="majorBidi" w:hAnsiTheme="majorBidi" w:cstheme="majorBidi"/>
          <w:sz w:val="24"/>
          <w:szCs w:val="24"/>
        </w:rPr>
      </w:pPr>
      <w:r w:rsidRPr="000C244F">
        <w:rPr>
          <w:rFonts w:asciiTheme="majorBidi" w:hAnsiTheme="majorBidi" w:cstheme="majorBidi"/>
          <w:sz w:val="24"/>
          <w:szCs w:val="24"/>
        </w:rPr>
        <w:t>This expansion also aligns with Saudi Arabia’s Vision 2030, which promotes global competitiveness and diversification beyond the oil sector. Almarai’s entry into Indonesia represents more than a business decision; it exemplifies the Kingdom’s growing role in international food security and sustainable economic development. By entering a high-potential Southeast Asian market, Almarai strengthens its brand globally while advancing Saudi Arabia’s strategic economic transformation.</w:t>
      </w:r>
    </w:p>
    <w:p w14:paraId="075B6A40" w14:textId="77777777" w:rsidR="000C244F" w:rsidRDefault="000C244F" w:rsidP="00347F11">
      <w:pPr>
        <w:spacing w:line="276" w:lineRule="auto"/>
        <w:rPr>
          <w:rFonts w:asciiTheme="majorBidi" w:hAnsiTheme="majorBidi" w:cstheme="majorBidi"/>
          <w:sz w:val="24"/>
          <w:szCs w:val="24"/>
        </w:rPr>
      </w:pPr>
    </w:p>
    <w:p w14:paraId="1D77CCD0" w14:textId="23B04B5A" w:rsidR="00347F11" w:rsidRDefault="00347F11" w:rsidP="00347F11">
      <w:pPr>
        <w:spacing w:line="276" w:lineRule="auto"/>
        <w:rPr>
          <w:rFonts w:asciiTheme="majorBidi" w:hAnsiTheme="majorBidi" w:cstheme="majorBidi"/>
          <w:sz w:val="24"/>
          <w:szCs w:val="24"/>
        </w:rPr>
      </w:pPr>
    </w:p>
    <w:p w14:paraId="0F5F3CA5" w14:textId="6EB7A7C2" w:rsidR="00347F11" w:rsidRPr="00347F11" w:rsidRDefault="00347F11" w:rsidP="00142F55">
      <w:pPr>
        <w:pStyle w:val="Heading1"/>
        <w:spacing w:before="0" w:after="240" w:line="276" w:lineRule="auto"/>
        <w:rPr>
          <w:rFonts w:asciiTheme="majorBidi" w:hAnsiTheme="majorBidi"/>
          <w:sz w:val="24"/>
          <w:szCs w:val="24"/>
        </w:rPr>
      </w:pPr>
      <w:r>
        <w:rPr>
          <w:sz w:val="24"/>
          <w:szCs w:val="24"/>
        </w:rPr>
        <w:br w:type="page"/>
      </w:r>
      <w:bookmarkStart w:id="17" w:name="_Toc213842625"/>
      <w:r w:rsidRPr="00347F11">
        <w:rPr>
          <w:rFonts w:asciiTheme="majorBidi" w:hAnsiTheme="majorBidi"/>
          <w:color w:val="auto"/>
        </w:rPr>
        <w:lastRenderedPageBreak/>
        <w:t>References</w:t>
      </w:r>
      <w:bookmarkEnd w:id="17"/>
    </w:p>
    <w:p w14:paraId="53A637EB"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Almarai. (2024) </w:t>
      </w:r>
      <w:r w:rsidRPr="00142F55">
        <w:rPr>
          <w:rFonts w:asciiTheme="majorBidi" w:hAnsiTheme="majorBidi" w:cstheme="majorBidi"/>
          <w:i/>
          <w:iCs/>
          <w:sz w:val="24"/>
          <w:szCs w:val="24"/>
        </w:rPr>
        <w:t>Annual Report 2023–2024.</w:t>
      </w:r>
      <w:r w:rsidRPr="00142F55">
        <w:rPr>
          <w:rFonts w:asciiTheme="majorBidi" w:hAnsiTheme="majorBidi" w:cstheme="majorBidi"/>
          <w:sz w:val="24"/>
          <w:szCs w:val="24"/>
        </w:rPr>
        <w:t xml:space="preserve"> Riyadh: Almarai Company. Available at: https://www.almarai.com (Accessed: November 2025).</w:t>
      </w:r>
    </w:p>
    <w:p w14:paraId="2ABC1222"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ASEAN Secretariat. (2024) </w:t>
      </w:r>
      <w:r w:rsidRPr="00142F55">
        <w:rPr>
          <w:rFonts w:asciiTheme="majorBidi" w:hAnsiTheme="majorBidi" w:cstheme="majorBidi"/>
          <w:i/>
          <w:iCs/>
          <w:sz w:val="24"/>
          <w:szCs w:val="24"/>
        </w:rPr>
        <w:t>Regional Comprehensive Economic Partnership (RCEP) Overview.</w:t>
      </w:r>
      <w:r w:rsidRPr="00142F55">
        <w:rPr>
          <w:rFonts w:asciiTheme="majorBidi" w:hAnsiTheme="majorBidi" w:cstheme="majorBidi"/>
          <w:sz w:val="24"/>
          <w:szCs w:val="24"/>
        </w:rPr>
        <w:t xml:space="preserve"> Jakarta: ASEAN Secretariat. Available at: </w:t>
      </w:r>
      <w:hyperlink r:id="rId9" w:tgtFrame="_new" w:history="1">
        <w:r w:rsidRPr="00142F55">
          <w:rPr>
            <w:rStyle w:val="Hyperlink"/>
            <w:rFonts w:asciiTheme="majorBidi" w:hAnsiTheme="majorBidi" w:cstheme="majorBidi"/>
            <w:sz w:val="24"/>
            <w:szCs w:val="24"/>
          </w:rPr>
          <w:t>https://asean.org</w:t>
        </w:r>
      </w:hyperlink>
      <w:r w:rsidRPr="00142F55">
        <w:rPr>
          <w:rFonts w:asciiTheme="majorBidi" w:hAnsiTheme="majorBidi" w:cstheme="majorBidi"/>
          <w:sz w:val="24"/>
          <w:szCs w:val="24"/>
        </w:rPr>
        <w:t xml:space="preserve"> (Accessed: November 2025).</w:t>
      </w:r>
    </w:p>
    <w:p w14:paraId="0C105B13"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BPOM (Indonesian Food and Drug Authority). (2023) </w:t>
      </w:r>
      <w:r w:rsidRPr="00142F55">
        <w:rPr>
          <w:rFonts w:asciiTheme="majorBidi" w:hAnsiTheme="majorBidi" w:cstheme="majorBidi"/>
          <w:i/>
          <w:iCs/>
          <w:sz w:val="24"/>
          <w:szCs w:val="24"/>
        </w:rPr>
        <w:t>Food Product Regulation and Halal Certification Guidelines.</w:t>
      </w:r>
      <w:r w:rsidRPr="00142F55">
        <w:rPr>
          <w:rFonts w:asciiTheme="majorBidi" w:hAnsiTheme="majorBidi" w:cstheme="majorBidi"/>
          <w:sz w:val="24"/>
          <w:szCs w:val="24"/>
        </w:rPr>
        <w:t xml:space="preserve"> Jakarta: BPOM.</w:t>
      </w:r>
    </w:p>
    <w:p w14:paraId="6A82AEA2"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Euromonitor International. (2024) </w:t>
      </w:r>
      <w:r w:rsidRPr="00142F55">
        <w:rPr>
          <w:rFonts w:asciiTheme="majorBidi" w:hAnsiTheme="majorBidi" w:cstheme="majorBidi"/>
          <w:i/>
          <w:iCs/>
          <w:sz w:val="24"/>
          <w:szCs w:val="24"/>
        </w:rPr>
        <w:t>Indonesia Dairy Market Report 2024.</w:t>
      </w:r>
      <w:r w:rsidRPr="00142F55">
        <w:rPr>
          <w:rFonts w:asciiTheme="majorBidi" w:hAnsiTheme="majorBidi" w:cstheme="majorBidi"/>
          <w:sz w:val="24"/>
          <w:szCs w:val="24"/>
        </w:rPr>
        <w:t xml:space="preserve"> London: Euromonitor International.</w:t>
      </w:r>
    </w:p>
    <w:p w14:paraId="327268AD"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Frisian Flag Indonesia. (2024) </w:t>
      </w:r>
      <w:r w:rsidRPr="00142F55">
        <w:rPr>
          <w:rFonts w:asciiTheme="majorBidi" w:hAnsiTheme="majorBidi" w:cstheme="majorBidi"/>
          <w:i/>
          <w:iCs/>
          <w:sz w:val="24"/>
          <w:szCs w:val="24"/>
        </w:rPr>
        <w:t>Company Profile and Market Share Data.</w:t>
      </w:r>
      <w:r w:rsidRPr="00142F55">
        <w:rPr>
          <w:rFonts w:asciiTheme="majorBidi" w:hAnsiTheme="majorBidi" w:cstheme="majorBidi"/>
          <w:sz w:val="24"/>
          <w:szCs w:val="24"/>
        </w:rPr>
        <w:t xml:space="preserve"> Jakarta: Frisian Flag Indonesia.</w:t>
      </w:r>
    </w:p>
    <w:p w14:paraId="6A2676EF"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Hill, C. W. L. (2023) </w:t>
      </w:r>
      <w:r w:rsidRPr="00142F55">
        <w:rPr>
          <w:rFonts w:asciiTheme="majorBidi" w:hAnsiTheme="majorBidi" w:cstheme="majorBidi"/>
          <w:i/>
          <w:iCs/>
          <w:sz w:val="24"/>
          <w:szCs w:val="24"/>
        </w:rPr>
        <w:t>International Business: Competing in the Global Marketplace.</w:t>
      </w:r>
      <w:r w:rsidRPr="00142F55">
        <w:rPr>
          <w:rFonts w:asciiTheme="majorBidi" w:hAnsiTheme="majorBidi" w:cstheme="majorBidi"/>
          <w:sz w:val="24"/>
          <w:szCs w:val="24"/>
        </w:rPr>
        <w:t xml:space="preserve"> 14th </w:t>
      </w:r>
      <w:proofErr w:type="spellStart"/>
      <w:proofErr w:type="gramStart"/>
      <w:r w:rsidRPr="00142F55">
        <w:rPr>
          <w:rFonts w:asciiTheme="majorBidi" w:hAnsiTheme="majorBidi" w:cstheme="majorBidi"/>
          <w:sz w:val="24"/>
          <w:szCs w:val="24"/>
        </w:rPr>
        <w:t>edn</w:t>
      </w:r>
      <w:proofErr w:type="spellEnd"/>
      <w:proofErr w:type="gramEnd"/>
      <w:r w:rsidRPr="00142F55">
        <w:rPr>
          <w:rFonts w:asciiTheme="majorBidi" w:hAnsiTheme="majorBidi" w:cstheme="majorBidi"/>
          <w:sz w:val="24"/>
          <w:szCs w:val="24"/>
        </w:rPr>
        <w:t>. New York: McGraw-Hill Education.</w:t>
      </w:r>
    </w:p>
    <w:p w14:paraId="60AD909B"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Indonesia Investment Coordinating Board (BKPM). (2024) </w:t>
      </w:r>
      <w:r w:rsidRPr="00142F55">
        <w:rPr>
          <w:rFonts w:asciiTheme="majorBidi" w:hAnsiTheme="majorBidi" w:cstheme="majorBidi"/>
          <w:i/>
          <w:iCs/>
          <w:sz w:val="24"/>
          <w:szCs w:val="24"/>
        </w:rPr>
        <w:t>Food and Beverage Industry Investment Outlook.</w:t>
      </w:r>
      <w:r w:rsidRPr="00142F55">
        <w:rPr>
          <w:rFonts w:asciiTheme="majorBidi" w:hAnsiTheme="majorBidi" w:cstheme="majorBidi"/>
          <w:sz w:val="24"/>
          <w:szCs w:val="24"/>
        </w:rPr>
        <w:t xml:space="preserve"> Jakarta: BKPM. Available at: </w:t>
      </w:r>
      <w:hyperlink r:id="rId10" w:tgtFrame="_new" w:history="1">
        <w:r w:rsidRPr="00142F55">
          <w:rPr>
            <w:rStyle w:val="Hyperlink"/>
            <w:rFonts w:asciiTheme="majorBidi" w:hAnsiTheme="majorBidi" w:cstheme="majorBidi"/>
            <w:sz w:val="24"/>
            <w:szCs w:val="24"/>
          </w:rPr>
          <w:t>https://www.bkpm.go.id</w:t>
        </w:r>
      </w:hyperlink>
      <w:r w:rsidRPr="00142F55">
        <w:rPr>
          <w:rFonts w:asciiTheme="majorBidi" w:hAnsiTheme="majorBidi" w:cstheme="majorBidi"/>
          <w:sz w:val="24"/>
          <w:szCs w:val="24"/>
        </w:rPr>
        <w:t xml:space="preserve"> (Accessed: November 2025).</w:t>
      </w:r>
    </w:p>
    <w:p w14:paraId="7D9165B8"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KPMG. (2024) </w:t>
      </w:r>
      <w:r w:rsidRPr="00142F55">
        <w:rPr>
          <w:rFonts w:asciiTheme="majorBidi" w:hAnsiTheme="majorBidi" w:cstheme="majorBidi"/>
          <w:i/>
          <w:iCs/>
          <w:sz w:val="24"/>
          <w:szCs w:val="24"/>
        </w:rPr>
        <w:t>Doing Business in Indonesia: 2024 Country Report.</w:t>
      </w:r>
      <w:r w:rsidRPr="00142F55">
        <w:rPr>
          <w:rFonts w:asciiTheme="majorBidi" w:hAnsiTheme="majorBidi" w:cstheme="majorBidi"/>
          <w:sz w:val="24"/>
          <w:szCs w:val="24"/>
        </w:rPr>
        <w:t xml:space="preserve"> Singapore: KPMG Asia Pacific.</w:t>
      </w:r>
    </w:p>
    <w:p w14:paraId="4DF834C3"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Ministry of Trade – Republic of Indonesia. (2024) </w:t>
      </w:r>
      <w:r w:rsidRPr="00142F55">
        <w:rPr>
          <w:rFonts w:asciiTheme="majorBidi" w:hAnsiTheme="majorBidi" w:cstheme="majorBidi"/>
          <w:i/>
          <w:iCs/>
          <w:sz w:val="24"/>
          <w:szCs w:val="24"/>
        </w:rPr>
        <w:t>Trade Statistics and Food Import Data.</w:t>
      </w:r>
      <w:r w:rsidRPr="00142F55">
        <w:rPr>
          <w:rFonts w:asciiTheme="majorBidi" w:hAnsiTheme="majorBidi" w:cstheme="majorBidi"/>
          <w:sz w:val="24"/>
          <w:szCs w:val="24"/>
        </w:rPr>
        <w:t xml:space="preserve"> Jakarta: MOT Indonesia.</w:t>
      </w:r>
    </w:p>
    <w:p w14:paraId="460CEC7D"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OECD. (2024) </w:t>
      </w:r>
      <w:r w:rsidRPr="00142F55">
        <w:rPr>
          <w:rFonts w:asciiTheme="majorBidi" w:hAnsiTheme="majorBidi" w:cstheme="majorBidi"/>
          <w:i/>
          <w:iCs/>
          <w:sz w:val="24"/>
          <w:szCs w:val="24"/>
        </w:rPr>
        <w:t>Indonesia Economic Outlook 2024: Growth and Development Indicators.</w:t>
      </w:r>
      <w:r w:rsidRPr="00142F55">
        <w:rPr>
          <w:rFonts w:asciiTheme="majorBidi" w:hAnsiTheme="majorBidi" w:cstheme="majorBidi"/>
          <w:sz w:val="24"/>
          <w:szCs w:val="24"/>
        </w:rPr>
        <w:t xml:space="preserve"> Paris: OECD Publishing.</w:t>
      </w:r>
    </w:p>
    <w:p w14:paraId="78D95478"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Statista. (2024) </w:t>
      </w:r>
      <w:r w:rsidRPr="00142F55">
        <w:rPr>
          <w:rFonts w:asciiTheme="majorBidi" w:hAnsiTheme="majorBidi" w:cstheme="majorBidi"/>
          <w:i/>
          <w:iCs/>
          <w:sz w:val="24"/>
          <w:szCs w:val="24"/>
        </w:rPr>
        <w:t>Indonesia Dairy Consumption and Import Data.</w:t>
      </w:r>
      <w:r w:rsidRPr="00142F55">
        <w:rPr>
          <w:rFonts w:asciiTheme="majorBidi" w:hAnsiTheme="majorBidi" w:cstheme="majorBidi"/>
          <w:sz w:val="24"/>
          <w:szCs w:val="24"/>
        </w:rPr>
        <w:t xml:space="preserve"> Hamburg: Statista Research Department. Available at: </w:t>
      </w:r>
      <w:hyperlink r:id="rId11" w:tgtFrame="_new" w:history="1">
        <w:r w:rsidRPr="00142F55">
          <w:rPr>
            <w:rStyle w:val="Hyperlink"/>
            <w:rFonts w:asciiTheme="majorBidi" w:hAnsiTheme="majorBidi" w:cstheme="majorBidi"/>
            <w:sz w:val="24"/>
            <w:szCs w:val="24"/>
          </w:rPr>
          <w:t>https://www.statista.com</w:t>
        </w:r>
      </w:hyperlink>
      <w:r w:rsidRPr="00142F55">
        <w:rPr>
          <w:rFonts w:asciiTheme="majorBidi" w:hAnsiTheme="majorBidi" w:cstheme="majorBidi"/>
          <w:sz w:val="24"/>
          <w:szCs w:val="24"/>
        </w:rPr>
        <w:t xml:space="preserve"> (Accessed: November 2025).</w:t>
      </w:r>
    </w:p>
    <w:p w14:paraId="448A705C"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The World Bank. (2024) </w:t>
      </w:r>
      <w:r w:rsidRPr="00142F55">
        <w:rPr>
          <w:rFonts w:asciiTheme="majorBidi" w:hAnsiTheme="majorBidi" w:cstheme="majorBidi"/>
          <w:i/>
          <w:iCs/>
          <w:sz w:val="24"/>
          <w:szCs w:val="24"/>
        </w:rPr>
        <w:t>World Development Indicators: Indonesia Country Profile.</w:t>
      </w:r>
      <w:r w:rsidRPr="00142F55">
        <w:rPr>
          <w:rFonts w:asciiTheme="majorBidi" w:hAnsiTheme="majorBidi" w:cstheme="majorBidi"/>
          <w:sz w:val="24"/>
          <w:szCs w:val="24"/>
        </w:rPr>
        <w:t xml:space="preserve"> Washington, D.C.: The World Bank.</w:t>
      </w:r>
    </w:p>
    <w:p w14:paraId="0E056180"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UN Comtrade. (2024) </w:t>
      </w:r>
      <w:r w:rsidRPr="00142F55">
        <w:rPr>
          <w:rFonts w:asciiTheme="majorBidi" w:hAnsiTheme="majorBidi" w:cstheme="majorBidi"/>
          <w:i/>
          <w:iCs/>
          <w:sz w:val="24"/>
          <w:szCs w:val="24"/>
        </w:rPr>
        <w:t>International Trade Statistics Database – Dairy Imports (Indonesia).</w:t>
      </w:r>
      <w:r w:rsidRPr="00142F55">
        <w:rPr>
          <w:rFonts w:asciiTheme="majorBidi" w:hAnsiTheme="majorBidi" w:cstheme="majorBidi"/>
          <w:sz w:val="24"/>
          <w:szCs w:val="24"/>
        </w:rPr>
        <w:t xml:space="preserve"> New York: United Nations Statistics Division.</w:t>
      </w:r>
    </w:p>
    <w:p w14:paraId="7F7A2A70" w14:textId="77777777" w:rsidR="00347F11" w:rsidRPr="00142F55" w:rsidRDefault="00347F11" w:rsidP="00142F55">
      <w:pPr>
        <w:pStyle w:val="ListParagraph"/>
        <w:numPr>
          <w:ilvl w:val="0"/>
          <w:numId w:val="30"/>
        </w:numPr>
        <w:spacing w:before="240" w:line="276" w:lineRule="auto"/>
        <w:rPr>
          <w:rFonts w:asciiTheme="majorBidi" w:hAnsiTheme="majorBidi" w:cstheme="majorBidi"/>
          <w:sz w:val="24"/>
          <w:szCs w:val="24"/>
        </w:rPr>
      </w:pPr>
      <w:r w:rsidRPr="00142F55">
        <w:rPr>
          <w:rFonts w:asciiTheme="majorBidi" w:hAnsiTheme="majorBidi" w:cstheme="majorBidi"/>
          <w:sz w:val="24"/>
          <w:szCs w:val="24"/>
        </w:rPr>
        <w:t xml:space="preserve">Vision 2030. (2023) </w:t>
      </w:r>
      <w:r w:rsidRPr="00142F55">
        <w:rPr>
          <w:rFonts w:asciiTheme="majorBidi" w:hAnsiTheme="majorBidi" w:cstheme="majorBidi"/>
          <w:i/>
          <w:iCs/>
          <w:sz w:val="24"/>
          <w:szCs w:val="24"/>
        </w:rPr>
        <w:t>Saudi Arabia Vision 2030: Strategic Objectives and Economic Diversification Plan.</w:t>
      </w:r>
      <w:r w:rsidRPr="00142F55">
        <w:rPr>
          <w:rFonts w:asciiTheme="majorBidi" w:hAnsiTheme="majorBidi" w:cstheme="majorBidi"/>
          <w:sz w:val="24"/>
          <w:szCs w:val="24"/>
        </w:rPr>
        <w:t xml:space="preserve"> Riyadh: Ministry of Economy and Planning.</w:t>
      </w:r>
    </w:p>
    <w:p w14:paraId="7EB5E8C8" w14:textId="0CBAFAB5" w:rsidR="002679A3" w:rsidRPr="00347F11" w:rsidRDefault="002679A3" w:rsidP="00347F11">
      <w:pPr>
        <w:spacing w:line="276" w:lineRule="auto"/>
        <w:rPr>
          <w:rFonts w:asciiTheme="majorBidi" w:hAnsiTheme="majorBidi" w:cstheme="majorBidi"/>
          <w:sz w:val="24"/>
          <w:szCs w:val="24"/>
        </w:rPr>
      </w:pPr>
    </w:p>
    <w:sectPr w:rsidR="002679A3" w:rsidRPr="00347F11" w:rsidSect="00461F4E">
      <w:head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002AA" w14:textId="77777777" w:rsidR="00927FA0" w:rsidRDefault="00927FA0" w:rsidP="00DE3025">
      <w:pPr>
        <w:spacing w:after="0" w:line="240" w:lineRule="auto"/>
      </w:pPr>
      <w:r>
        <w:separator/>
      </w:r>
    </w:p>
  </w:endnote>
  <w:endnote w:type="continuationSeparator" w:id="0">
    <w:p w14:paraId="151BDDC3" w14:textId="77777777" w:rsidR="00927FA0" w:rsidRDefault="00927FA0" w:rsidP="00DE3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ECBA" w14:textId="77777777" w:rsidR="00927FA0" w:rsidRDefault="00927FA0" w:rsidP="00DE3025">
      <w:pPr>
        <w:spacing w:after="0" w:line="240" w:lineRule="auto"/>
      </w:pPr>
      <w:r>
        <w:separator/>
      </w:r>
    </w:p>
  </w:footnote>
  <w:footnote w:type="continuationSeparator" w:id="0">
    <w:p w14:paraId="27A54B20" w14:textId="77777777" w:rsidR="00927FA0" w:rsidRDefault="00927FA0" w:rsidP="00DE3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4B76" w14:textId="3098B871" w:rsidR="00DE3025" w:rsidRDefault="00DE3025" w:rsidP="00DE3025">
    <w:pPr>
      <w:pStyle w:val="Header"/>
      <w:jc w:val="center"/>
    </w:pPr>
    <w:r>
      <w:rPr>
        <w:rFonts w:ascii="Californian FB" w:hAnsi="Californian FB"/>
        <w:b/>
        <w:bCs/>
        <w:noProof/>
      </w:rPr>
      <w:drawing>
        <wp:inline distT="0" distB="0" distL="0" distR="0" wp14:anchorId="6DE881CB" wp14:editId="717D75A9">
          <wp:extent cx="4159250" cy="1010920"/>
          <wp:effectExtent l="0" t="0" r="0" b="0"/>
          <wp:docPr id="4" name="Picture 4" descr="PMU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U Letterhea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24175"/>
                  <a:stretch/>
                </pic:blipFill>
                <pic:spPr bwMode="auto">
                  <a:xfrm>
                    <a:off x="0" y="0"/>
                    <a:ext cx="4159250" cy="1010920"/>
                  </a:xfrm>
                  <a:prstGeom prst="rect">
                    <a:avLst/>
                  </a:prstGeom>
                  <a:noFill/>
                  <a:ln>
                    <a:noFill/>
                  </a:ln>
                  <a:extLst>
                    <a:ext uri="{53640926-AAD7-44D8-BBD7-CCE9431645EC}">
                      <a14:shadowObscured xmlns:a14="http://schemas.microsoft.com/office/drawing/2010/main"/>
                    </a:ext>
                  </a:extLst>
                </pic:spPr>
              </pic:pic>
            </a:graphicData>
          </a:graphic>
        </wp:inline>
      </w:drawing>
    </w:r>
  </w:p>
  <w:p w14:paraId="5F9CCC35" w14:textId="77777777" w:rsidR="00DE3025" w:rsidRDefault="00DE3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04FA9"/>
    <w:multiLevelType w:val="multilevel"/>
    <w:tmpl w:val="8BA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5489E"/>
    <w:multiLevelType w:val="hybridMultilevel"/>
    <w:tmpl w:val="400A0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7948E1"/>
    <w:multiLevelType w:val="multilevel"/>
    <w:tmpl w:val="39F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52A30"/>
    <w:multiLevelType w:val="multilevel"/>
    <w:tmpl w:val="4AF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F4F68"/>
    <w:multiLevelType w:val="multilevel"/>
    <w:tmpl w:val="0A388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96186"/>
    <w:multiLevelType w:val="multilevel"/>
    <w:tmpl w:val="5F6C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2570E"/>
    <w:multiLevelType w:val="multilevel"/>
    <w:tmpl w:val="069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74E6F"/>
    <w:multiLevelType w:val="hybridMultilevel"/>
    <w:tmpl w:val="A6BE6F6A"/>
    <w:lvl w:ilvl="0" w:tplc="CE6ED98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EB22FA6"/>
    <w:multiLevelType w:val="multilevel"/>
    <w:tmpl w:val="76A2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0C40EA"/>
    <w:multiLevelType w:val="multilevel"/>
    <w:tmpl w:val="44D888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A845A4"/>
    <w:multiLevelType w:val="multilevel"/>
    <w:tmpl w:val="C866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65024"/>
    <w:multiLevelType w:val="multilevel"/>
    <w:tmpl w:val="68E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23BE5"/>
    <w:multiLevelType w:val="multilevel"/>
    <w:tmpl w:val="0CA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A3210"/>
    <w:multiLevelType w:val="multilevel"/>
    <w:tmpl w:val="857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01B88"/>
    <w:multiLevelType w:val="hybridMultilevel"/>
    <w:tmpl w:val="8F60CF6A"/>
    <w:lvl w:ilvl="0" w:tplc="32E030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41179"/>
    <w:multiLevelType w:val="multilevel"/>
    <w:tmpl w:val="024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0596A"/>
    <w:multiLevelType w:val="hybridMultilevel"/>
    <w:tmpl w:val="5044C19C"/>
    <w:lvl w:ilvl="0" w:tplc="4ED4A1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BC633B"/>
    <w:multiLevelType w:val="multilevel"/>
    <w:tmpl w:val="3BC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87473"/>
    <w:multiLevelType w:val="multilevel"/>
    <w:tmpl w:val="7C4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F6FCF"/>
    <w:multiLevelType w:val="multilevel"/>
    <w:tmpl w:val="59B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25B86"/>
    <w:multiLevelType w:val="multilevel"/>
    <w:tmpl w:val="E0D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C1634"/>
    <w:multiLevelType w:val="hybridMultilevel"/>
    <w:tmpl w:val="CB400E8E"/>
    <w:lvl w:ilvl="0" w:tplc="AE34B012">
      <w:start w:val="1"/>
      <w:numFmt w:val="decimal"/>
      <w:lvlText w:val="%1."/>
      <w:lvlJc w:val="left"/>
      <w:pPr>
        <w:ind w:left="3600" w:hanging="360"/>
      </w:pPr>
      <w:rPr>
        <w:i w:val="0"/>
        <w:iCs/>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8" w15:restartNumberingAfterBreak="0">
    <w:nsid w:val="73C51E3C"/>
    <w:multiLevelType w:val="multilevel"/>
    <w:tmpl w:val="1BF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72414"/>
    <w:multiLevelType w:val="multilevel"/>
    <w:tmpl w:val="A156D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86757616">
    <w:abstractNumId w:val="5"/>
  </w:num>
  <w:num w:numId="2" w16cid:durableId="233470464">
    <w:abstractNumId w:val="3"/>
  </w:num>
  <w:num w:numId="3" w16cid:durableId="771391366">
    <w:abstractNumId w:val="2"/>
  </w:num>
  <w:num w:numId="4" w16cid:durableId="274874183">
    <w:abstractNumId w:val="4"/>
  </w:num>
  <w:num w:numId="5" w16cid:durableId="1104111656">
    <w:abstractNumId w:val="1"/>
  </w:num>
  <w:num w:numId="6" w16cid:durableId="940383091">
    <w:abstractNumId w:val="0"/>
  </w:num>
  <w:num w:numId="7" w16cid:durableId="1881745800">
    <w:abstractNumId w:val="27"/>
  </w:num>
  <w:num w:numId="8" w16cid:durableId="1613785406">
    <w:abstractNumId w:val="18"/>
  </w:num>
  <w:num w:numId="9" w16cid:durableId="1541631963">
    <w:abstractNumId w:val="26"/>
  </w:num>
  <w:num w:numId="10" w16cid:durableId="309015783">
    <w:abstractNumId w:val="25"/>
  </w:num>
  <w:num w:numId="11" w16cid:durableId="247467403">
    <w:abstractNumId w:val="12"/>
  </w:num>
  <w:num w:numId="12" w16cid:durableId="660810980">
    <w:abstractNumId w:val="28"/>
  </w:num>
  <w:num w:numId="13" w16cid:durableId="1769302487">
    <w:abstractNumId w:val="14"/>
  </w:num>
  <w:num w:numId="14" w16cid:durableId="1631091306">
    <w:abstractNumId w:val="17"/>
  </w:num>
  <w:num w:numId="15" w16cid:durableId="1514301401">
    <w:abstractNumId w:val="21"/>
  </w:num>
  <w:num w:numId="16" w16cid:durableId="1032346737">
    <w:abstractNumId w:val="19"/>
  </w:num>
  <w:num w:numId="17" w16cid:durableId="280263703">
    <w:abstractNumId w:val="9"/>
  </w:num>
  <w:num w:numId="18" w16cid:durableId="1710496751">
    <w:abstractNumId w:val="24"/>
  </w:num>
  <w:num w:numId="19" w16cid:durableId="1557473436">
    <w:abstractNumId w:val="16"/>
  </w:num>
  <w:num w:numId="20" w16cid:durableId="148908626">
    <w:abstractNumId w:val="10"/>
  </w:num>
  <w:num w:numId="21" w16cid:durableId="216017441">
    <w:abstractNumId w:val="8"/>
  </w:num>
  <w:num w:numId="22" w16cid:durableId="1998000399">
    <w:abstractNumId w:val="6"/>
  </w:num>
  <w:num w:numId="23" w16cid:durableId="740062253">
    <w:abstractNumId w:val="22"/>
  </w:num>
  <w:num w:numId="24" w16cid:durableId="2022779663">
    <w:abstractNumId w:val="20"/>
  </w:num>
  <w:num w:numId="25" w16cid:durableId="2074543283">
    <w:abstractNumId w:val="13"/>
  </w:num>
  <w:num w:numId="26" w16cid:durableId="1190798118">
    <w:abstractNumId w:val="23"/>
  </w:num>
  <w:num w:numId="27" w16cid:durableId="65805122">
    <w:abstractNumId w:val="11"/>
  </w:num>
  <w:num w:numId="28" w16cid:durableId="3045053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41769427">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1426831">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A2"/>
    <w:rsid w:val="00034616"/>
    <w:rsid w:val="0006063C"/>
    <w:rsid w:val="000C166B"/>
    <w:rsid w:val="000C244F"/>
    <w:rsid w:val="000C56F4"/>
    <w:rsid w:val="000D0038"/>
    <w:rsid w:val="00105421"/>
    <w:rsid w:val="00142F55"/>
    <w:rsid w:val="0015074B"/>
    <w:rsid w:val="00207F7C"/>
    <w:rsid w:val="002679A3"/>
    <w:rsid w:val="00271801"/>
    <w:rsid w:val="0029639D"/>
    <w:rsid w:val="002974CE"/>
    <w:rsid w:val="002D1213"/>
    <w:rsid w:val="00326F90"/>
    <w:rsid w:val="00347F11"/>
    <w:rsid w:val="00461F4E"/>
    <w:rsid w:val="0059252B"/>
    <w:rsid w:val="00675621"/>
    <w:rsid w:val="00686DAD"/>
    <w:rsid w:val="006C1EDB"/>
    <w:rsid w:val="006D3EE5"/>
    <w:rsid w:val="00710657"/>
    <w:rsid w:val="00830B4E"/>
    <w:rsid w:val="00927FA0"/>
    <w:rsid w:val="00A57F70"/>
    <w:rsid w:val="00AA1D8D"/>
    <w:rsid w:val="00B47730"/>
    <w:rsid w:val="00B94234"/>
    <w:rsid w:val="00C00A4B"/>
    <w:rsid w:val="00C576DC"/>
    <w:rsid w:val="00C7175A"/>
    <w:rsid w:val="00C73EC1"/>
    <w:rsid w:val="00CA03D6"/>
    <w:rsid w:val="00CB0664"/>
    <w:rsid w:val="00CC4E94"/>
    <w:rsid w:val="00D165BB"/>
    <w:rsid w:val="00D6377C"/>
    <w:rsid w:val="00DE3025"/>
    <w:rsid w:val="00E7559B"/>
    <w:rsid w:val="00EC7F7C"/>
    <w:rsid w:val="00F630DF"/>
    <w:rsid w:val="00F92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39DFCC"/>
  <w14:defaultImageDpi w14:val="300"/>
  <w15:docId w15:val="{545234D1-9486-4D68-844A-1EA63973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F5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559B"/>
    <w:rPr>
      <w:rFonts w:ascii="Times New Roman" w:hAnsi="Times New Roman" w:cs="Times New Roman"/>
      <w:sz w:val="24"/>
      <w:szCs w:val="24"/>
    </w:rPr>
  </w:style>
  <w:style w:type="paragraph" w:customStyle="1" w:styleId="Default">
    <w:name w:val="Default"/>
    <w:rsid w:val="00DE3025"/>
    <w:pPr>
      <w:autoSpaceDE w:val="0"/>
      <w:autoSpaceDN w:val="0"/>
      <w:adjustRightInd w:val="0"/>
      <w:spacing w:after="0" w:line="240" w:lineRule="auto"/>
    </w:pPr>
    <w:rPr>
      <w:rFonts w:ascii="Times New Roman" w:eastAsiaTheme="minorHAnsi" w:hAnsi="Times New Roman" w:cs="Times New Roman"/>
      <w:color w:val="000000"/>
      <w:sz w:val="24"/>
      <w:szCs w:val="24"/>
    </w:rPr>
  </w:style>
  <w:style w:type="table" w:styleId="GridTable5Dark-Accent1">
    <w:name w:val="Grid Table 5 Dark Accent 1"/>
    <w:basedOn w:val="TableNormal"/>
    <w:uiPriority w:val="50"/>
    <w:rsid w:val="00DE30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C7175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C7175A"/>
    <w:pPr>
      <w:spacing w:after="100"/>
    </w:pPr>
  </w:style>
  <w:style w:type="paragraph" w:styleId="TOC2">
    <w:name w:val="toc 2"/>
    <w:basedOn w:val="Normal"/>
    <w:next w:val="Normal"/>
    <w:autoRedefine/>
    <w:uiPriority w:val="39"/>
    <w:unhideWhenUsed/>
    <w:rsid w:val="00C7175A"/>
    <w:pPr>
      <w:spacing w:after="100"/>
      <w:ind w:left="220"/>
    </w:pPr>
  </w:style>
  <w:style w:type="character" w:styleId="Hyperlink">
    <w:name w:val="Hyperlink"/>
    <w:basedOn w:val="DefaultParagraphFont"/>
    <w:uiPriority w:val="99"/>
    <w:unhideWhenUsed/>
    <w:rsid w:val="00C7175A"/>
    <w:rPr>
      <w:color w:val="0000FF" w:themeColor="hyperlink"/>
      <w:u w:val="single"/>
    </w:rPr>
  </w:style>
  <w:style w:type="character" w:styleId="UnresolvedMention">
    <w:name w:val="Unresolved Mention"/>
    <w:basedOn w:val="DefaultParagraphFont"/>
    <w:uiPriority w:val="99"/>
    <w:semiHidden/>
    <w:unhideWhenUsed/>
    <w:rsid w:val="00347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1914">
      <w:bodyDiv w:val="1"/>
      <w:marLeft w:val="0"/>
      <w:marRight w:val="0"/>
      <w:marTop w:val="0"/>
      <w:marBottom w:val="0"/>
      <w:divBdr>
        <w:top w:val="none" w:sz="0" w:space="0" w:color="auto"/>
        <w:left w:val="none" w:sz="0" w:space="0" w:color="auto"/>
        <w:bottom w:val="none" w:sz="0" w:space="0" w:color="auto"/>
        <w:right w:val="none" w:sz="0" w:space="0" w:color="auto"/>
      </w:divBdr>
    </w:div>
    <w:div w:id="123237272">
      <w:bodyDiv w:val="1"/>
      <w:marLeft w:val="0"/>
      <w:marRight w:val="0"/>
      <w:marTop w:val="0"/>
      <w:marBottom w:val="0"/>
      <w:divBdr>
        <w:top w:val="none" w:sz="0" w:space="0" w:color="auto"/>
        <w:left w:val="none" w:sz="0" w:space="0" w:color="auto"/>
        <w:bottom w:val="none" w:sz="0" w:space="0" w:color="auto"/>
        <w:right w:val="none" w:sz="0" w:space="0" w:color="auto"/>
      </w:divBdr>
    </w:div>
    <w:div w:id="310795435">
      <w:bodyDiv w:val="1"/>
      <w:marLeft w:val="0"/>
      <w:marRight w:val="0"/>
      <w:marTop w:val="0"/>
      <w:marBottom w:val="0"/>
      <w:divBdr>
        <w:top w:val="none" w:sz="0" w:space="0" w:color="auto"/>
        <w:left w:val="none" w:sz="0" w:space="0" w:color="auto"/>
        <w:bottom w:val="none" w:sz="0" w:space="0" w:color="auto"/>
        <w:right w:val="none" w:sz="0" w:space="0" w:color="auto"/>
      </w:divBdr>
    </w:div>
    <w:div w:id="479224984">
      <w:bodyDiv w:val="1"/>
      <w:marLeft w:val="0"/>
      <w:marRight w:val="0"/>
      <w:marTop w:val="0"/>
      <w:marBottom w:val="0"/>
      <w:divBdr>
        <w:top w:val="none" w:sz="0" w:space="0" w:color="auto"/>
        <w:left w:val="none" w:sz="0" w:space="0" w:color="auto"/>
        <w:bottom w:val="none" w:sz="0" w:space="0" w:color="auto"/>
        <w:right w:val="none" w:sz="0" w:space="0" w:color="auto"/>
      </w:divBdr>
    </w:div>
    <w:div w:id="524752383">
      <w:bodyDiv w:val="1"/>
      <w:marLeft w:val="0"/>
      <w:marRight w:val="0"/>
      <w:marTop w:val="0"/>
      <w:marBottom w:val="0"/>
      <w:divBdr>
        <w:top w:val="none" w:sz="0" w:space="0" w:color="auto"/>
        <w:left w:val="none" w:sz="0" w:space="0" w:color="auto"/>
        <w:bottom w:val="none" w:sz="0" w:space="0" w:color="auto"/>
        <w:right w:val="none" w:sz="0" w:space="0" w:color="auto"/>
      </w:divBdr>
    </w:div>
    <w:div w:id="540629806">
      <w:bodyDiv w:val="1"/>
      <w:marLeft w:val="0"/>
      <w:marRight w:val="0"/>
      <w:marTop w:val="0"/>
      <w:marBottom w:val="0"/>
      <w:divBdr>
        <w:top w:val="none" w:sz="0" w:space="0" w:color="auto"/>
        <w:left w:val="none" w:sz="0" w:space="0" w:color="auto"/>
        <w:bottom w:val="none" w:sz="0" w:space="0" w:color="auto"/>
        <w:right w:val="none" w:sz="0" w:space="0" w:color="auto"/>
      </w:divBdr>
    </w:div>
    <w:div w:id="631599507">
      <w:bodyDiv w:val="1"/>
      <w:marLeft w:val="0"/>
      <w:marRight w:val="0"/>
      <w:marTop w:val="0"/>
      <w:marBottom w:val="0"/>
      <w:divBdr>
        <w:top w:val="none" w:sz="0" w:space="0" w:color="auto"/>
        <w:left w:val="none" w:sz="0" w:space="0" w:color="auto"/>
        <w:bottom w:val="none" w:sz="0" w:space="0" w:color="auto"/>
        <w:right w:val="none" w:sz="0" w:space="0" w:color="auto"/>
      </w:divBdr>
    </w:div>
    <w:div w:id="904805260">
      <w:bodyDiv w:val="1"/>
      <w:marLeft w:val="0"/>
      <w:marRight w:val="0"/>
      <w:marTop w:val="0"/>
      <w:marBottom w:val="0"/>
      <w:divBdr>
        <w:top w:val="none" w:sz="0" w:space="0" w:color="auto"/>
        <w:left w:val="none" w:sz="0" w:space="0" w:color="auto"/>
        <w:bottom w:val="none" w:sz="0" w:space="0" w:color="auto"/>
        <w:right w:val="none" w:sz="0" w:space="0" w:color="auto"/>
      </w:divBdr>
    </w:div>
    <w:div w:id="933632528">
      <w:bodyDiv w:val="1"/>
      <w:marLeft w:val="0"/>
      <w:marRight w:val="0"/>
      <w:marTop w:val="0"/>
      <w:marBottom w:val="0"/>
      <w:divBdr>
        <w:top w:val="none" w:sz="0" w:space="0" w:color="auto"/>
        <w:left w:val="none" w:sz="0" w:space="0" w:color="auto"/>
        <w:bottom w:val="none" w:sz="0" w:space="0" w:color="auto"/>
        <w:right w:val="none" w:sz="0" w:space="0" w:color="auto"/>
      </w:divBdr>
    </w:div>
    <w:div w:id="942417365">
      <w:bodyDiv w:val="1"/>
      <w:marLeft w:val="0"/>
      <w:marRight w:val="0"/>
      <w:marTop w:val="0"/>
      <w:marBottom w:val="0"/>
      <w:divBdr>
        <w:top w:val="none" w:sz="0" w:space="0" w:color="auto"/>
        <w:left w:val="none" w:sz="0" w:space="0" w:color="auto"/>
        <w:bottom w:val="none" w:sz="0" w:space="0" w:color="auto"/>
        <w:right w:val="none" w:sz="0" w:space="0" w:color="auto"/>
      </w:divBdr>
    </w:div>
    <w:div w:id="945040200">
      <w:bodyDiv w:val="1"/>
      <w:marLeft w:val="0"/>
      <w:marRight w:val="0"/>
      <w:marTop w:val="0"/>
      <w:marBottom w:val="0"/>
      <w:divBdr>
        <w:top w:val="none" w:sz="0" w:space="0" w:color="auto"/>
        <w:left w:val="none" w:sz="0" w:space="0" w:color="auto"/>
        <w:bottom w:val="none" w:sz="0" w:space="0" w:color="auto"/>
        <w:right w:val="none" w:sz="0" w:space="0" w:color="auto"/>
      </w:divBdr>
    </w:div>
    <w:div w:id="1019430914">
      <w:bodyDiv w:val="1"/>
      <w:marLeft w:val="0"/>
      <w:marRight w:val="0"/>
      <w:marTop w:val="0"/>
      <w:marBottom w:val="0"/>
      <w:divBdr>
        <w:top w:val="none" w:sz="0" w:space="0" w:color="auto"/>
        <w:left w:val="none" w:sz="0" w:space="0" w:color="auto"/>
        <w:bottom w:val="none" w:sz="0" w:space="0" w:color="auto"/>
        <w:right w:val="none" w:sz="0" w:space="0" w:color="auto"/>
      </w:divBdr>
    </w:div>
    <w:div w:id="1103263805">
      <w:bodyDiv w:val="1"/>
      <w:marLeft w:val="0"/>
      <w:marRight w:val="0"/>
      <w:marTop w:val="0"/>
      <w:marBottom w:val="0"/>
      <w:divBdr>
        <w:top w:val="none" w:sz="0" w:space="0" w:color="auto"/>
        <w:left w:val="none" w:sz="0" w:space="0" w:color="auto"/>
        <w:bottom w:val="none" w:sz="0" w:space="0" w:color="auto"/>
        <w:right w:val="none" w:sz="0" w:space="0" w:color="auto"/>
      </w:divBdr>
    </w:div>
    <w:div w:id="1189372962">
      <w:bodyDiv w:val="1"/>
      <w:marLeft w:val="0"/>
      <w:marRight w:val="0"/>
      <w:marTop w:val="0"/>
      <w:marBottom w:val="0"/>
      <w:divBdr>
        <w:top w:val="none" w:sz="0" w:space="0" w:color="auto"/>
        <w:left w:val="none" w:sz="0" w:space="0" w:color="auto"/>
        <w:bottom w:val="none" w:sz="0" w:space="0" w:color="auto"/>
        <w:right w:val="none" w:sz="0" w:space="0" w:color="auto"/>
      </w:divBdr>
    </w:div>
    <w:div w:id="1325814400">
      <w:bodyDiv w:val="1"/>
      <w:marLeft w:val="0"/>
      <w:marRight w:val="0"/>
      <w:marTop w:val="0"/>
      <w:marBottom w:val="0"/>
      <w:divBdr>
        <w:top w:val="none" w:sz="0" w:space="0" w:color="auto"/>
        <w:left w:val="none" w:sz="0" w:space="0" w:color="auto"/>
        <w:bottom w:val="none" w:sz="0" w:space="0" w:color="auto"/>
        <w:right w:val="none" w:sz="0" w:space="0" w:color="auto"/>
      </w:divBdr>
    </w:div>
    <w:div w:id="1382559428">
      <w:bodyDiv w:val="1"/>
      <w:marLeft w:val="0"/>
      <w:marRight w:val="0"/>
      <w:marTop w:val="0"/>
      <w:marBottom w:val="0"/>
      <w:divBdr>
        <w:top w:val="none" w:sz="0" w:space="0" w:color="auto"/>
        <w:left w:val="none" w:sz="0" w:space="0" w:color="auto"/>
        <w:bottom w:val="none" w:sz="0" w:space="0" w:color="auto"/>
        <w:right w:val="none" w:sz="0" w:space="0" w:color="auto"/>
      </w:divBdr>
    </w:div>
    <w:div w:id="1431505390">
      <w:bodyDiv w:val="1"/>
      <w:marLeft w:val="0"/>
      <w:marRight w:val="0"/>
      <w:marTop w:val="0"/>
      <w:marBottom w:val="0"/>
      <w:divBdr>
        <w:top w:val="none" w:sz="0" w:space="0" w:color="auto"/>
        <w:left w:val="none" w:sz="0" w:space="0" w:color="auto"/>
        <w:bottom w:val="none" w:sz="0" w:space="0" w:color="auto"/>
        <w:right w:val="none" w:sz="0" w:space="0" w:color="auto"/>
      </w:divBdr>
    </w:div>
    <w:div w:id="1464540512">
      <w:bodyDiv w:val="1"/>
      <w:marLeft w:val="0"/>
      <w:marRight w:val="0"/>
      <w:marTop w:val="0"/>
      <w:marBottom w:val="0"/>
      <w:divBdr>
        <w:top w:val="none" w:sz="0" w:space="0" w:color="auto"/>
        <w:left w:val="none" w:sz="0" w:space="0" w:color="auto"/>
        <w:bottom w:val="none" w:sz="0" w:space="0" w:color="auto"/>
        <w:right w:val="none" w:sz="0" w:space="0" w:color="auto"/>
      </w:divBdr>
    </w:div>
    <w:div w:id="1484274118">
      <w:bodyDiv w:val="1"/>
      <w:marLeft w:val="0"/>
      <w:marRight w:val="0"/>
      <w:marTop w:val="0"/>
      <w:marBottom w:val="0"/>
      <w:divBdr>
        <w:top w:val="none" w:sz="0" w:space="0" w:color="auto"/>
        <w:left w:val="none" w:sz="0" w:space="0" w:color="auto"/>
        <w:bottom w:val="none" w:sz="0" w:space="0" w:color="auto"/>
        <w:right w:val="none" w:sz="0" w:space="0" w:color="auto"/>
      </w:divBdr>
    </w:div>
    <w:div w:id="1492529095">
      <w:bodyDiv w:val="1"/>
      <w:marLeft w:val="0"/>
      <w:marRight w:val="0"/>
      <w:marTop w:val="0"/>
      <w:marBottom w:val="0"/>
      <w:divBdr>
        <w:top w:val="none" w:sz="0" w:space="0" w:color="auto"/>
        <w:left w:val="none" w:sz="0" w:space="0" w:color="auto"/>
        <w:bottom w:val="none" w:sz="0" w:space="0" w:color="auto"/>
        <w:right w:val="none" w:sz="0" w:space="0" w:color="auto"/>
      </w:divBdr>
    </w:div>
    <w:div w:id="1587959924">
      <w:bodyDiv w:val="1"/>
      <w:marLeft w:val="0"/>
      <w:marRight w:val="0"/>
      <w:marTop w:val="0"/>
      <w:marBottom w:val="0"/>
      <w:divBdr>
        <w:top w:val="none" w:sz="0" w:space="0" w:color="auto"/>
        <w:left w:val="none" w:sz="0" w:space="0" w:color="auto"/>
        <w:bottom w:val="none" w:sz="0" w:space="0" w:color="auto"/>
        <w:right w:val="none" w:sz="0" w:space="0" w:color="auto"/>
      </w:divBdr>
    </w:div>
    <w:div w:id="1612779885">
      <w:bodyDiv w:val="1"/>
      <w:marLeft w:val="0"/>
      <w:marRight w:val="0"/>
      <w:marTop w:val="0"/>
      <w:marBottom w:val="0"/>
      <w:divBdr>
        <w:top w:val="none" w:sz="0" w:space="0" w:color="auto"/>
        <w:left w:val="none" w:sz="0" w:space="0" w:color="auto"/>
        <w:bottom w:val="none" w:sz="0" w:space="0" w:color="auto"/>
        <w:right w:val="none" w:sz="0" w:space="0" w:color="auto"/>
      </w:divBdr>
    </w:div>
    <w:div w:id="1644383256">
      <w:bodyDiv w:val="1"/>
      <w:marLeft w:val="0"/>
      <w:marRight w:val="0"/>
      <w:marTop w:val="0"/>
      <w:marBottom w:val="0"/>
      <w:divBdr>
        <w:top w:val="none" w:sz="0" w:space="0" w:color="auto"/>
        <w:left w:val="none" w:sz="0" w:space="0" w:color="auto"/>
        <w:bottom w:val="none" w:sz="0" w:space="0" w:color="auto"/>
        <w:right w:val="none" w:sz="0" w:space="0" w:color="auto"/>
      </w:divBdr>
    </w:div>
    <w:div w:id="1663966580">
      <w:bodyDiv w:val="1"/>
      <w:marLeft w:val="0"/>
      <w:marRight w:val="0"/>
      <w:marTop w:val="0"/>
      <w:marBottom w:val="0"/>
      <w:divBdr>
        <w:top w:val="none" w:sz="0" w:space="0" w:color="auto"/>
        <w:left w:val="none" w:sz="0" w:space="0" w:color="auto"/>
        <w:bottom w:val="none" w:sz="0" w:space="0" w:color="auto"/>
        <w:right w:val="none" w:sz="0" w:space="0" w:color="auto"/>
      </w:divBdr>
    </w:div>
    <w:div w:id="1824464418">
      <w:bodyDiv w:val="1"/>
      <w:marLeft w:val="0"/>
      <w:marRight w:val="0"/>
      <w:marTop w:val="0"/>
      <w:marBottom w:val="0"/>
      <w:divBdr>
        <w:top w:val="none" w:sz="0" w:space="0" w:color="auto"/>
        <w:left w:val="none" w:sz="0" w:space="0" w:color="auto"/>
        <w:bottom w:val="none" w:sz="0" w:space="0" w:color="auto"/>
        <w:right w:val="none" w:sz="0" w:space="0" w:color="auto"/>
      </w:divBdr>
    </w:div>
    <w:div w:id="1910991955">
      <w:bodyDiv w:val="1"/>
      <w:marLeft w:val="0"/>
      <w:marRight w:val="0"/>
      <w:marTop w:val="0"/>
      <w:marBottom w:val="0"/>
      <w:divBdr>
        <w:top w:val="none" w:sz="0" w:space="0" w:color="auto"/>
        <w:left w:val="none" w:sz="0" w:space="0" w:color="auto"/>
        <w:bottom w:val="none" w:sz="0" w:space="0" w:color="auto"/>
        <w:right w:val="none" w:sz="0" w:space="0" w:color="auto"/>
      </w:divBdr>
    </w:div>
    <w:div w:id="1948191605">
      <w:bodyDiv w:val="1"/>
      <w:marLeft w:val="0"/>
      <w:marRight w:val="0"/>
      <w:marTop w:val="0"/>
      <w:marBottom w:val="0"/>
      <w:divBdr>
        <w:top w:val="none" w:sz="0" w:space="0" w:color="auto"/>
        <w:left w:val="none" w:sz="0" w:space="0" w:color="auto"/>
        <w:bottom w:val="none" w:sz="0" w:space="0" w:color="auto"/>
        <w:right w:val="none" w:sz="0" w:space="0" w:color="auto"/>
      </w:divBdr>
    </w:div>
    <w:div w:id="1983339942">
      <w:bodyDiv w:val="1"/>
      <w:marLeft w:val="0"/>
      <w:marRight w:val="0"/>
      <w:marTop w:val="0"/>
      <w:marBottom w:val="0"/>
      <w:divBdr>
        <w:top w:val="none" w:sz="0" w:space="0" w:color="auto"/>
        <w:left w:val="none" w:sz="0" w:space="0" w:color="auto"/>
        <w:bottom w:val="none" w:sz="0" w:space="0" w:color="auto"/>
        <w:right w:val="none" w:sz="0" w:space="0" w:color="auto"/>
      </w:divBdr>
    </w:div>
    <w:div w:id="1995834831">
      <w:bodyDiv w:val="1"/>
      <w:marLeft w:val="0"/>
      <w:marRight w:val="0"/>
      <w:marTop w:val="0"/>
      <w:marBottom w:val="0"/>
      <w:divBdr>
        <w:top w:val="none" w:sz="0" w:space="0" w:color="auto"/>
        <w:left w:val="none" w:sz="0" w:space="0" w:color="auto"/>
        <w:bottom w:val="none" w:sz="0" w:space="0" w:color="auto"/>
        <w:right w:val="none" w:sz="0" w:space="0" w:color="auto"/>
      </w:divBdr>
    </w:div>
    <w:div w:id="2081978392">
      <w:bodyDiv w:val="1"/>
      <w:marLeft w:val="0"/>
      <w:marRight w:val="0"/>
      <w:marTop w:val="0"/>
      <w:marBottom w:val="0"/>
      <w:divBdr>
        <w:top w:val="none" w:sz="0" w:space="0" w:color="auto"/>
        <w:left w:val="none" w:sz="0" w:space="0" w:color="auto"/>
        <w:bottom w:val="none" w:sz="0" w:space="0" w:color="auto"/>
        <w:right w:val="none" w:sz="0" w:space="0" w:color="auto"/>
      </w:divBdr>
    </w:div>
    <w:div w:id="2083214102">
      <w:bodyDiv w:val="1"/>
      <w:marLeft w:val="0"/>
      <w:marRight w:val="0"/>
      <w:marTop w:val="0"/>
      <w:marBottom w:val="0"/>
      <w:divBdr>
        <w:top w:val="none" w:sz="0" w:space="0" w:color="auto"/>
        <w:left w:val="none" w:sz="0" w:space="0" w:color="auto"/>
        <w:bottom w:val="none" w:sz="0" w:space="0" w:color="auto"/>
        <w:right w:val="none" w:sz="0" w:space="0" w:color="auto"/>
      </w:divBdr>
    </w:div>
    <w:div w:id="2139180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 TargetMode="External"/><Relationship Id="rId5" Type="http://schemas.openxmlformats.org/officeDocument/2006/relationships/webSettings" Target="webSettings.xml"/><Relationship Id="rId10" Type="http://schemas.openxmlformats.org/officeDocument/2006/relationships/hyperlink" Target="https://www.bkpm.go.id" TargetMode="External"/><Relationship Id="rId4" Type="http://schemas.openxmlformats.org/officeDocument/2006/relationships/settings" Target="settings.xml"/><Relationship Id="rId9" Type="http://schemas.openxmlformats.org/officeDocument/2006/relationships/hyperlink" Target="https://asean.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Pages>
  <Words>4349</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Raghad Aljedani</cp:lastModifiedBy>
  <cp:revision>15</cp:revision>
  <dcterms:created xsi:type="dcterms:W3CDTF">2013-12-23T23:15:00Z</dcterms:created>
  <dcterms:modified xsi:type="dcterms:W3CDTF">2025-11-12T09:23:00Z</dcterms:modified>
  <cp:category/>
</cp:coreProperties>
</file>