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5FF33" w14:textId="77777777" w:rsidR="00045599" w:rsidRDefault="00000000">
      <w:pPr>
        <w:pStyle w:val="Heading1"/>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Market Intelligence Research Brief</w:t>
      </w:r>
    </w:p>
    <w:p w14:paraId="450C1501" w14:textId="77777777" w:rsidR="00045599"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Student Name:</w:t>
      </w:r>
      <w:r>
        <w:rPr>
          <w:rFonts w:ascii="Google Sans" w:eastAsia="Google Sans" w:hAnsi="Google Sans" w:cs="Google Sans"/>
          <w:color w:val="1F1F1F"/>
        </w:rPr>
        <w:t xml:space="preserve"> Raghad Almutairi</w:t>
      </w:r>
    </w:p>
    <w:p w14:paraId="7B8E9A28" w14:textId="77777777" w:rsidR="00045599"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Date:</w:t>
      </w:r>
      <w:r>
        <w:rPr>
          <w:rFonts w:ascii="Google Sans" w:eastAsia="Google Sans" w:hAnsi="Google Sans" w:cs="Google Sans"/>
          <w:color w:val="1F1F1F"/>
        </w:rPr>
        <w:t xml:space="preserve"> October 5, 2026</w:t>
      </w:r>
    </w:p>
    <w:p w14:paraId="28BCE5B9" w14:textId="77777777" w:rsidR="00045599"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Topic/Company:</w:t>
      </w:r>
      <w:r>
        <w:rPr>
          <w:rFonts w:ascii="Google Sans" w:eastAsia="Google Sans" w:hAnsi="Google Sans" w:cs="Google Sans"/>
          <w:color w:val="1F1F1F"/>
        </w:rPr>
        <w:t xml:space="preserve"> Saudi Residential Rental Housing Market (Riyadh, Jeddah, Dammam, Al-Khobar)</w:t>
      </w:r>
    </w:p>
    <w:p w14:paraId="71C5A0FA" w14:textId="77777777" w:rsidR="00045599" w:rsidRDefault="00000000">
      <w:pPr>
        <w:pStyle w:val="Heading2"/>
        <w:spacing w:before="120" w:after="120" w:line="275" w:lineRule="auto"/>
        <w:rPr>
          <w:rFonts w:ascii="Google Sans" w:eastAsia="Google Sans" w:hAnsi="Google Sans" w:cs="Google Sans"/>
          <w:color w:val="1F1F1F"/>
        </w:rPr>
      </w:pPr>
      <w:r>
        <w:pict w14:anchorId="5C890ABB">
          <v:rect id="_x0000_i1025" style="width:0;height:1.5pt" o:hralign="center" o:hrstd="t" o:hr="t" fillcolor="#a0a0a0" stroked="f"/>
        </w:pict>
      </w:r>
      <w:r>
        <w:rPr>
          <w:rFonts w:ascii="Google Sans" w:eastAsia="Google Sans" w:hAnsi="Google Sans" w:cs="Google Sans"/>
          <w:color w:val="1F1F1F"/>
        </w:rPr>
        <w:t>1. Research Objective</w:t>
      </w:r>
    </w:p>
    <w:p w14:paraId="45BD8E8E" w14:textId="77777777" w:rsidR="00045599" w:rsidRDefault="00000000">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Briefly describe the business question or decision this market intelligence is intended to support.</w:t>
      </w:r>
    </w:p>
    <w:p w14:paraId="1412C19E" w14:textId="77777777" w:rsidR="00045599"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Objective:</w:t>
      </w:r>
      <w:r>
        <w:rPr>
          <w:rFonts w:ascii="Google Sans" w:eastAsia="Google Sans" w:hAnsi="Google Sans" w:cs="Google Sans"/>
          <w:color w:val="1F1F1F"/>
        </w:rPr>
        <w:t xml:space="preserve"> Which of Riyadh, Jeddah, Dammam, or Al-Khobar should a residential rental investor evaluate first for new rental housing, based on rental price patterns in internal listing data and current external market signals? This work supports an early-stage prioritization decision, not a final investment decision.</w:t>
      </w:r>
    </w:p>
    <w:p w14:paraId="2E9A90AF" w14:textId="77777777" w:rsidR="00045599" w:rsidRDefault="00000000">
      <w:pPr>
        <w:pStyle w:val="Heading2"/>
        <w:spacing w:before="120" w:after="120" w:line="275" w:lineRule="auto"/>
        <w:rPr>
          <w:rFonts w:ascii="Google Sans" w:eastAsia="Google Sans" w:hAnsi="Google Sans" w:cs="Google Sans"/>
          <w:color w:val="1F1F1F"/>
        </w:rPr>
      </w:pPr>
      <w:r>
        <w:pict w14:anchorId="106D9EEC">
          <v:rect id="_x0000_i1026" style="width:0;height:1.5pt" o:hralign="center" o:hrstd="t" o:hr="t" fillcolor="#a0a0a0" stroked="f"/>
        </w:pict>
      </w:r>
      <w:r>
        <w:rPr>
          <w:rFonts w:ascii="Google Sans" w:eastAsia="Google Sans" w:hAnsi="Google Sans" w:cs="Google Sans"/>
          <w:color w:val="1F1F1F"/>
        </w:rPr>
        <w:t>2. Scope of Research</w:t>
      </w:r>
    </w:p>
    <w:p w14:paraId="7AAD4B95" w14:textId="77777777" w:rsidR="00045599" w:rsidRDefault="00000000">
      <w:pPr>
        <w:pBdr>
          <w:top w:val="nil"/>
          <w:left w:val="nil"/>
          <w:bottom w:val="nil"/>
          <w:right w:val="nil"/>
          <w:between w:val="nil"/>
        </w:pBdr>
        <w:spacing w:after="120" w:line="275" w:lineRule="auto"/>
        <w:rPr>
          <w:rFonts w:ascii="Google Sans" w:eastAsia="Google Sans" w:hAnsi="Google Sans" w:cs="Google Sans"/>
          <w:i/>
          <w:iCs/>
          <w:color w:val="1F1F1F"/>
        </w:rPr>
      </w:pPr>
      <w:r>
        <w:rPr>
          <w:rFonts w:ascii="Google Sans" w:eastAsia="Google Sans" w:hAnsi="Google Sans" w:cs="Google Sans"/>
          <w:i/>
          <w:iCs/>
          <w:color w:val="1F1F1F"/>
        </w:rPr>
        <w:t>Define what was included and excluded in this research.</w:t>
      </w:r>
    </w:p>
    <w:p w14:paraId="6539944E" w14:textId="77777777" w:rsidR="00045599"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Markets or industries covered:</w:t>
      </w:r>
      <w:r>
        <w:rPr>
          <w:rFonts w:ascii="Google Sans" w:eastAsia="Google Sans" w:hAnsi="Google Sans" w:cs="Google Sans"/>
          <w:color w:val="1F1F1F"/>
        </w:rPr>
        <w:t xml:space="preserve"> Residential rental housing (villas, houses, floors, and apartments) in Riyadh, Jeddah, Dammam, and Al-Khobar. </w:t>
      </w:r>
      <w:proofErr w:type="gramStart"/>
      <w:r>
        <w:rPr>
          <w:rFonts w:ascii="Google Sans" w:eastAsia="Google Sans" w:hAnsi="Google Sans" w:cs="Google Sans"/>
          <w:color w:val="1F1F1F"/>
        </w:rPr>
        <w:t>Excluded</w:t>
      </w:r>
      <w:proofErr w:type="gramEnd"/>
      <w:r>
        <w:rPr>
          <w:rFonts w:ascii="Google Sans" w:eastAsia="Google Sans" w:hAnsi="Google Sans" w:cs="Google Sans"/>
          <w:color w:val="1F1F1F"/>
        </w:rPr>
        <w:t>: commercial property, land, for-sale housing, and cities outside these four.</w:t>
      </w:r>
    </w:p>
    <w:p w14:paraId="6CFB53DE" w14:textId="77777777" w:rsidR="00045599"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Competitor types included:</w:t>
      </w:r>
      <w:r>
        <w:rPr>
          <w:rFonts w:ascii="Google Sans" w:eastAsia="Google Sans" w:hAnsi="Google Sans" w:cs="Google Sans"/>
          <w:color w:val="1F1F1F"/>
        </w:rPr>
        <w:t xml:space="preserve"> Institutional developers and government-backed players (e.g., ROSHN, NHC, Dar Al Arkan), REITs and built-to-rent operators; individual landlords and property managers noted briefly as a segment. Excluded: detailed company-level profiling.</w:t>
      </w:r>
    </w:p>
    <w:p w14:paraId="00CD5C32" w14:textId="77777777" w:rsidR="00045599"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Timeframe considered:</w:t>
      </w:r>
      <w:r>
        <w:rPr>
          <w:rFonts w:ascii="Google Sans" w:eastAsia="Google Sans" w:hAnsi="Google Sans" w:cs="Google Sans"/>
          <w:color w:val="1F1F1F"/>
        </w:rPr>
        <w:t xml:space="preserve"> Internal dataset scraped in 2021; external signals from 2025-2026. External research was run on 5 October 2026 (signal capture date).</w:t>
      </w:r>
    </w:p>
    <w:p w14:paraId="6156970B" w14:textId="77777777" w:rsidR="00045599" w:rsidRDefault="00000000">
      <w:pPr>
        <w:numPr>
          <w:ilvl w:val="0"/>
          <w:numId w:val="1"/>
        </w:numPr>
        <w:pBdr>
          <w:top w:val="nil"/>
          <w:left w:val="nil"/>
          <w:bottom w:val="nil"/>
          <w:right w:val="nil"/>
          <w:between w:val="nil"/>
        </w:pBdr>
        <w:spacing w:after="120" w:line="275" w:lineRule="auto"/>
      </w:pPr>
      <w:r>
        <w:rPr>
          <w:rFonts w:ascii="Google Sans" w:eastAsia="Google Sans" w:hAnsi="Google Sans" w:cs="Google Sans"/>
          <w:b/>
          <w:bCs/>
          <w:color w:val="1F1F1F"/>
        </w:rPr>
        <w:t>Key constraints (e.g., limited research hours):</w:t>
      </w:r>
      <w:r>
        <w:rPr>
          <w:rFonts w:ascii="Google Sans" w:eastAsia="Google Sans" w:hAnsi="Google Sans" w:cs="Google Sans"/>
          <w:color w:val="1F1F1F"/>
        </w:rPr>
        <w:t xml:space="preserve"> Limited Quick Research time (one Fast-mode project with six topics); no-code </w:t>
      </w:r>
      <w:proofErr w:type="spellStart"/>
      <w:r>
        <w:rPr>
          <w:rFonts w:ascii="Google Sans" w:eastAsia="Google Sans" w:hAnsi="Google Sans" w:cs="Google Sans"/>
          <w:color w:val="1F1F1F"/>
        </w:rPr>
        <w:t>QuickSuite</w:t>
      </w:r>
      <w:proofErr w:type="spellEnd"/>
      <w:r>
        <w:rPr>
          <w:rFonts w:ascii="Google Sans" w:eastAsia="Google Sans" w:hAnsi="Google Sans" w:cs="Google Sans"/>
          <w:color w:val="1F1F1F"/>
        </w:rPr>
        <w:t xml:space="preserve"> workflow only; the dataset contains rents only (no purchase prices, vacancy, or competition data), so yield or ROI analysis is out of scope.</w:t>
      </w:r>
    </w:p>
    <w:p w14:paraId="51ED79A2" w14:textId="77777777" w:rsidR="00045599" w:rsidRDefault="00000000">
      <w:pPr>
        <w:pStyle w:val="Heading2"/>
        <w:spacing w:before="120" w:after="120" w:line="275" w:lineRule="auto"/>
        <w:rPr>
          <w:rFonts w:ascii="Google Sans" w:eastAsia="Google Sans" w:hAnsi="Google Sans" w:cs="Google Sans"/>
          <w:color w:val="1F1F1F"/>
        </w:rPr>
      </w:pPr>
      <w:r>
        <w:pict w14:anchorId="5876884B">
          <v:rect id="_x0000_i1027" style="width:0;height:1.5pt" o:hralign="center" o:hrstd="t" o:hr="t" fillcolor="#a0a0a0" stroked="f"/>
        </w:pict>
      </w:r>
      <w:r>
        <w:rPr>
          <w:rFonts w:ascii="Google Sans" w:eastAsia="Google Sans" w:hAnsi="Google Sans" w:cs="Google Sans"/>
          <w:color w:val="1F1F1F"/>
        </w:rPr>
        <w:lastRenderedPageBreak/>
        <w:t>3. Research Approach</w:t>
      </w:r>
    </w:p>
    <w:p w14:paraId="1E600BBA" w14:textId="77777777" w:rsidR="00045599" w:rsidRDefault="00000000">
      <w:pPr>
        <w:pBdr>
          <w:top w:val="nil"/>
          <w:left w:val="nil"/>
          <w:bottom w:val="nil"/>
          <w:right w:val="nil"/>
          <w:between w:val="nil"/>
        </w:pBdr>
        <w:spacing w:after="120" w:line="275" w:lineRule="auto"/>
        <w:rPr>
          <w:rFonts w:ascii="Google Sans" w:eastAsia="Google Sans" w:hAnsi="Google Sans" w:cs="Google Sans"/>
          <w:i/>
          <w:iCs/>
          <w:color w:val="1F1F1F"/>
        </w:rPr>
      </w:pPr>
      <w:r>
        <w:rPr>
          <w:rFonts w:ascii="Google Sans" w:eastAsia="Google Sans" w:hAnsi="Google Sans" w:cs="Google Sans"/>
          <w:i/>
          <w:iCs/>
          <w:color w:val="1F1F1F"/>
        </w:rPr>
        <w:t>Summarize how AI-assisted research was conducted.</w:t>
      </w:r>
    </w:p>
    <w:p w14:paraId="65AEAA2C" w14:textId="77777777" w:rsidR="00045599"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Types of questions asked:</w:t>
      </w:r>
      <w:r>
        <w:rPr>
          <w:rFonts w:ascii="Google Sans" w:eastAsia="Google Sans" w:hAnsi="Google Sans" w:cs="Google Sans"/>
          <w:color w:val="1F1F1F"/>
        </w:rPr>
        <w:t xml:space="preserve"> Descriptive (median rent by city in the dataset), comparative (growth, supply, and competition across the four cities), regulatory (rent freeze, foreign ownership, </w:t>
      </w:r>
      <w:proofErr w:type="spellStart"/>
      <w:r>
        <w:rPr>
          <w:rFonts w:ascii="Google Sans" w:eastAsia="Google Sans" w:hAnsi="Google Sans" w:cs="Google Sans"/>
          <w:color w:val="1F1F1F"/>
        </w:rPr>
        <w:t>Ejar</w:t>
      </w:r>
      <w:proofErr w:type="spellEnd"/>
      <w:r>
        <w:rPr>
          <w:rFonts w:ascii="Google Sans" w:eastAsia="Google Sans" w:hAnsi="Google Sans" w:cs="Google Sans"/>
          <w:color w:val="1F1F1F"/>
        </w:rPr>
        <w:t>), and reliability questions (where sources conflict and what cannot be concluded).</w:t>
      </w:r>
    </w:p>
    <w:p w14:paraId="78C33E63" w14:textId="77777777" w:rsidR="00045599"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How research effort was prioritized:</w:t>
      </w:r>
      <w:r>
        <w:rPr>
          <w:rFonts w:ascii="Google Sans" w:eastAsia="Google Sans" w:hAnsi="Google Sans" w:cs="Google Sans"/>
          <w:color w:val="1F1F1F"/>
        </w:rPr>
        <w:t xml:space="preserve"> I ran one focused Quick Research project in Fast mode with six topics tied to the investor decision, set preferred sources (government bodies, JLL, CBRE, Knight Frank, Colliers, Savills), and revised the plan twice to state that the dataset has no occupancy or purchase-price data, so research time went to what the dataset cannot show. The agent's dataset figures were cross-checked against the raw CSV.</w:t>
      </w:r>
    </w:p>
    <w:p w14:paraId="753D4516" w14:textId="77777777" w:rsidR="00045599" w:rsidRDefault="00000000">
      <w:pPr>
        <w:numPr>
          <w:ilvl w:val="0"/>
          <w:numId w:val="2"/>
        </w:numPr>
        <w:pBdr>
          <w:top w:val="nil"/>
          <w:left w:val="nil"/>
          <w:bottom w:val="nil"/>
          <w:right w:val="nil"/>
          <w:between w:val="nil"/>
        </w:pBdr>
        <w:spacing w:after="120" w:line="275" w:lineRule="auto"/>
      </w:pPr>
      <w:r>
        <w:rPr>
          <w:rFonts w:ascii="Google Sans" w:eastAsia="Google Sans" w:hAnsi="Google Sans" w:cs="Google Sans"/>
          <w:b/>
          <w:bCs/>
          <w:color w:val="1F1F1F"/>
        </w:rPr>
        <w:t>Tools used within Amazon Quick Suite:</w:t>
      </w:r>
      <w:r>
        <w:rPr>
          <w:rFonts w:ascii="Google Sans" w:eastAsia="Google Sans" w:hAnsi="Google Sans" w:cs="Google Sans"/>
          <w:color w:val="1F1F1F"/>
        </w:rPr>
        <w:t xml:space="preserve"> Spaces (dataset, research report, and outputs), Quick Research (external market signals), and a custom chat agent, Market Intelligence Agent - Saudi Rental Housing (Market Analysis, Reliability Evaluation, and Market Intelligence Brief).</w:t>
      </w:r>
    </w:p>
    <w:p w14:paraId="4A905733" w14:textId="77777777" w:rsidR="00045599" w:rsidRDefault="00000000">
      <w:pPr>
        <w:pStyle w:val="Heading2"/>
        <w:spacing w:before="120" w:after="120" w:line="275" w:lineRule="auto"/>
        <w:rPr>
          <w:rFonts w:ascii="Google Sans" w:eastAsia="Google Sans" w:hAnsi="Google Sans" w:cs="Google Sans"/>
          <w:color w:val="1F1F1F"/>
        </w:rPr>
      </w:pPr>
      <w:r>
        <w:pict w14:anchorId="565786CD">
          <v:rect id="_x0000_i1028" style="width:0;height:1.5pt" o:hralign="center" o:hrstd="t" o:hr="t" fillcolor="#a0a0a0" stroked="f"/>
        </w:pict>
      </w:r>
      <w:r>
        <w:rPr>
          <w:rFonts w:ascii="Google Sans" w:eastAsia="Google Sans" w:hAnsi="Google Sans" w:cs="Google Sans"/>
          <w:color w:val="1F1F1F"/>
        </w:rPr>
        <w:t>4. Key Market Insights</w:t>
      </w:r>
    </w:p>
    <w:p w14:paraId="1E6E2342" w14:textId="77777777" w:rsidR="00045599" w:rsidRDefault="00000000">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List 3–5 synthesized insights relevant to leadership decision-making.</w:t>
      </w:r>
    </w:p>
    <w:p w14:paraId="024B6BC1" w14:textId="77777777" w:rsidR="00045599"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Insight 1: Riyadh's five-year rent freeze caps near-term income growth</w:t>
      </w:r>
    </w:p>
    <w:p w14:paraId="22717740" w14:textId="77777777" w:rsidR="00045599"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Insight Summary:</w:t>
      </w:r>
      <w:r>
        <w:rPr>
          <w:rFonts w:ascii="Google Sans" w:eastAsia="Google Sans" w:hAnsi="Google Sans" w:cs="Google Sans"/>
          <w:color w:val="1F1F1F"/>
        </w:rPr>
        <w:t xml:space="preserve"> A five-year rent freeze effective 25 September 2025 prohibits rent increases within Riyadh's urban boundaries through about 2030, ending the city's strong pre-freeze growth for existing leases.</w:t>
      </w:r>
    </w:p>
    <w:p w14:paraId="75F88533" w14:textId="77777777" w:rsidR="00045599"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Supporting Evidence or Signals:</w:t>
      </w:r>
      <w:r>
        <w:rPr>
          <w:rFonts w:ascii="Google Sans" w:eastAsia="Google Sans" w:hAnsi="Google Sans" w:cs="Google Sans"/>
          <w:color w:val="1F1F1F"/>
        </w:rPr>
        <w:t xml:space="preserve"> EXTERNAL: REGA decree, K&amp;S Law analysis, and Economy Middle East (Sep 2025) confirm the freeze, with fines up to 12 months' rent. Cavendish Maxwell: Riyadh apartments +10.3% and villas +14.4% YoY in H1 2025; Q1 2026 quarterly rents fell 2.8% (apartments) and 1.2% (villas), with YoY growth near 6% and 5% (Gulf News / Cavendish Maxwell). DATASET (2021): Riyadh median annual rent SAR 80,000 - a baseline only, predating the freeze.</w:t>
      </w:r>
    </w:p>
    <w:p w14:paraId="5A1AFA26" w14:textId="77777777" w:rsidR="00045599" w:rsidRDefault="00000000">
      <w:pPr>
        <w:numPr>
          <w:ilvl w:val="0"/>
          <w:numId w:val="3"/>
        </w:numPr>
        <w:pBdr>
          <w:top w:val="nil"/>
          <w:left w:val="nil"/>
          <w:bottom w:val="nil"/>
          <w:right w:val="nil"/>
          <w:between w:val="nil"/>
        </w:pBdr>
        <w:spacing w:after="120" w:line="275" w:lineRule="auto"/>
      </w:pPr>
      <w:r>
        <w:rPr>
          <w:rFonts w:ascii="Google Sans" w:eastAsia="Google Sans" w:hAnsi="Google Sans" w:cs="Google Sans"/>
          <w:b/>
          <w:bCs/>
          <w:color w:val="1F1F1F"/>
        </w:rPr>
        <w:t>Why This Insight Matters:</w:t>
      </w:r>
      <w:r>
        <w:rPr>
          <w:rFonts w:ascii="Google Sans" w:eastAsia="Google Sans" w:hAnsi="Google Sans" w:cs="Google Sans"/>
          <w:color w:val="1F1F1F"/>
        </w:rPr>
        <w:t xml:space="preserve"> Riyadh has the strongest demand signals, but landlord income growth is legally capped, which changes the investment case for the largest market.</w:t>
      </w:r>
    </w:p>
    <w:p w14:paraId="57FB7120" w14:textId="77777777" w:rsidR="00045599" w:rsidRDefault="00000000">
      <w:pPr>
        <w:numPr>
          <w:ilvl w:val="0"/>
          <w:numId w:val="3"/>
        </w:numPr>
        <w:pBdr>
          <w:top w:val="nil"/>
          <w:left w:val="nil"/>
          <w:bottom w:val="nil"/>
          <w:right w:val="nil"/>
          <w:between w:val="nil"/>
        </w:pBdr>
        <w:spacing w:after="120" w:line="275" w:lineRule="auto"/>
      </w:pPr>
      <w:r>
        <w:rPr>
          <w:rFonts w:ascii="Google Sans" w:eastAsia="Google Sans" w:hAnsi="Google Sans" w:cs="Google Sans"/>
          <w:b/>
          <w:bCs/>
          <w:color w:val="1F1F1F"/>
        </w:rPr>
        <w:t>What would change our mind:</w:t>
      </w:r>
      <w:r>
        <w:rPr>
          <w:rFonts w:ascii="Google Sans" w:eastAsia="Google Sans" w:hAnsi="Google Sans" w:cs="Google Sans"/>
          <w:color w:val="1F1F1F"/>
        </w:rPr>
        <w:t xml:space="preserve"> An official REGA announcement modifying, shortening, or exempting property types from the freeze.</w:t>
      </w:r>
    </w:p>
    <w:p w14:paraId="642FB2FD" w14:textId="77777777" w:rsidR="00045599"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Insight 2: Dammam and Al-Khobar offer steady growth with lower competition</w:t>
      </w:r>
    </w:p>
    <w:p w14:paraId="14F27000" w14:textId="77777777" w:rsidR="00045599"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Insight Summary:</w:t>
      </w:r>
      <w:r>
        <w:rPr>
          <w:rFonts w:ascii="Google Sans" w:eastAsia="Google Sans" w:hAnsi="Google Sans" w:cs="Google Sans"/>
          <w:color w:val="1F1F1F"/>
        </w:rPr>
        <w:t xml:space="preserve"> Dammam and Al-Khobar show steady rent growth of about 2-3% a year with no rent freeze, unrestricted foreign ownership, and fragmented competition, making them the most favorable risk-adjusted cities to evaluate first.</w:t>
      </w:r>
    </w:p>
    <w:p w14:paraId="33BF6C8B" w14:textId="77777777" w:rsidR="00045599"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Supporting Evidence or Signals:</w:t>
      </w:r>
      <w:r>
        <w:rPr>
          <w:rFonts w:ascii="Google Sans" w:eastAsia="Google Sans" w:hAnsi="Google Sans" w:cs="Google Sans"/>
          <w:color w:val="1F1F1F"/>
        </w:rPr>
        <w:t xml:space="preserve"> EXTERNAL: Dammam apartments +3.2% and villas +2.1% YoY in Q1 2026 (Gulf News / Cavendish Maxwell); the Eastern Province gets 132,300 of 854,800 planned units by 2030, 15.5% (Fast Company ME / JLL, 2025); foreign ownership is unrestricted outside the 170 designated zones (REGA / JLL, Jan 2026); JLL describes institutional concentration as low. DATASET (2021): Dammam median rent SAR 60,000 and Al-Khobar SAR 75,000, the two lowest of four cities (SAR 60,000 and 65,000 after removing duplicate listings, from only 123 and 83 unique listings).</w:t>
      </w:r>
    </w:p>
    <w:p w14:paraId="51B3E158" w14:textId="77777777" w:rsidR="00045599" w:rsidRDefault="00000000">
      <w:pPr>
        <w:numPr>
          <w:ilvl w:val="0"/>
          <w:numId w:val="4"/>
        </w:numPr>
        <w:pBdr>
          <w:top w:val="nil"/>
          <w:left w:val="nil"/>
          <w:bottom w:val="nil"/>
          <w:right w:val="nil"/>
          <w:between w:val="nil"/>
        </w:pBdr>
        <w:spacing w:after="120" w:line="275" w:lineRule="auto"/>
      </w:pPr>
      <w:r>
        <w:rPr>
          <w:rFonts w:ascii="Google Sans" w:eastAsia="Google Sans" w:hAnsi="Google Sans" w:cs="Google Sans"/>
          <w:b/>
          <w:bCs/>
          <w:color w:val="1F1F1F"/>
        </w:rPr>
        <w:t>Why This Insight Matters:</w:t>
      </w:r>
      <w:r>
        <w:rPr>
          <w:rFonts w:ascii="Google Sans" w:eastAsia="Google Sans" w:hAnsi="Google Sans" w:cs="Google Sans"/>
          <w:color w:val="1F1F1F"/>
        </w:rPr>
        <w:t xml:space="preserve"> It gives a mid-scale private investor the most </w:t>
      </w:r>
      <w:proofErr w:type="gramStart"/>
      <w:r>
        <w:rPr>
          <w:rFonts w:ascii="Google Sans" w:eastAsia="Google Sans" w:hAnsi="Google Sans" w:cs="Google Sans"/>
          <w:color w:val="1F1F1F"/>
        </w:rPr>
        <w:t>open</w:t>
      </w:r>
      <w:proofErr w:type="gramEnd"/>
      <w:r>
        <w:rPr>
          <w:rFonts w:ascii="Google Sans" w:eastAsia="Google Sans" w:hAnsi="Google Sans" w:cs="Google Sans"/>
          <w:color w:val="1F1F1F"/>
        </w:rPr>
        <w:t xml:space="preserve"> regulatory and competitive field, although lower rents also mean lower revenue per unit.</w:t>
      </w:r>
    </w:p>
    <w:p w14:paraId="7CD8C66E" w14:textId="77777777" w:rsidR="00045599" w:rsidRDefault="00000000">
      <w:pPr>
        <w:numPr>
          <w:ilvl w:val="0"/>
          <w:numId w:val="4"/>
        </w:numPr>
        <w:pBdr>
          <w:top w:val="nil"/>
          <w:left w:val="nil"/>
          <w:bottom w:val="nil"/>
          <w:right w:val="nil"/>
          <w:between w:val="nil"/>
        </w:pBdr>
        <w:spacing w:after="120" w:line="275" w:lineRule="auto"/>
      </w:pPr>
      <w:r>
        <w:rPr>
          <w:rFonts w:ascii="Google Sans" w:eastAsia="Google Sans" w:hAnsi="Google Sans" w:cs="Google Sans"/>
          <w:b/>
          <w:bCs/>
          <w:color w:val="1F1F1F"/>
        </w:rPr>
        <w:t xml:space="preserve">What would change our </w:t>
      </w:r>
      <w:proofErr w:type="gramStart"/>
      <w:r>
        <w:rPr>
          <w:rFonts w:ascii="Google Sans" w:eastAsia="Google Sans" w:hAnsi="Google Sans" w:cs="Google Sans"/>
          <w:b/>
          <w:bCs/>
          <w:color w:val="1F1F1F"/>
        </w:rPr>
        <w:t>mind</w:t>
      </w:r>
      <w:proofErr w:type="gramEnd"/>
      <w:r>
        <w:rPr>
          <w:rFonts w:ascii="Google Sans" w:eastAsia="Google Sans" w:hAnsi="Google Sans" w:cs="Google Sans"/>
          <w:b/>
          <w:bCs/>
          <w:color w:val="1F1F1F"/>
        </w:rPr>
        <w:t>:</w:t>
      </w:r>
      <w:r>
        <w:rPr>
          <w:rFonts w:ascii="Google Sans" w:eastAsia="Google Sans" w:hAnsi="Google Sans" w:cs="Google Sans"/>
          <w:color w:val="1F1F1F"/>
        </w:rPr>
        <w:t xml:space="preserve"> A REGA announcement extending the rent freeze to Dammam or Al-Khobar.</w:t>
      </w:r>
    </w:p>
    <w:p w14:paraId="23416585" w14:textId="77777777" w:rsidR="00045599"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Insight 3: Jeddah has the highest rents, but its supply risk must be read regionally</w:t>
      </w:r>
    </w:p>
    <w:p w14:paraId="1EE06706" w14:textId="77777777" w:rsidR="00045599"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b/>
          <w:bCs/>
          <w:color w:val="1F1F1F"/>
        </w:rPr>
        <w:t>Insight Summary:</w:t>
      </w:r>
      <w:r>
        <w:rPr>
          <w:rFonts w:ascii="Google Sans" w:eastAsia="Google Sans" w:hAnsi="Google Sans" w:cs="Google Sans"/>
          <w:color w:val="1F1F1F"/>
        </w:rPr>
        <w:t xml:space="preserve"> Jeddah had the highest median rent in the 2021 dataset (SAR 95,000), but its recent growth is moderate and uneven, and the large western supply pipeline is regional, not Jeddah-specific.</w:t>
      </w:r>
    </w:p>
    <w:p w14:paraId="21DD2481" w14:textId="77777777" w:rsidR="00045599"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b/>
          <w:bCs/>
          <w:color w:val="1F1F1F"/>
        </w:rPr>
        <w:t>Supporting Evidence or Signals:</w:t>
      </w:r>
      <w:r>
        <w:rPr>
          <w:rFonts w:ascii="Google Sans" w:eastAsia="Google Sans" w:hAnsi="Google Sans" w:cs="Google Sans"/>
          <w:color w:val="1F1F1F"/>
        </w:rPr>
        <w:t xml:space="preserve"> DATASET (2021): Jeddah median annual rent SAR 95,000 (SAR 100,000 after removing duplicates), the highest of the four; 39.3% of listings have a pool and 17.1% are furnished. EXTERNAL: apartments +4.7% and villas -2.7% YoY in H1 2025, then +2.7% and about +1% in Q1 2026 (Cavendish Maxwell / Gulf News); 382,500 planned units across all of Western KSA including NEOM, Red Sea and </w:t>
      </w:r>
      <w:proofErr w:type="spellStart"/>
      <w:r>
        <w:rPr>
          <w:rFonts w:ascii="Google Sans" w:eastAsia="Google Sans" w:hAnsi="Google Sans" w:cs="Google Sans"/>
          <w:color w:val="1F1F1F"/>
        </w:rPr>
        <w:t>Qiddiya</w:t>
      </w:r>
      <w:proofErr w:type="spellEnd"/>
      <w:r>
        <w:rPr>
          <w:rFonts w:ascii="Google Sans" w:eastAsia="Google Sans" w:hAnsi="Google Sans" w:cs="Google Sans"/>
          <w:color w:val="1F1F1F"/>
        </w:rPr>
        <w:t xml:space="preserve"> (Fast Company ME / JLL, 2025), versus about 12,700 Jeddah-specific units in H2 2025 (Cavendish Maxwell).</w:t>
      </w:r>
    </w:p>
    <w:p w14:paraId="3BCE1BBD" w14:textId="77777777" w:rsidR="00045599" w:rsidRDefault="00000000">
      <w:pPr>
        <w:numPr>
          <w:ilvl w:val="0"/>
          <w:numId w:val="5"/>
        </w:numPr>
        <w:pBdr>
          <w:top w:val="nil"/>
          <w:left w:val="nil"/>
          <w:bottom w:val="nil"/>
          <w:right w:val="nil"/>
          <w:between w:val="nil"/>
        </w:pBdr>
        <w:spacing w:after="120" w:line="275" w:lineRule="auto"/>
      </w:pPr>
      <w:r>
        <w:rPr>
          <w:rFonts w:ascii="Google Sans" w:eastAsia="Google Sans" w:hAnsi="Google Sans" w:cs="Google Sans"/>
          <w:b/>
          <w:bCs/>
          <w:color w:val="1F1F1F"/>
        </w:rPr>
        <w:t>Why This Insight Matters:</w:t>
      </w:r>
      <w:r>
        <w:rPr>
          <w:rFonts w:ascii="Google Sans" w:eastAsia="Google Sans" w:hAnsi="Google Sans" w:cs="Google Sans"/>
          <w:color w:val="1F1F1F"/>
        </w:rPr>
        <w:t xml:space="preserve"> Jeddah offers the highest revenue potential per unit, but investors must separate local supply from the mega-project pipeline before judging absorption risk.</w:t>
      </w:r>
    </w:p>
    <w:p w14:paraId="6D0B084F" w14:textId="77777777" w:rsidR="00045599" w:rsidRDefault="00000000">
      <w:pPr>
        <w:numPr>
          <w:ilvl w:val="0"/>
          <w:numId w:val="5"/>
        </w:numPr>
        <w:pBdr>
          <w:top w:val="nil"/>
          <w:left w:val="nil"/>
          <w:bottom w:val="nil"/>
          <w:right w:val="nil"/>
          <w:between w:val="nil"/>
        </w:pBdr>
        <w:spacing w:after="120" w:line="275" w:lineRule="auto"/>
      </w:pPr>
      <w:r>
        <w:rPr>
          <w:rFonts w:ascii="Google Sans" w:eastAsia="Google Sans" w:hAnsi="Google Sans" w:cs="Google Sans"/>
          <w:b/>
          <w:bCs/>
          <w:color w:val="1F1F1F"/>
        </w:rPr>
        <w:t>What would change our mind:</w:t>
      </w:r>
      <w:r>
        <w:rPr>
          <w:rFonts w:ascii="Google Sans" w:eastAsia="Google Sans" w:hAnsi="Google Sans" w:cs="Google Sans"/>
          <w:color w:val="1F1F1F"/>
        </w:rPr>
        <w:t xml:space="preserve"> Jeddah-specific residential vacancy data above 15%, which would show oversupply locally.</w:t>
      </w:r>
    </w:p>
    <w:p w14:paraId="5B4AB90E" w14:textId="77777777" w:rsidR="00045599"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Insight 4: Institutional competition is concentrated in Riyadh</w:t>
      </w:r>
    </w:p>
    <w:p w14:paraId="5CAA3FC0" w14:textId="77777777" w:rsidR="00045599"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b/>
          <w:bCs/>
          <w:color w:val="1F1F1F"/>
        </w:rPr>
        <w:t>Insight Summary:</w:t>
      </w:r>
      <w:r>
        <w:rPr>
          <w:rFonts w:ascii="Google Sans" w:eastAsia="Google Sans" w:hAnsi="Google Sans" w:cs="Google Sans"/>
          <w:color w:val="1F1F1F"/>
        </w:rPr>
        <w:t xml:space="preserve"> PIF-backed developers (ROSHN, NHC, </w:t>
      </w:r>
      <w:proofErr w:type="spellStart"/>
      <w:r>
        <w:rPr>
          <w:rFonts w:ascii="Google Sans" w:eastAsia="Google Sans" w:hAnsi="Google Sans" w:cs="Google Sans"/>
          <w:color w:val="1F1F1F"/>
        </w:rPr>
        <w:t>Diriyah</w:t>
      </w:r>
      <w:proofErr w:type="spellEnd"/>
      <w:r>
        <w:rPr>
          <w:rFonts w:ascii="Google Sans" w:eastAsia="Google Sans" w:hAnsi="Google Sans" w:cs="Google Sans"/>
          <w:color w:val="1F1F1F"/>
        </w:rPr>
        <w:t xml:space="preserve"> Company) dominate Riyadh's residential development, Jeddah has moderate institutional activity, and </w:t>
      </w:r>
      <w:r>
        <w:rPr>
          <w:rFonts w:ascii="Google Sans" w:eastAsia="Google Sans" w:hAnsi="Google Sans" w:cs="Google Sans"/>
          <w:color w:val="1F1F1F"/>
        </w:rPr>
        <w:lastRenderedPageBreak/>
        <w:t>Dammam and Al-Khobar remain fragmented.</w:t>
      </w:r>
    </w:p>
    <w:p w14:paraId="0A5C97A6" w14:textId="77777777" w:rsidR="00045599"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b/>
          <w:bCs/>
          <w:color w:val="1F1F1F"/>
        </w:rPr>
        <w:t>Supporting Evidence or Signals:</w:t>
      </w:r>
      <w:r>
        <w:rPr>
          <w:rFonts w:ascii="Google Sans" w:eastAsia="Google Sans" w:hAnsi="Google Sans" w:cs="Google Sans"/>
          <w:color w:val="1F1F1F"/>
        </w:rPr>
        <w:t xml:space="preserve"> EXTERNAL: ROSHN's Sedra project targets 30,000 units in Riyadh (PIF / ROSHN, 2025); about 17 REITs are listed on Tadawul, mostly weighted to commercial and retail assets (</w:t>
      </w:r>
      <w:proofErr w:type="spellStart"/>
      <w:r>
        <w:rPr>
          <w:rFonts w:ascii="Google Sans" w:eastAsia="Google Sans" w:hAnsi="Google Sans" w:cs="Google Sans"/>
          <w:color w:val="1F1F1F"/>
        </w:rPr>
        <w:t>Argaam</w:t>
      </w:r>
      <w:proofErr w:type="spellEnd"/>
      <w:r>
        <w:rPr>
          <w:rFonts w:ascii="Google Sans" w:eastAsia="Google Sans" w:hAnsi="Google Sans" w:cs="Google Sans"/>
          <w:color w:val="1F1F1F"/>
        </w:rPr>
        <w:t>, 2025); the built-to-rent market is about USD 0.33 billion in 2025, projected at USD 0.87 billion by 2031 (Mordor Intelligence, single source); K&amp;S Law and JLL rate Riyadh concentration highest and the Eastern Province lowest. DATASET: contains no competition data.</w:t>
      </w:r>
    </w:p>
    <w:p w14:paraId="1D326830" w14:textId="77777777" w:rsidR="00045599" w:rsidRDefault="00000000">
      <w:pPr>
        <w:numPr>
          <w:ilvl w:val="0"/>
          <w:numId w:val="5"/>
        </w:numPr>
        <w:pBdr>
          <w:top w:val="nil"/>
          <w:left w:val="nil"/>
          <w:bottom w:val="nil"/>
          <w:right w:val="nil"/>
          <w:between w:val="nil"/>
        </w:pBdr>
        <w:spacing w:after="120" w:line="275" w:lineRule="auto"/>
      </w:pPr>
      <w:r>
        <w:rPr>
          <w:rFonts w:ascii="Google Sans" w:eastAsia="Google Sans" w:hAnsi="Google Sans" w:cs="Google Sans"/>
          <w:b/>
          <w:bCs/>
          <w:color w:val="1F1F1F"/>
        </w:rPr>
        <w:t>Why This Insight Matters:</w:t>
      </w:r>
      <w:r>
        <w:rPr>
          <w:rFonts w:ascii="Google Sans" w:eastAsia="Google Sans" w:hAnsi="Google Sans" w:cs="Google Sans"/>
          <w:color w:val="1F1F1F"/>
        </w:rPr>
        <w:t xml:space="preserve"> Private investors face the highest barriers in Riyadh and the most open field in the Eastern Province, though no market-share figures exist to size the gap.</w:t>
      </w:r>
    </w:p>
    <w:p w14:paraId="31D3CBB6" w14:textId="77777777" w:rsidR="00045599" w:rsidRDefault="00000000">
      <w:pPr>
        <w:numPr>
          <w:ilvl w:val="0"/>
          <w:numId w:val="5"/>
        </w:numPr>
        <w:pBdr>
          <w:top w:val="nil"/>
          <w:left w:val="nil"/>
          <w:bottom w:val="nil"/>
          <w:right w:val="nil"/>
          <w:between w:val="nil"/>
        </w:pBdr>
        <w:spacing w:after="120" w:line="275" w:lineRule="auto"/>
      </w:pPr>
      <w:r>
        <w:rPr>
          <w:rFonts w:ascii="Google Sans" w:eastAsia="Google Sans" w:hAnsi="Google Sans" w:cs="Google Sans"/>
          <w:b/>
          <w:bCs/>
          <w:color w:val="1F1F1F"/>
        </w:rPr>
        <w:t>What would change our mind:</w:t>
      </w:r>
      <w:r>
        <w:rPr>
          <w:rFonts w:ascii="Google Sans" w:eastAsia="Google Sans" w:hAnsi="Google Sans" w:cs="Google Sans"/>
          <w:color w:val="1F1F1F"/>
        </w:rPr>
        <w:t xml:space="preserve"> A major institutional developer (e.g., ROSHN or Dar Al Arkan) announcing a large build-to-rent project in Dammam or Al-Khobar.</w:t>
      </w:r>
    </w:p>
    <w:p w14:paraId="253AC987" w14:textId="77777777" w:rsidR="00045599" w:rsidRDefault="00000000">
      <w:pPr>
        <w:pStyle w:val="Heading2"/>
        <w:spacing w:before="120" w:after="120" w:line="275" w:lineRule="auto"/>
        <w:rPr>
          <w:rFonts w:ascii="Google Sans" w:eastAsia="Google Sans" w:hAnsi="Google Sans" w:cs="Google Sans"/>
          <w:color w:val="1F1F1F"/>
        </w:rPr>
      </w:pPr>
      <w:r>
        <w:pict w14:anchorId="76DB5357">
          <v:rect id="_x0000_i1029" style="width:0;height:1.5pt" o:hralign="center" o:hrstd="t" o:hr="t" fillcolor="#a0a0a0" stroked="f"/>
        </w:pict>
      </w:r>
      <w:r>
        <w:rPr>
          <w:rFonts w:ascii="Google Sans" w:eastAsia="Google Sans" w:hAnsi="Google Sans" w:cs="Google Sans"/>
          <w:color w:val="1F1F1F"/>
        </w:rPr>
        <w:t>5. Visual Evidence (Optional but Recommended)</w:t>
      </w:r>
    </w:p>
    <w:p w14:paraId="5B5213A9" w14:textId="77777777" w:rsidR="00045599" w:rsidRDefault="00000000">
      <w:pPr>
        <w:pBdr>
          <w:top w:val="nil"/>
          <w:left w:val="nil"/>
          <w:bottom w:val="nil"/>
          <w:right w:val="nil"/>
          <w:between w:val="nil"/>
        </w:pBdr>
        <w:spacing w:after="120" w:line="275" w:lineRule="auto"/>
        <w:rPr>
          <w:rFonts w:ascii="Google Sans" w:eastAsia="Google Sans" w:hAnsi="Google Sans" w:cs="Google Sans"/>
          <w:i/>
          <w:iCs/>
          <w:color w:val="1F1F1F"/>
        </w:rPr>
      </w:pPr>
      <w:r>
        <w:rPr>
          <w:rFonts w:ascii="Google Sans" w:eastAsia="Google Sans" w:hAnsi="Google Sans" w:cs="Google Sans"/>
          <w:i/>
          <w:iCs/>
          <w:color w:val="1F1F1F"/>
        </w:rPr>
        <w:t>Reference any charts, dashboards, or visualizations used to support the insights.</w:t>
      </w:r>
    </w:p>
    <w:p w14:paraId="76C92F81" w14:textId="77777777" w:rsidR="00045599" w:rsidRDefault="00000000">
      <w:pPr>
        <w:numPr>
          <w:ilvl w:val="0"/>
          <w:numId w:val="6"/>
        </w:numPr>
        <w:pBdr>
          <w:top w:val="nil"/>
          <w:left w:val="nil"/>
          <w:bottom w:val="nil"/>
          <w:right w:val="nil"/>
          <w:between w:val="nil"/>
        </w:pBdr>
        <w:spacing w:line="275" w:lineRule="auto"/>
      </w:pPr>
      <w:r>
        <w:rPr>
          <w:rFonts w:ascii="Google Sans" w:eastAsia="Google Sans" w:hAnsi="Google Sans" w:cs="Google Sans"/>
          <w:b/>
          <w:bCs/>
          <w:color w:val="1F1F1F"/>
        </w:rPr>
        <w:t>Chart Type:</w:t>
      </w:r>
      <w:r>
        <w:rPr>
          <w:rFonts w:ascii="Google Sans" w:eastAsia="Google Sans" w:hAnsi="Google Sans" w:cs="Google Sans"/>
          <w:color w:val="1F1F1F"/>
        </w:rPr>
        <w:t xml:space="preserve"> Grouped bar chart (two panels), generated by Quick Research: "Saudi Residential Rental Growth by City and Segment" (Figure 6 in the Appendix).</w:t>
      </w:r>
    </w:p>
    <w:p w14:paraId="1F306465" w14:textId="77777777" w:rsidR="00045599" w:rsidRDefault="00000000">
      <w:pPr>
        <w:numPr>
          <w:ilvl w:val="0"/>
          <w:numId w:val="6"/>
        </w:numPr>
        <w:pBdr>
          <w:top w:val="nil"/>
          <w:left w:val="nil"/>
          <w:bottom w:val="nil"/>
          <w:right w:val="nil"/>
          <w:between w:val="nil"/>
        </w:pBdr>
        <w:spacing w:line="275" w:lineRule="auto"/>
      </w:pPr>
      <w:proofErr w:type="gramStart"/>
      <w:r>
        <w:rPr>
          <w:rFonts w:ascii="Google Sans" w:eastAsia="Google Sans" w:hAnsi="Google Sans" w:cs="Google Sans"/>
          <w:b/>
          <w:bCs/>
          <w:color w:val="1F1F1F"/>
        </w:rPr>
        <w:t>What the</w:t>
      </w:r>
      <w:proofErr w:type="gramEnd"/>
      <w:r>
        <w:rPr>
          <w:rFonts w:ascii="Google Sans" w:eastAsia="Google Sans" w:hAnsi="Google Sans" w:cs="Google Sans"/>
          <w:b/>
          <w:bCs/>
          <w:color w:val="1F1F1F"/>
        </w:rPr>
        <w:t xml:space="preserve"> visualization shows:</w:t>
      </w:r>
      <w:r>
        <w:rPr>
          <w:rFonts w:ascii="Google Sans" w:eastAsia="Google Sans" w:hAnsi="Google Sans" w:cs="Google Sans"/>
          <w:color w:val="1F1F1F"/>
        </w:rPr>
        <w:t xml:space="preserve"> Year-over-year rent growth for apartments and villas, comparing H1 2025 with Q1 2026. Riyadh slowed from 10.3% (apartments) and 14.4% (villas) to about 6% and 5%. Jeddah is lower and uneven (villas -2.7% in H1 2025, about +1% in Q1 2026). Dammam shows steady Q1 2026 growth of 3.2% (apartments) and 2.1% (villas); it has no H1 2025 figure, and Al-Khobar has no separate figures.</w:t>
      </w:r>
    </w:p>
    <w:p w14:paraId="1E884C56" w14:textId="77777777" w:rsidR="00045599" w:rsidRDefault="00000000">
      <w:pPr>
        <w:numPr>
          <w:ilvl w:val="0"/>
          <w:numId w:val="6"/>
        </w:numPr>
        <w:pBdr>
          <w:top w:val="nil"/>
          <w:left w:val="nil"/>
          <w:bottom w:val="nil"/>
          <w:right w:val="nil"/>
          <w:between w:val="nil"/>
        </w:pBdr>
        <w:spacing w:after="120" w:line="275" w:lineRule="auto"/>
      </w:pPr>
      <w:r>
        <w:rPr>
          <w:rFonts w:ascii="Google Sans" w:eastAsia="Google Sans" w:hAnsi="Google Sans" w:cs="Google Sans"/>
          <w:b/>
          <w:bCs/>
          <w:color w:val="1F1F1F"/>
        </w:rPr>
        <w:t>How it supports the insight:</w:t>
      </w:r>
      <w:r>
        <w:rPr>
          <w:rFonts w:ascii="Google Sans" w:eastAsia="Google Sans" w:hAnsi="Google Sans" w:cs="Google Sans"/>
          <w:color w:val="1F1F1F"/>
        </w:rPr>
        <w:t xml:space="preserve"> It supports Insight 1 (Riyadh's deceleration after the freeze), Insight 2 (steady Eastern Province growth), and Insight 3 (Jeddah's uneven villa segment). Limitation: the bars come from different sources, periods, and geographies, so they are not strictly like-for-like.</w:t>
      </w:r>
    </w:p>
    <w:p w14:paraId="6DE54A51" w14:textId="77777777" w:rsidR="00045599" w:rsidRDefault="00000000">
      <w:pPr>
        <w:pStyle w:val="Heading2"/>
        <w:spacing w:before="120" w:after="120" w:line="275" w:lineRule="auto"/>
        <w:rPr>
          <w:rFonts w:ascii="Google Sans" w:eastAsia="Google Sans" w:hAnsi="Google Sans" w:cs="Google Sans"/>
          <w:color w:val="1F1F1F"/>
        </w:rPr>
      </w:pPr>
      <w:r>
        <w:pict w14:anchorId="57192DE2">
          <v:rect id="_x0000_i1030" style="width:0;height:1.5pt" o:hralign="center" o:hrstd="t" o:hr="t" fillcolor="#a0a0a0" stroked="f"/>
        </w:pict>
      </w:r>
      <w:r>
        <w:rPr>
          <w:rFonts w:ascii="Google Sans" w:eastAsia="Google Sans" w:hAnsi="Google Sans" w:cs="Google Sans"/>
          <w:color w:val="1F1F1F"/>
        </w:rPr>
        <w:t>6. Confidence Assessment</w:t>
      </w:r>
    </w:p>
    <w:p w14:paraId="106105C8" w14:textId="77777777" w:rsidR="00045599" w:rsidRDefault="00000000">
      <w:pPr>
        <w:pBdr>
          <w:top w:val="nil"/>
          <w:left w:val="nil"/>
          <w:bottom w:val="nil"/>
          <w:right w:val="nil"/>
          <w:between w:val="nil"/>
        </w:pBdr>
        <w:spacing w:after="120" w:line="275" w:lineRule="auto"/>
        <w:rPr>
          <w:rFonts w:ascii="Google Sans" w:eastAsia="Google Sans" w:hAnsi="Google Sans" w:cs="Google Sans"/>
          <w:i/>
          <w:iCs/>
          <w:color w:val="1F1F1F"/>
        </w:rPr>
      </w:pPr>
      <w:r>
        <w:rPr>
          <w:rFonts w:ascii="Google Sans" w:eastAsia="Google Sans" w:hAnsi="Google Sans" w:cs="Google Sans"/>
          <w:i/>
          <w:iCs/>
          <w:color w:val="1F1F1F"/>
        </w:rPr>
        <w:t>Evaluate the reliability of the insights using the criteria below.</w:t>
      </w:r>
    </w:p>
    <w:p w14:paraId="752782F9" w14:textId="77777777" w:rsidR="00045599"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b/>
          <w:bCs/>
          <w:color w:val="1F1F1F"/>
        </w:rPr>
        <w:t>Source quality:</w:t>
      </w:r>
      <w:r>
        <w:rPr>
          <w:rFonts w:ascii="Google Sans" w:eastAsia="Google Sans" w:hAnsi="Google Sans" w:cs="Google Sans"/>
          <w:color w:val="1F1F1F"/>
        </w:rPr>
        <w:t xml:space="preserve"> Mixed to strong. Regulatory facts come from primary or professional sources; growth and competition figures rely on consultancies and, in places, a single source.</w:t>
      </w:r>
    </w:p>
    <w:p w14:paraId="07D888F1" w14:textId="77777777" w:rsidR="00045599" w:rsidRDefault="00000000">
      <w:pPr>
        <w:numPr>
          <w:ilvl w:val="1"/>
          <w:numId w:val="10"/>
        </w:numPr>
        <w:pBdr>
          <w:top w:val="nil"/>
          <w:left w:val="nil"/>
          <w:bottom w:val="nil"/>
          <w:right w:val="nil"/>
          <w:between w:val="nil"/>
        </w:pBdr>
        <w:spacing w:line="275" w:lineRule="auto"/>
      </w:pPr>
      <w:r>
        <w:rPr>
          <w:rFonts w:ascii="Google Sans" w:eastAsia="Google Sans" w:hAnsi="Google Sans" w:cs="Google Sans"/>
          <w:b/>
          <w:bCs/>
          <w:color w:val="1F1F1F"/>
        </w:rPr>
        <w:t>Insight 1:</w:t>
      </w:r>
      <w:r>
        <w:rPr>
          <w:rFonts w:ascii="Google Sans" w:eastAsia="Google Sans" w:hAnsi="Google Sans" w:cs="Google Sans"/>
          <w:color w:val="1F1F1F"/>
        </w:rPr>
        <w:t xml:space="preserve"> High - REGA (regulator), K&amp;S Law, Economy Middle East; growth figures from Cavendish Maxwell.</w:t>
      </w:r>
    </w:p>
    <w:p w14:paraId="190A2A0B" w14:textId="77777777" w:rsidR="00045599" w:rsidRDefault="00000000">
      <w:pPr>
        <w:numPr>
          <w:ilvl w:val="1"/>
          <w:numId w:val="10"/>
        </w:numPr>
        <w:pBdr>
          <w:top w:val="nil"/>
          <w:left w:val="nil"/>
          <w:bottom w:val="nil"/>
          <w:right w:val="nil"/>
          <w:between w:val="nil"/>
        </w:pBdr>
        <w:spacing w:line="275" w:lineRule="auto"/>
      </w:pPr>
      <w:r>
        <w:rPr>
          <w:rFonts w:ascii="Google Sans" w:eastAsia="Google Sans" w:hAnsi="Google Sans" w:cs="Google Sans"/>
          <w:b/>
          <w:bCs/>
          <w:color w:val="1F1F1F"/>
        </w:rPr>
        <w:t>Insight 2:</w:t>
      </w:r>
      <w:r>
        <w:rPr>
          <w:rFonts w:ascii="Google Sans" w:eastAsia="Google Sans" w:hAnsi="Google Sans" w:cs="Google Sans"/>
          <w:color w:val="1F1F1F"/>
        </w:rPr>
        <w:t xml:space="preserve"> Medium - Gulf News citing Cavendish Maxwell (single source for growth); JLL (qualitative competition view); REGA/JLL for ownership rules.</w:t>
      </w:r>
    </w:p>
    <w:p w14:paraId="35FBAD15" w14:textId="77777777" w:rsidR="00045599" w:rsidRDefault="00000000">
      <w:pPr>
        <w:numPr>
          <w:ilvl w:val="1"/>
          <w:numId w:val="10"/>
        </w:numPr>
        <w:pBdr>
          <w:top w:val="nil"/>
          <w:left w:val="nil"/>
          <w:bottom w:val="nil"/>
          <w:right w:val="nil"/>
          <w:between w:val="nil"/>
        </w:pBdr>
        <w:spacing w:line="275" w:lineRule="auto"/>
      </w:pPr>
      <w:r>
        <w:rPr>
          <w:rFonts w:ascii="Google Sans" w:eastAsia="Google Sans" w:hAnsi="Google Sans" w:cs="Google Sans"/>
          <w:b/>
          <w:bCs/>
          <w:color w:val="1F1F1F"/>
        </w:rPr>
        <w:lastRenderedPageBreak/>
        <w:t>Insight 3:</w:t>
      </w:r>
      <w:r>
        <w:rPr>
          <w:rFonts w:ascii="Google Sans" w:eastAsia="Google Sans" w:hAnsi="Google Sans" w:cs="Google Sans"/>
          <w:color w:val="1F1F1F"/>
        </w:rPr>
        <w:t xml:space="preserve"> Medium - Cavendish Maxwell for Jeddah growth; Fast Company ME citing JLL for the pipeline.</w:t>
      </w:r>
    </w:p>
    <w:p w14:paraId="132BC43E" w14:textId="77777777" w:rsidR="00045599" w:rsidRDefault="00000000">
      <w:pPr>
        <w:numPr>
          <w:ilvl w:val="1"/>
          <w:numId w:val="10"/>
        </w:numPr>
        <w:pBdr>
          <w:top w:val="nil"/>
          <w:left w:val="nil"/>
          <w:bottom w:val="nil"/>
          <w:right w:val="nil"/>
          <w:between w:val="nil"/>
        </w:pBdr>
        <w:spacing w:line="275" w:lineRule="auto"/>
      </w:pPr>
      <w:r>
        <w:rPr>
          <w:rFonts w:ascii="Google Sans" w:eastAsia="Google Sans" w:hAnsi="Google Sans" w:cs="Google Sans"/>
          <w:b/>
          <w:bCs/>
          <w:color w:val="1F1F1F"/>
        </w:rPr>
        <w:t>Insight 4:</w:t>
      </w:r>
      <w:r>
        <w:rPr>
          <w:rFonts w:ascii="Google Sans" w:eastAsia="Google Sans" w:hAnsi="Google Sans" w:cs="Google Sans"/>
          <w:color w:val="1F1F1F"/>
        </w:rPr>
        <w:t xml:space="preserve"> Medium - K&amp;S Law and JLL (qualitative); PIF/ROSHN for project scale; Mordor Intelligence for build-to-rent size (single source, undisclosed method).</w:t>
      </w:r>
    </w:p>
    <w:p w14:paraId="11142830" w14:textId="77777777" w:rsidR="00045599"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b/>
          <w:bCs/>
          <w:color w:val="1F1F1F"/>
        </w:rPr>
        <w:t>Consistency across sources:</w:t>
      </w:r>
      <w:r>
        <w:rPr>
          <w:rFonts w:ascii="Google Sans" w:eastAsia="Google Sans" w:hAnsi="Google Sans" w:cs="Google Sans"/>
          <w:color w:val="1F1F1F"/>
        </w:rPr>
        <w:t xml:space="preserve"> Directional findings agree, but several comparisons are not independent or not like-for-like.</w:t>
      </w:r>
    </w:p>
    <w:p w14:paraId="4D566C9D" w14:textId="77777777" w:rsidR="00045599" w:rsidRDefault="00000000">
      <w:pPr>
        <w:numPr>
          <w:ilvl w:val="1"/>
          <w:numId w:val="10"/>
        </w:numPr>
        <w:pBdr>
          <w:top w:val="nil"/>
          <w:left w:val="nil"/>
          <w:bottom w:val="nil"/>
          <w:right w:val="nil"/>
          <w:between w:val="nil"/>
        </w:pBdr>
        <w:spacing w:line="275" w:lineRule="auto"/>
      </w:pPr>
      <w:r>
        <w:rPr>
          <w:rFonts w:ascii="Google Sans" w:eastAsia="Google Sans" w:hAnsi="Google Sans" w:cs="Google Sans"/>
          <w:b/>
          <w:bCs/>
          <w:color w:val="1F1F1F"/>
        </w:rPr>
        <w:t>Insight 1:</w:t>
      </w:r>
      <w:r>
        <w:rPr>
          <w:rFonts w:ascii="Google Sans" w:eastAsia="Google Sans" w:hAnsi="Google Sans" w:cs="Google Sans"/>
          <w:color w:val="1F1F1F"/>
        </w:rPr>
        <w:t xml:space="preserve"> All external sources agree the freeze exists; Riyadh villa growth conflicts (Cavendish Maxwell +14.4% in H1 2025 vs. CBRE +11.6% in Q3 2025, different periods).</w:t>
      </w:r>
    </w:p>
    <w:p w14:paraId="07919F33" w14:textId="77777777" w:rsidR="00045599" w:rsidRDefault="00000000">
      <w:pPr>
        <w:numPr>
          <w:ilvl w:val="1"/>
          <w:numId w:val="10"/>
        </w:numPr>
        <w:pBdr>
          <w:top w:val="nil"/>
          <w:left w:val="nil"/>
          <w:bottom w:val="nil"/>
          <w:right w:val="nil"/>
          <w:between w:val="nil"/>
        </w:pBdr>
        <w:spacing w:line="275" w:lineRule="auto"/>
      </w:pPr>
      <w:r>
        <w:rPr>
          <w:rFonts w:ascii="Google Sans" w:eastAsia="Google Sans" w:hAnsi="Google Sans" w:cs="Google Sans"/>
          <w:b/>
          <w:bCs/>
          <w:color w:val="1F1F1F"/>
        </w:rPr>
        <w:t>Insight 2:</w:t>
      </w:r>
      <w:r>
        <w:rPr>
          <w:rFonts w:ascii="Google Sans" w:eastAsia="Google Sans" w:hAnsi="Google Sans" w:cs="Google Sans"/>
          <w:color w:val="1F1F1F"/>
        </w:rPr>
        <w:t xml:space="preserve"> The dataset ranking matches the research, but the research was given the dataset medians as a baseline, so this is not independent confirmation; Dammam growth appears in one source and Al-Khobar has no separate figure.</w:t>
      </w:r>
    </w:p>
    <w:p w14:paraId="78952B09" w14:textId="77777777" w:rsidR="00045599" w:rsidRDefault="00000000">
      <w:pPr>
        <w:numPr>
          <w:ilvl w:val="1"/>
          <w:numId w:val="10"/>
        </w:numPr>
        <w:pBdr>
          <w:top w:val="nil"/>
          <w:left w:val="nil"/>
          <w:bottom w:val="nil"/>
          <w:right w:val="nil"/>
          <w:between w:val="nil"/>
        </w:pBdr>
        <w:spacing w:line="275" w:lineRule="auto"/>
      </w:pPr>
      <w:r>
        <w:rPr>
          <w:rFonts w:ascii="Google Sans" w:eastAsia="Google Sans" w:hAnsi="Google Sans" w:cs="Google Sans"/>
          <w:b/>
          <w:bCs/>
          <w:color w:val="1F1F1F"/>
        </w:rPr>
        <w:t>Insight 3:</w:t>
      </w:r>
      <w:r>
        <w:rPr>
          <w:rFonts w:ascii="Google Sans" w:eastAsia="Google Sans" w:hAnsi="Google Sans" w:cs="Google Sans"/>
          <w:color w:val="1F1F1F"/>
        </w:rPr>
        <w:t xml:space="preserve"> Jeddah's rent premium is dataset-based; villa softness comes from one consultancy; the 382,500-unit pipeline is regional.</w:t>
      </w:r>
    </w:p>
    <w:p w14:paraId="0DA0EB5D" w14:textId="77777777" w:rsidR="00045599" w:rsidRDefault="00000000">
      <w:pPr>
        <w:numPr>
          <w:ilvl w:val="1"/>
          <w:numId w:val="10"/>
        </w:numPr>
        <w:pBdr>
          <w:top w:val="nil"/>
          <w:left w:val="nil"/>
          <w:bottom w:val="nil"/>
          <w:right w:val="nil"/>
          <w:between w:val="nil"/>
        </w:pBdr>
        <w:spacing w:line="275" w:lineRule="auto"/>
      </w:pPr>
      <w:r>
        <w:rPr>
          <w:rFonts w:ascii="Google Sans" w:eastAsia="Google Sans" w:hAnsi="Google Sans" w:cs="Google Sans"/>
          <w:b/>
          <w:bCs/>
          <w:color w:val="1F1F1F"/>
        </w:rPr>
        <w:t>Insight 4:</w:t>
      </w:r>
      <w:r>
        <w:rPr>
          <w:rFonts w:ascii="Google Sans" w:eastAsia="Google Sans" w:hAnsi="Google Sans" w:cs="Google Sans"/>
          <w:color w:val="1F1F1F"/>
        </w:rPr>
        <w:t xml:space="preserve"> Sources agree Riyadh is most concentrated, but none gives market-share </w:t>
      </w:r>
      <w:proofErr w:type="gramStart"/>
      <w:r>
        <w:rPr>
          <w:rFonts w:ascii="Google Sans" w:eastAsia="Google Sans" w:hAnsi="Google Sans" w:cs="Google Sans"/>
          <w:color w:val="1F1F1F"/>
        </w:rPr>
        <w:t>data</w:t>
      </w:r>
      <w:proofErr w:type="gramEnd"/>
      <w:r>
        <w:rPr>
          <w:rFonts w:ascii="Google Sans" w:eastAsia="Google Sans" w:hAnsi="Google Sans" w:cs="Google Sans"/>
          <w:color w:val="1F1F1F"/>
        </w:rPr>
        <w:t xml:space="preserve"> and the dataset has no competition data.</w:t>
      </w:r>
    </w:p>
    <w:p w14:paraId="71720242" w14:textId="77777777" w:rsidR="00045599"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b/>
          <w:bCs/>
          <w:color w:val="1F1F1F"/>
        </w:rPr>
        <w:t>Timeliness of information:</w:t>
      </w:r>
      <w:r>
        <w:rPr>
          <w:rFonts w:ascii="Google Sans" w:eastAsia="Google Sans" w:hAnsi="Google Sans" w:cs="Google Sans"/>
          <w:color w:val="1F1F1F"/>
        </w:rPr>
        <w:t xml:space="preserve"> External signals are current (Sep 2025 to Q2 2026) and were captured on 5 October 2026; the dataset is from 2021 and is stale for absolute rent levels.</w:t>
      </w:r>
    </w:p>
    <w:p w14:paraId="3DCD9603" w14:textId="77777777" w:rsidR="00045599" w:rsidRDefault="00000000">
      <w:pPr>
        <w:numPr>
          <w:ilvl w:val="1"/>
          <w:numId w:val="10"/>
        </w:numPr>
        <w:pBdr>
          <w:top w:val="nil"/>
          <w:left w:val="nil"/>
          <w:bottom w:val="nil"/>
          <w:right w:val="nil"/>
          <w:between w:val="nil"/>
        </w:pBdr>
        <w:spacing w:line="275" w:lineRule="auto"/>
      </w:pPr>
      <w:r>
        <w:rPr>
          <w:rFonts w:ascii="Google Sans" w:eastAsia="Google Sans" w:hAnsi="Google Sans" w:cs="Google Sans"/>
          <w:b/>
          <w:bCs/>
          <w:color w:val="1F1F1F"/>
        </w:rPr>
        <w:t>Insight 1:</w:t>
      </w:r>
      <w:r>
        <w:rPr>
          <w:rFonts w:ascii="Google Sans" w:eastAsia="Google Sans" w:hAnsi="Google Sans" w:cs="Google Sans"/>
          <w:color w:val="1F1F1F"/>
        </w:rPr>
        <w:t xml:space="preserve"> Current (Sep 2025 to Q1 2026); the 2021 dataset predates the freeze.</w:t>
      </w:r>
    </w:p>
    <w:p w14:paraId="1300CAA2" w14:textId="77777777" w:rsidR="00045599" w:rsidRDefault="00000000">
      <w:pPr>
        <w:numPr>
          <w:ilvl w:val="1"/>
          <w:numId w:val="10"/>
        </w:numPr>
        <w:pBdr>
          <w:top w:val="nil"/>
          <w:left w:val="nil"/>
          <w:bottom w:val="nil"/>
          <w:right w:val="nil"/>
          <w:between w:val="nil"/>
        </w:pBdr>
        <w:spacing w:line="275" w:lineRule="auto"/>
      </w:pPr>
      <w:r>
        <w:rPr>
          <w:rFonts w:ascii="Google Sans" w:eastAsia="Google Sans" w:hAnsi="Google Sans" w:cs="Google Sans"/>
          <w:b/>
          <w:bCs/>
          <w:color w:val="1F1F1F"/>
        </w:rPr>
        <w:t>Insight 2:</w:t>
      </w:r>
      <w:r>
        <w:rPr>
          <w:rFonts w:ascii="Google Sans" w:eastAsia="Google Sans" w:hAnsi="Google Sans" w:cs="Google Sans"/>
          <w:color w:val="1F1F1F"/>
        </w:rPr>
        <w:t xml:space="preserve"> Growth data from Q1 2026; ownership rules from Jan 2026; rent levels from 2021.</w:t>
      </w:r>
    </w:p>
    <w:p w14:paraId="206A5EA7" w14:textId="77777777" w:rsidR="00045599" w:rsidRDefault="00000000">
      <w:pPr>
        <w:numPr>
          <w:ilvl w:val="1"/>
          <w:numId w:val="10"/>
        </w:numPr>
        <w:pBdr>
          <w:top w:val="nil"/>
          <w:left w:val="nil"/>
          <w:bottom w:val="nil"/>
          <w:right w:val="nil"/>
          <w:between w:val="nil"/>
        </w:pBdr>
        <w:spacing w:line="275" w:lineRule="auto"/>
      </w:pPr>
      <w:r>
        <w:rPr>
          <w:rFonts w:ascii="Google Sans" w:eastAsia="Google Sans" w:hAnsi="Google Sans" w:cs="Google Sans"/>
          <w:b/>
          <w:bCs/>
          <w:color w:val="1F1F1F"/>
        </w:rPr>
        <w:t>Insight 3:</w:t>
      </w:r>
      <w:r>
        <w:rPr>
          <w:rFonts w:ascii="Google Sans" w:eastAsia="Google Sans" w:hAnsi="Google Sans" w:cs="Google Sans"/>
          <w:color w:val="1F1F1F"/>
        </w:rPr>
        <w:t xml:space="preserve"> Growth from H1 2025 to Q1 2026; pipeline from 2025; rent premium from 2021.</w:t>
      </w:r>
    </w:p>
    <w:p w14:paraId="2BBDF02E" w14:textId="77777777" w:rsidR="00045599" w:rsidRDefault="00000000">
      <w:pPr>
        <w:numPr>
          <w:ilvl w:val="1"/>
          <w:numId w:val="10"/>
        </w:numPr>
        <w:pBdr>
          <w:top w:val="nil"/>
          <w:left w:val="nil"/>
          <w:bottom w:val="nil"/>
          <w:right w:val="nil"/>
          <w:between w:val="nil"/>
        </w:pBdr>
        <w:spacing w:line="275" w:lineRule="auto"/>
      </w:pPr>
      <w:r>
        <w:rPr>
          <w:rFonts w:ascii="Google Sans" w:eastAsia="Google Sans" w:hAnsi="Google Sans" w:cs="Google Sans"/>
          <w:b/>
          <w:bCs/>
          <w:color w:val="1F1F1F"/>
        </w:rPr>
        <w:t>Insight 4:</w:t>
      </w:r>
      <w:r>
        <w:rPr>
          <w:rFonts w:ascii="Google Sans" w:eastAsia="Google Sans" w:hAnsi="Google Sans" w:cs="Google Sans"/>
          <w:color w:val="1F1F1F"/>
        </w:rPr>
        <w:t xml:space="preserve"> 2025 sources; competition can change quickly with new project announcements.</w:t>
      </w:r>
    </w:p>
    <w:p w14:paraId="30B3E170" w14:textId="77777777" w:rsidR="00045599" w:rsidRDefault="00000000">
      <w:pPr>
        <w:numPr>
          <w:ilvl w:val="0"/>
          <w:numId w:val="7"/>
        </w:numPr>
        <w:pBdr>
          <w:top w:val="nil"/>
          <w:left w:val="nil"/>
          <w:bottom w:val="nil"/>
          <w:right w:val="nil"/>
          <w:between w:val="nil"/>
        </w:pBdr>
        <w:spacing w:after="120" w:line="275" w:lineRule="auto"/>
      </w:pPr>
      <w:r>
        <w:rPr>
          <w:rFonts w:ascii="Google Sans" w:eastAsia="Google Sans" w:hAnsi="Google Sans" w:cs="Google Sans"/>
          <w:b/>
          <w:bCs/>
          <w:color w:val="1F1F1F"/>
        </w:rPr>
        <w:t>Overall confidence level:</w:t>
      </w:r>
      <w:r>
        <w:rPr>
          <w:rFonts w:ascii="Google Sans" w:eastAsia="Google Sans" w:hAnsi="Google Sans" w:cs="Google Sans"/>
          <w:color w:val="1F1F1F"/>
        </w:rPr>
        <w:t xml:space="preserve"> Medium overall.</w:t>
      </w:r>
    </w:p>
    <w:p w14:paraId="7FDC5F86" w14:textId="77777777" w:rsidR="00045599" w:rsidRDefault="00000000">
      <w:pPr>
        <w:numPr>
          <w:ilvl w:val="1"/>
          <w:numId w:val="10"/>
        </w:numPr>
        <w:pBdr>
          <w:top w:val="nil"/>
          <w:left w:val="nil"/>
          <w:bottom w:val="nil"/>
          <w:right w:val="nil"/>
          <w:between w:val="nil"/>
        </w:pBdr>
        <w:spacing w:line="275" w:lineRule="auto"/>
      </w:pPr>
      <w:r>
        <w:rPr>
          <w:rFonts w:ascii="Google Sans" w:eastAsia="Google Sans" w:hAnsi="Google Sans" w:cs="Google Sans"/>
          <w:b/>
          <w:bCs/>
          <w:color w:val="1F1F1F"/>
        </w:rPr>
        <w:t>Insight 1:</w:t>
      </w:r>
      <w:r>
        <w:rPr>
          <w:rFonts w:ascii="Google Sans" w:eastAsia="Google Sans" w:hAnsi="Google Sans" w:cs="Google Sans"/>
          <w:color w:val="1F1F1F"/>
        </w:rPr>
        <w:t xml:space="preserve"> High (existence of the freeze) / Medium (size of its impact on new leases).</w:t>
      </w:r>
    </w:p>
    <w:p w14:paraId="44498FB7" w14:textId="77777777" w:rsidR="00045599" w:rsidRDefault="00000000">
      <w:pPr>
        <w:numPr>
          <w:ilvl w:val="1"/>
          <w:numId w:val="10"/>
        </w:numPr>
        <w:pBdr>
          <w:top w:val="nil"/>
          <w:left w:val="nil"/>
          <w:bottom w:val="nil"/>
          <w:right w:val="nil"/>
          <w:between w:val="nil"/>
        </w:pBdr>
        <w:spacing w:line="275" w:lineRule="auto"/>
      </w:pPr>
      <w:r>
        <w:rPr>
          <w:rFonts w:ascii="Google Sans" w:eastAsia="Google Sans" w:hAnsi="Google Sans" w:cs="Google Sans"/>
          <w:b/>
          <w:bCs/>
          <w:color w:val="1F1F1F"/>
        </w:rPr>
        <w:t>Insight 2:</w:t>
      </w:r>
      <w:r>
        <w:rPr>
          <w:rFonts w:ascii="Google Sans" w:eastAsia="Google Sans" w:hAnsi="Google Sans" w:cs="Google Sans"/>
          <w:color w:val="1F1F1F"/>
        </w:rPr>
        <w:t xml:space="preserve"> Medium.</w:t>
      </w:r>
    </w:p>
    <w:p w14:paraId="551B3905" w14:textId="77777777" w:rsidR="00045599" w:rsidRDefault="00000000">
      <w:pPr>
        <w:numPr>
          <w:ilvl w:val="1"/>
          <w:numId w:val="10"/>
        </w:numPr>
        <w:pBdr>
          <w:top w:val="nil"/>
          <w:left w:val="nil"/>
          <w:bottom w:val="nil"/>
          <w:right w:val="nil"/>
          <w:between w:val="nil"/>
        </w:pBdr>
        <w:spacing w:line="275" w:lineRule="auto"/>
      </w:pPr>
      <w:r>
        <w:rPr>
          <w:rFonts w:ascii="Google Sans" w:eastAsia="Google Sans" w:hAnsi="Google Sans" w:cs="Google Sans"/>
          <w:b/>
          <w:bCs/>
          <w:color w:val="1F1F1F"/>
        </w:rPr>
        <w:t>Insight 3:</w:t>
      </w:r>
      <w:r>
        <w:rPr>
          <w:rFonts w:ascii="Google Sans" w:eastAsia="Google Sans" w:hAnsi="Google Sans" w:cs="Google Sans"/>
          <w:color w:val="1F1F1F"/>
        </w:rPr>
        <w:t xml:space="preserve"> Medium.</w:t>
      </w:r>
    </w:p>
    <w:p w14:paraId="106750FB" w14:textId="77777777" w:rsidR="00045599" w:rsidRDefault="00000000">
      <w:pPr>
        <w:numPr>
          <w:ilvl w:val="1"/>
          <w:numId w:val="10"/>
        </w:numPr>
        <w:pBdr>
          <w:top w:val="nil"/>
          <w:left w:val="nil"/>
          <w:bottom w:val="nil"/>
          <w:right w:val="nil"/>
          <w:between w:val="nil"/>
        </w:pBdr>
        <w:spacing w:line="275" w:lineRule="auto"/>
      </w:pPr>
      <w:r>
        <w:rPr>
          <w:rFonts w:ascii="Google Sans" w:eastAsia="Google Sans" w:hAnsi="Google Sans" w:cs="Google Sans"/>
          <w:b/>
          <w:bCs/>
          <w:color w:val="1F1F1F"/>
        </w:rPr>
        <w:t>Insight 4:</w:t>
      </w:r>
      <w:r>
        <w:rPr>
          <w:rFonts w:ascii="Google Sans" w:eastAsia="Google Sans" w:hAnsi="Google Sans" w:cs="Google Sans"/>
          <w:color w:val="1F1F1F"/>
        </w:rPr>
        <w:t xml:space="preserve"> Medium.</w:t>
      </w:r>
    </w:p>
    <w:p w14:paraId="669A70B1" w14:textId="77777777" w:rsidR="00045599" w:rsidRDefault="00000000">
      <w:pPr>
        <w:pStyle w:val="Heading2"/>
        <w:spacing w:before="120" w:after="120" w:line="275" w:lineRule="auto"/>
        <w:rPr>
          <w:rFonts w:ascii="Google Sans" w:eastAsia="Google Sans" w:hAnsi="Google Sans" w:cs="Google Sans"/>
          <w:color w:val="1F1F1F"/>
        </w:rPr>
      </w:pPr>
      <w:r>
        <w:pict w14:anchorId="7C022BE9">
          <v:rect id="_x0000_i1031" style="width:0;height:1.5pt" o:hralign="center" o:hrstd="t" o:hr="t" fillcolor="#a0a0a0" stroked="f"/>
        </w:pict>
      </w:r>
      <w:r>
        <w:rPr>
          <w:rFonts w:ascii="Google Sans" w:eastAsia="Google Sans" w:hAnsi="Google Sans" w:cs="Google Sans"/>
          <w:color w:val="1F1F1F"/>
        </w:rPr>
        <w:t>7. Limitations and Risks</w:t>
      </w:r>
    </w:p>
    <w:p w14:paraId="4DE22964" w14:textId="77777777" w:rsidR="00045599" w:rsidRDefault="00000000">
      <w:pPr>
        <w:pBdr>
          <w:top w:val="nil"/>
          <w:left w:val="nil"/>
          <w:bottom w:val="nil"/>
          <w:right w:val="nil"/>
          <w:between w:val="nil"/>
        </w:pBdr>
        <w:spacing w:after="120" w:line="275" w:lineRule="auto"/>
        <w:rPr>
          <w:rFonts w:ascii="Google Sans" w:eastAsia="Google Sans" w:hAnsi="Google Sans" w:cs="Google Sans"/>
          <w:i/>
          <w:iCs/>
          <w:color w:val="1F1F1F"/>
        </w:rPr>
      </w:pPr>
      <w:r>
        <w:rPr>
          <w:rFonts w:ascii="Google Sans" w:eastAsia="Google Sans" w:hAnsi="Google Sans" w:cs="Google Sans"/>
          <w:i/>
          <w:iCs/>
          <w:color w:val="1F1F1F"/>
        </w:rPr>
        <w:t>Document known gaps, assumptions, or areas of uncertainty.</w:t>
      </w:r>
    </w:p>
    <w:p w14:paraId="785ABB2A" w14:textId="77777777" w:rsidR="00045599" w:rsidRDefault="00000000">
      <w:pPr>
        <w:numPr>
          <w:ilvl w:val="0"/>
          <w:numId w:val="8"/>
        </w:numPr>
        <w:pBdr>
          <w:top w:val="nil"/>
          <w:left w:val="nil"/>
          <w:bottom w:val="nil"/>
          <w:right w:val="nil"/>
          <w:between w:val="nil"/>
        </w:pBdr>
        <w:spacing w:line="275" w:lineRule="auto"/>
      </w:pPr>
      <w:r>
        <w:rPr>
          <w:rFonts w:ascii="Google Sans" w:eastAsia="Google Sans" w:hAnsi="Google Sans" w:cs="Google Sans"/>
          <w:b/>
          <w:bCs/>
          <w:color w:val="1F1F1F"/>
        </w:rPr>
        <w:t>Missing data:</w:t>
      </w:r>
      <w:r>
        <w:rPr>
          <w:rFonts w:ascii="Google Sans" w:eastAsia="Google Sans" w:hAnsi="Google Sans" w:cs="Google Sans"/>
          <w:color w:val="1F1F1F"/>
        </w:rPr>
        <w:t xml:space="preserve"> Gaps that limit what can be concluded.</w:t>
      </w:r>
    </w:p>
    <w:p w14:paraId="4BCB324B" w14:textId="77777777" w:rsidR="00045599" w:rsidRDefault="00000000">
      <w:pPr>
        <w:numPr>
          <w:ilvl w:val="1"/>
          <w:numId w:val="10"/>
        </w:numPr>
        <w:pBdr>
          <w:top w:val="nil"/>
          <w:left w:val="nil"/>
          <w:bottom w:val="nil"/>
          <w:right w:val="nil"/>
          <w:between w:val="nil"/>
        </w:pBdr>
        <w:spacing w:line="275" w:lineRule="auto"/>
      </w:pPr>
      <w:r>
        <w:rPr>
          <w:rFonts w:ascii="Google Sans" w:eastAsia="Google Sans" w:hAnsi="Google Sans" w:cs="Google Sans"/>
          <w:color w:val="1F1F1F"/>
        </w:rPr>
        <w:t>No purchase prices, so no yield or ROI can be calculated.</w:t>
      </w:r>
    </w:p>
    <w:p w14:paraId="4D5540C9" w14:textId="77777777" w:rsidR="00045599" w:rsidRDefault="00000000">
      <w:pPr>
        <w:numPr>
          <w:ilvl w:val="1"/>
          <w:numId w:val="10"/>
        </w:numPr>
        <w:pBdr>
          <w:top w:val="nil"/>
          <w:left w:val="nil"/>
          <w:bottom w:val="nil"/>
          <w:right w:val="nil"/>
          <w:between w:val="nil"/>
        </w:pBdr>
        <w:spacing w:line="275" w:lineRule="auto"/>
      </w:pPr>
      <w:r>
        <w:rPr>
          <w:rFonts w:ascii="Google Sans" w:eastAsia="Google Sans" w:hAnsi="Google Sans" w:cs="Google Sans"/>
          <w:color w:val="1F1F1F"/>
        </w:rPr>
        <w:t xml:space="preserve">No published residential vacancy data by city; market tightness relies on proxies such as </w:t>
      </w:r>
      <w:proofErr w:type="spellStart"/>
      <w:r>
        <w:rPr>
          <w:rFonts w:ascii="Google Sans" w:eastAsia="Google Sans" w:hAnsi="Google Sans" w:cs="Google Sans"/>
          <w:color w:val="1F1F1F"/>
        </w:rPr>
        <w:t>Ejar</w:t>
      </w:r>
      <w:proofErr w:type="spellEnd"/>
      <w:r>
        <w:rPr>
          <w:rFonts w:ascii="Google Sans" w:eastAsia="Google Sans" w:hAnsi="Google Sans" w:cs="Google Sans"/>
          <w:color w:val="1F1F1F"/>
        </w:rPr>
        <w:t xml:space="preserve"> contract volumes.</w:t>
      </w:r>
    </w:p>
    <w:p w14:paraId="5AA33B2E" w14:textId="77777777" w:rsidR="00045599" w:rsidRDefault="00000000">
      <w:pPr>
        <w:numPr>
          <w:ilvl w:val="1"/>
          <w:numId w:val="10"/>
        </w:numPr>
        <w:pBdr>
          <w:top w:val="nil"/>
          <w:left w:val="nil"/>
          <w:bottom w:val="nil"/>
          <w:right w:val="nil"/>
          <w:between w:val="nil"/>
        </w:pBdr>
        <w:spacing w:line="275" w:lineRule="auto"/>
      </w:pPr>
      <w:r>
        <w:rPr>
          <w:rFonts w:ascii="Google Sans" w:eastAsia="Google Sans" w:hAnsi="Google Sans" w:cs="Google Sans"/>
          <w:color w:val="1F1F1F"/>
        </w:rPr>
        <w:t>No separate Al-Khobar growth rate (the research groups it with Dammam) and no quantitative market-share data.</w:t>
      </w:r>
    </w:p>
    <w:p w14:paraId="43223D96" w14:textId="77777777" w:rsidR="00045599" w:rsidRDefault="00000000">
      <w:pPr>
        <w:numPr>
          <w:ilvl w:val="1"/>
          <w:numId w:val="10"/>
        </w:numPr>
        <w:pBdr>
          <w:top w:val="nil"/>
          <w:left w:val="nil"/>
          <w:bottom w:val="nil"/>
          <w:right w:val="nil"/>
          <w:between w:val="nil"/>
        </w:pBdr>
        <w:spacing w:line="275" w:lineRule="auto"/>
      </w:pPr>
      <w:r>
        <w:rPr>
          <w:rFonts w:ascii="Google Sans" w:eastAsia="Google Sans" w:hAnsi="Google Sans" w:cs="Google Sans"/>
          <w:color w:val="1F1F1F"/>
        </w:rPr>
        <w:lastRenderedPageBreak/>
        <w:t>The dataset does not state the rent frequency (assumed annual) and contains no competition data.</w:t>
      </w:r>
    </w:p>
    <w:p w14:paraId="13A17039" w14:textId="77777777" w:rsidR="00045599" w:rsidRDefault="00000000">
      <w:pPr>
        <w:numPr>
          <w:ilvl w:val="0"/>
          <w:numId w:val="8"/>
        </w:numPr>
        <w:pBdr>
          <w:top w:val="nil"/>
          <w:left w:val="nil"/>
          <w:bottom w:val="nil"/>
          <w:right w:val="nil"/>
          <w:between w:val="nil"/>
        </w:pBdr>
        <w:spacing w:line="275" w:lineRule="auto"/>
      </w:pPr>
      <w:r>
        <w:rPr>
          <w:rFonts w:ascii="Google Sans" w:eastAsia="Google Sans" w:hAnsi="Google Sans" w:cs="Google Sans"/>
          <w:b/>
          <w:bCs/>
          <w:color w:val="1F1F1F"/>
        </w:rPr>
        <w:t>Conflicting signals:</w:t>
      </w:r>
      <w:r>
        <w:rPr>
          <w:rFonts w:ascii="Google Sans" w:eastAsia="Google Sans" w:hAnsi="Google Sans" w:cs="Google Sans"/>
          <w:color w:val="1F1F1F"/>
        </w:rPr>
        <w:t xml:space="preserve"> Where sources disagree or cannot be compared.</w:t>
      </w:r>
    </w:p>
    <w:p w14:paraId="335AEE2F" w14:textId="77777777" w:rsidR="00045599" w:rsidRDefault="00000000">
      <w:pPr>
        <w:numPr>
          <w:ilvl w:val="1"/>
          <w:numId w:val="10"/>
        </w:numPr>
        <w:pBdr>
          <w:top w:val="nil"/>
          <w:left w:val="nil"/>
          <w:bottom w:val="nil"/>
          <w:right w:val="nil"/>
          <w:between w:val="nil"/>
        </w:pBdr>
        <w:spacing w:line="275" w:lineRule="auto"/>
      </w:pPr>
      <w:r>
        <w:rPr>
          <w:rFonts w:ascii="Google Sans" w:eastAsia="Google Sans" w:hAnsi="Google Sans" w:cs="Google Sans"/>
          <w:color w:val="1F1F1F"/>
        </w:rPr>
        <w:t>Riyadh villa growth: Cavendish Maxwell +14.4% (H1 2025) vs. CBRE +11.6% (Q3 2025), likely different periods and measurement.</w:t>
      </w:r>
    </w:p>
    <w:p w14:paraId="427052BF" w14:textId="77777777" w:rsidR="00045599" w:rsidRDefault="00000000">
      <w:pPr>
        <w:numPr>
          <w:ilvl w:val="1"/>
          <w:numId w:val="10"/>
        </w:numPr>
        <w:pBdr>
          <w:top w:val="nil"/>
          <w:left w:val="nil"/>
          <w:bottom w:val="nil"/>
          <w:right w:val="nil"/>
          <w:between w:val="nil"/>
        </w:pBdr>
        <w:spacing w:line="275" w:lineRule="auto"/>
      </w:pPr>
      <w:r>
        <w:rPr>
          <w:rFonts w:ascii="Google Sans" w:eastAsia="Google Sans" w:hAnsi="Google Sans" w:cs="Google Sans"/>
          <w:color w:val="1F1F1F"/>
        </w:rPr>
        <w:t>Rent level vs. opportunity: Jeddah has the highest 2021 rents, yet the research favors Dammam and Al-Khobar on a risk-adjusted basis.</w:t>
      </w:r>
    </w:p>
    <w:p w14:paraId="6A2342C6" w14:textId="77777777" w:rsidR="00045599" w:rsidRDefault="00000000">
      <w:pPr>
        <w:numPr>
          <w:ilvl w:val="1"/>
          <w:numId w:val="10"/>
        </w:numPr>
        <w:pBdr>
          <w:top w:val="nil"/>
          <w:left w:val="nil"/>
          <w:bottom w:val="nil"/>
          <w:right w:val="nil"/>
          <w:between w:val="nil"/>
        </w:pBdr>
        <w:spacing w:line="275" w:lineRule="auto"/>
      </w:pPr>
      <w:r>
        <w:rPr>
          <w:rFonts w:ascii="Google Sans" w:eastAsia="Google Sans" w:hAnsi="Google Sans" w:cs="Google Sans"/>
          <w:color w:val="1F1F1F"/>
        </w:rPr>
        <w:t>National villa values (-9.7%, CBRE Q2 2026) vs. Riyadh villa rents (positive) measure different things and should not be compared directly.</w:t>
      </w:r>
    </w:p>
    <w:p w14:paraId="65C59A84" w14:textId="77777777" w:rsidR="00045599" w:rsidRDefault="00000000">
      <w:pPr>
        <w:numPr>
          <w:ilvl w:val="0"/>
          <w:numId w:val="8"/>
        </w:numPr>
        <w:pBdr>
          <w:top w:val="nil"/>
          <w:left w:val="nil"/>
          <w:bottom w:val="nil"/>
          <w:right w:val="nil"/>
          <w:between w:val="nil"/>
        </w:pBdr>
        <w:spacing w:after="120" w:line="275" w:lineRule="auto"/>
      </w:pPr>
      <w:r>
        <w:rPr>
          <w:rFonts w:ascii="Google Sans" w:eastAsia="Google Sans" w:hAnsi="Google Sans" w:cs="Google Sans"/>
          <w:b/>
          <w:bCs/>
          <w:color w:val="1F1F1F"/>
        </w:rPr>
        <w:t>Potential bias or ambiguity:</w:t>
      </w:r>
      <w:r>
        <w:rPr>
          <w:rFonts w:ascii="Google Sans" w:eastAsia="Google Sans" w:hAnsi="Google Sans" w:cs="Google Sans"/>
          <w:color w:val="1F1F1F"/>
        </w:rPr>
        <w:t xml:space="preserve"> Issues in data quality and independence.</w:t>
      </w:r>
    </w:p>
    <w:p w14:paraId="68C5AC11" w14:textId="77777777" w:rsidR="00045599" w:rsidRDefault="00000000">
      <w:pPr>
        <w:numPr>
          <w:ilvl w:val="1"/>
          <w:numId w:val="10"/>
        </w:numPr>
        <w:pBdr>
          <w:top w:val="nil"/>
          <w:left w:val="nil"/>
          <w:bottom w:val="nil"/>
          <w:right w:val="nil"/>
          <w:between w:val="nil"/>
        </w:pBdr>
        <w:spacing w:line="275" w:lineRule="auto"/>
      </w:pPr>
      <w:r>
        <w:rPr>
          <w:rFonts w:ascii="Google Sans" w:eastAsia="Google Sans" w:hAnsi="Google Sans" w:cs="Google Sans"/>
          <w:color w:val="1F1F1F"/>
        </w:rPr>
        <w:t>A duplicate check found 2,197 exact duplicate rows of 3,718; only 1,521 unique listings remain (Riyadh 904, Jeddah 411, Dammam 123, Al-Khobar 83). Medians on unique listings keep the same city ranking (Jeddah 100,000; Riyadh 80,000; Al-Khobar 65,000; Dammam 60,000), but Dammam and Al-Khobar rest on small samples.</w:t>
      </w:r>
    </w:p>
    <w:p w14:paraId="0266FA85" w14:textId="77777777" w:rsidR="00045599" w:rsidRDefault="00000000">
      <w:pPr>
        <w:numPr>
          <w:ilvl w:val="1"/>
          <w:numId w:val="10"/>
        </w:numPr>
        <w:pBdr>
          <w:top w:val="nil"/>
          <w:left w:val="nil"/>
          <w:bottom w:val="nil"/>
          <w:right w:val="nil"/>
          <w:between w:val="nil"/>
        </w:pBdr>
        <w:spacing w:line="275" w:lineRule="auto"/>
      </w:pPr>
      <w:r>
        <w:rPr>
          <w:rFonts w:ascii="Google Sans" w:eastAsia="Google Sans" w:hAnsi="Google Sans" w:cs="Google Sans"/>
          <w:color w:val="1F1F1F"/>
        </w:rPr>
        <w:t>The dataset is 2021 asking rents from one platform (</w:t>
      </w:r>
      <w:proofErr w:type="spellStart"/>
      <w:r>
        <w:rPr>
          <w:rFonts w:ascii="Google Sans" w:eastAsia="Google Sans" w:hAnsi="Google Sans" w:cs="Google Sans"/>
          <w:color w:val="1F1F1F"/>
        </w:rPr>
        <w:t>Aqar</w:t>
      </w:r>
      <w:proofErr w:type="spellEnd"/>
      <w:r>
        <w:rPr>
          <w:rFonts w:ascii="Google Sans" w:eastAsia="Google Sans" w:hAnsi="Google Sans" w:cs="Google Sans"/>
          <w:color w:val="1F1F1F"/>
        </w:rPr>
        <w:t>), with outliers (e.g., a 1 m2 listing, rents up to SAR 1.7 million) and implausibly low AC flags (51-64%), a listing-quality issue.</w:t>
      </w:r>
    </w:p>
    <w:p w14:paraId="43A57AD6" w14:textId="77777777" w:rsidR="00045599" w:rsidRDefault="00000000">
      <w:pPr>
        <w:numPr>
          <w:ilvl w:val="1"/>
          <w:numId w:val="10"/>
        </w:numPr>
        <w:pBdr>
          <w:top w:val="nil"/>
          <w:left w:val="nil"/>
          <w:bottom w:val="nil"/>
          <w:right w:val="nil"/>
          <w:between w:val="nil"/>
        </w:pBdr>
        <w:spacing w:line="275" w:lineRule="auto"/>
      </w:pPr>
      <w:r>
        <w:rPr>
          <w:rFonts w:ascii="Google Sans" w:eastAsia="Google Sans" w:hAnsi="Google Sans" w:cs="Google Sans"/>
          <w:color w:val="1F1F1F"/>
        </w:rPr>
        <w:t xml:space="preserve">Dataset medians were given to the research as a baseline, so agreement between them is </w:t>
      </w:r>
      <w:proofErr w:type="spellStart"/>
      <w:r>
        <w:rPr>
          <w:rFonts w:ascii="Google Sans" w:eastAsia="Google Sans" w:hAnsi="Google Sans" w:cs="Google Sans"/>
          <w:color w:val="1F1F1F"/>
        </w:rPr>
        <w:t>not</w:t>
      </w:r>
      <w:proofErr w:type="spellEnd"/>
      <w:r>
        <w:rPr>
          <w:rFonts w:ascii="Google Sans" w:eastAsia="Google Sans" w:hAnsi="Google Sans" w:cs="Google Sans"/>
          <w:color w:val="1F1F1F"/>
        </w:rPr>
        <w:t xml:space="preserve"> independent confirmation.</w:t>
      </w:r>
    </w:p>
    <w:p w14:paraId="3E663844" w14:textId="77777777" w:rsidR="00045599" w:rsidRDefault="00000000">
      <w:pPr>
        <w:numPr>
          <w:ilvl w:val="1"/>
          <w:numId w:val="10"/>
        </w:numPr>
        <w:pBdr>
          <w:top w:val="nil"/>
          <w:left w:val="nil"/>
          <w:bottom w:val="nil"/>
          <w:right w:val="nil"/>
          <w:between w:val="nil"/>
        </w:pBdr>
        <w:spacing w:line="275" w:lineRule="auto"/>
      </w:pPr>
      <w:r>
        <w:rPr>
          <w:rFonts w:ascii="Google Sans" w:eastAsia="Google Sans" w:hAnsi="Google Sans" w:cs="Google Sans"/>
          <w:color w:val="1F1F1F"/>
        </w:rPr>
        <w:t>The 382,500-unit pipeline covers Western KSA including NEOM, not Jeddah alone; the build-to-rent market size is a single-source estimate.</w:t>
      </w:r>
    </w:p>
    <w:p w14:paraId="72894EFC" w14:textId="77777777" w:rsidR="00045599" w:rsidRDefault="00000000">
      <w:pPr>
        <w:pStyle w:val="Heading2"/>
        <w:spacing w:before="120" w:after="120" w:line="275" w:lineRule="auto"/>
        <w:rPr>
          <w:rFonts w:ascii="Google Sans" w:eastAsia="Google Sans" w:hAnsi="Google Sans" w:cs="Google Sans"/>
          <w:color w:val="1F1F1F"/>
        </w:rPr>
      </w:pPr>
      <w:r>
        <w:pict w14:anchorId="7A5B90A9">
          <v:rect id="_x0000_i1032" style="width:0;height:1.5pt" o:hralign="center" o:hrstd="t" o:hr="t" fillcolor="#a0a0a0" stroked="f"/>
        </w:pict>
      </w:r>
      <w:r>
        <w:rPr>
          <w:rFonts w:ascii="Google Sans" w:eastAsia="Google Sans" w:hAnsi="Google Sans" w:cs="Google Sans"/>
          <w:color w:val="1F1F1F"/>
        </w:rPr>
        <w:t>8. Strategic Implications</w:t>
      </w:r>
    </w:p>
    <w:p w14:paraId="18A801ED" w14:textId="77777777" w:rsidR="00045599" w:rsidRDefault="00000000">
      <w:pPr>
        <w:pBdr>
          <w:top w:val="nil"/>
          <w:left w:val="nil"/>
          <w:bottom w:val="nil"/>
          <w:right w:val="nil"/>
          <w:between w:val="nil"/>
        </w:pBdr>
        <w:spacing w:after="120" w:line="275" w:lineRule="auto"/>
        <w:rPr>
          <w:rFonts w:ascii="Google Sans" w:eastAsia="Google Sans" w:hAnsi="Google Sans" w:cs="Google Sans"/>
          <w:i/>
          <w:iCs/>
          <w:color w:val="1F1F1F"/>
        </w:rPr>
      </w:pPr>
      <w:r>
        <w:rPr>
          <w:rFonts w:ascii="Google Sans" w:eastAsia="Google Sans" w:hAnsi="Google Sans" w:cs="Google Sans"/>
          <w:i/>
          <w:iCs/>
          <w:color w:val="1F1F1F"/>
        </w:rPr>
        <w:t>Explain how leadership should interpret and use this intelligence.</w:t>
      </w:r>
    </w:p>
    <w:p w14:paraId="005E95A0" w14:textId="77777777" w:rsidR="00045599" w:rsidRDefault="00000000">
      <w:pPr>
        <w:numPr>
          <w:ilvl w:val="0"/>
          <w:numId w:val="9"/>
        </w:numPr>
        <w:pBdr>
          <w:top w:val="nil"/>
          <w:left w:val="nil"/>
          <w:bottom w:val="nil"/>
          <w:right w:val="nil"/>
          <w:between w:val="nil"/>
        </w:pBdr>
        <w:spacing w:line="275" w:lineRule="auto"/>
      </w:pPr>
      <w:r>
        <w:rPr>
          <w:rFonts w:ascii="Google Sans" w:eastAsia="Google Sans" w:hAnsi="Google Sans" w:cs="Google Sans"/>
          <w:b/>
          <w:bCs/>
          <w:color w:val="1F1F1F"/>
        </w:rPr>
        <w:t>What decisions could this inform?</w:t>
      </w:r>
      <w:r>
        <w:rPr>
          <w:rFonts w:ascii="Google Sans" w:eastAsia="Google Sans" w:hAnsi="Google Sans" w:cs="Google Sans"/>
          <w:color w:val="1F1F1F"/>
        </w:rPr>
        <w:t xml:space="preserve"> City shortlisting: evaluate Dammam and Al-Khobar first, then Jeddah, then Riyadh.</w:t>
      </w:r>
    </w:p>
    <w:p w14:paraId="479EDB43" w14:textId="77777777" w:rsidR="00045599" w:rsidRDefault="00000000">
      <w:pPr>
        <w:numPr>
          <w:ilvl w:val="1"/>
          <w:numId w:val="10"/>
        </w:numPr>
        <w:pBdr>
          <w:top w:val="nil"/>
          <w:left w:val="nil"/>
          <w:bottom w:val="nil"/>
          <w:right w:val="nil"/>
          <w:between w:val="nil"/>
        </w:pBdr>
        <w:spacing w:line="275" w:lineRule="auto"/>
      </w:pPr>
      <w:r>
        <w:rPr>
          <w:rFonts w:ascii="Google Sans" w:eastAsia="Google Sans" w:hAnsi="Google Sans" w:cs="Google Sans"/>
          <w:color w:val="1F1F1F"/>
        </w:rPr>
        <w:t>Product positioning: Al-Khobar's 1.5% furnished share in the 2021 dataset suggests a possible underserved furnished niche, to be verified with current data.</w:t>
      </w:r>
    </w:p>
    <w:p w14:paraId="344E85C3" w14:textId="77777777" w:rsidR="00045599" w:rsidRDefault="00000000">
      <w:pPr>
        <w:numPr>
          <w:ilvl w:val="1"/>
          <w:numId w:val="10"/>
        </w:numPr>
        <w:pBdr>
          <w:top w:val="nil"/>
          <w:left w:val="nil"/>
          <w:bottom w:val="nil"/>
          <w:right w:val="nil"/>
          <w:between w:val="nil"/>
        </w:pBdr>
        <w:spacing w:line="275" w:lineRule="auto"/>
      </w:pPr>
      <w:r>
        <w:rPr>
          <w:rFonts w:ascii="Google Sans" w:eastAsia="Google Sans" w:hAnsi="Google Sans" w:cs="Google Sans"/>
          <w:color w:val="1F1F1F"/>
        </w:rPr>
        <w:t>Riyadh timing: monitor the freeze's impact for 12-18 months and watch for any extension to other cities before committing.</w:t>
      </w:r>
    </w:p>
    <w:p w14:paraId="436E6BB2" w14:textId="77777777" w:rsidR="00045599" w:rsidRDefault="00000000">
      <w:pPr>
        <w:numPr>
          <w:ilvl w:val="0"/>
          <w:numId w:val="9"/>
        </w:numPr>
        <w:pBdr>
          <w:top w:val="nil"/>
          <w:left w:val="nil"/>
          <w:bottom w:val="nil"/>
          <w:right w:val="nil"/>
          <w:between w:val="nil"/>
        </w:pBdr>
        <w:spacing w:line="275" w:lineRule="auto"/>
      </w:pPr>
      <w:r>
        <w:rPr>
          <w:rFonts w:ascii="Google Sans" w:eastAsia="Google Sans" w:hAnsi="Google Sans" w:cs="Google Sans"/>
          <w:b/>
          <w:bCs/>
          <w:color w:val="1F1F1F"/>
        </w:rPr>
        <w:t xml:space="preserve">What should </w:t>
      </w:r>
      <w:r>
        <w:rPr>
          <w:rFonts w:ascii="Google Sans" w:eastAsia="Google Sans" w:hAnsi="Google Sans" w:cs="Google Sans"/>
          <w:b/>
          <w:bCs/>
          <w:i/>
          <w:iCs/>
          <w:color w:val="1F1F1F"/>
        </w:rPr>
        <w:t>not</w:t>
      </w:r>
      <w:r>
        <w:rPr>
          <w:rFonts w:ascii="Google Sans" w:eastAsia="Google Sans" w:hAnsi="Google Sans" w:cs="Google Sans"/>
          <w:b/>
          <w:bCs/>
          <w:color w:val="1F1F1F"/>
        </w:rPr>
        <w:t xml:space="preserve"> be concluded from this research?</w:t>
      </w:r>
      <w:r>
        <w:rPr>
          <w:rFonts w:ascii="Google Sans" w:eastAsia="Google Sans" w:hAnsi="Google Sans" w:cs="Google Sans"/>
          <w:color w:val="1F1F1F"/>
        </w:rPr>
        <w:t xml:space="preserve"> That any city is the best place to invest: the evidence supports which city to evaluate first, not an investment decision.</w:t>
      </w:r>
    </w:p>
    <w:p w14:paraId="7E266E0B" w14:textId="77777777" w:rsidR="00045599" w:rsidRDefault="00000000">
      <w:pPr>
        <w:numPr>
          <w:ilvl w:val="1"/>
          <w:numId w:val="11"/>
        </w:numPr>
        <w:pBdr>
          <w:top w:val="nil"/>
          <w:left w:val="nil"/>
          <w:bottom w:val="nil"/>
          <w:right w:val="nil"/>
          <w:between w:val="nil"/>
        </w:pBdr>
        <w:spacing w:after="120" w:line="275" w:lineRule="auto"/>
      </w:pPr>
      <w:r>
        <w:rPr>
          <w:rFonts w:ascii="Google Sans" w:eastAsia="Google Sans" w:hAnsi="Google Sans" w:cs="Google Sans"/>
          <w:color w:val="1F1F1F"/>
        </w:rPr>
        <w:t xml:space="preserve">Investment yield or ROI: the dataset has </w:t>
      </w:r>
      <w:proofErr w:type="gramStart"/>
      <w:r>
        <w:rPr>
          <w:rFonts w:ascii="Google Sans" w:eastAsia="Google Sans" w:hAnsi="Google Sans" w:cs="Google Sans"/>
          <w:color w:val="1F1F1F"/>
        </w:rPr>
        <w:t>rents</w:t>
      </w:r>
      <w:proofErr w:type="gramEnd"/>
      <w:r>
        <w:rPr>
          <w:rFonts w:ascii="Google Sans" w:eastAsia="Google Sans" w:hAnsi="Google Sans" w:cs="Google Sans"/>
          <w:color w:val="1F1F1F"/>
        </w:rPr>
        <w:t xml:space="preserve"> only, with no purchase prices, cap rates, or operating costs.</w:t>
      </w:r>
    </w:p>
    <w:p w14:paraId="235888CB" w14:textId="77777777" w:rsidR="00045599" w:rsidRDefault="00000000">
      <w:pPr>
        <w:numPr>
          <w:ilvl w:val="1"/>
          <w:numId w:val="11"/>
        </w:numPr>
        <w:pBdr>
          <w:top w:val="nil"/>
          <w:left w:val="nil"/>
          <w:bottom w:val="nil"/>
          <w:right w:val="nil"/>
          <w:between w:val="nil"/>
        </w:pBdr>
        <w:spacing w:after="120" w:line="275" w:lineRule="auto"/>
      </w:pPr>
      <w:r>
        <w:rPr>
          <w:rFonts w:ascii="Google Sans" w:eastAsia="Google Sans" w:hAnsi="Google Sans" w:cs="Google Sans"/>
          <w:color w:val="1F1F1F"/>
        </w:rPr>
        <w:t>Current rent levels: the 2021 dataset shows relative city rankings, not today's prices.</w:t>
      </w:r>
    </w:p>
    <w:p w14:paraId="1684A3B3" w14:textId="77777777" w:rsidR="00045599" w:rsidRDefault="00000000">
      <w:pPr>
        <w:numPr>
          <w:ilvl w:val="1"/>
          <w:numId w:val="11"/>
        </w:numPr>
        <w:pBdr>
          <w:top w:val="nil"/>
          <w:left w:val="nil"/>
          <w:bottom w:val="nil"/>
          <w:right w:val="nil"/>
          <w:between w:val="nil"/>
        </w:pBdr>
        <w:spacing w:after="120" w:line="275" w:lineRule="auto"/>
      </w:pPr>
      <w:r>
        <w:rPr>
          <w:rFonts w:ascii="Google Sans" w:eastAsia="Google Sans" w:hAnsi="Google Sans" w:cs="Google Sans"/>
          <w:color w:val="1F1F1F"/>
        </w:rPr>
        <w:t>Al-Khobar-specific growth: the research reports it only as similar to Dammam.</w:t>
      </w:r>
    </w:p>
    <w:p w14:paraId="7988B63B" w14:textId="77777777" w:rsidR="00045599" w:rsidRDefault="00000000">
      <w:pPr>
        <w:pStyle w:val="Heading2"/>
        <w:spacing w:before="120" w:after="120" w:line="275" w:lineRule="auto"/>
        <w:rPr>
          <w:rFonts w:ascii="Google Sans" w:eastAsia="Google Sans" w:hAnsi="Google Sans" w:cs="Google Sans"/>
          <w:color w:val="1F1F1F"/>
        </w:rPr>
      </w:pPr>
      <w:r>
        <w:lastRenderedPageBreak/>
        <w:pict w14:anchorId="25C9AFE3">
          <v:rect id="_x0000_i1033" style="width:0;height:1.5pt" o:hralign="center" o:hrstd="t" o:hr="t" fillcolor="#a0a0a0" stroked="f"/>
        </w:pict>
      </w:r>
      <w:r>
        <w:rPr>
          <w:rFonts w:ascii="Google Sans" w:eastAsia="Google Sans" w:hAnsi="Google Sans" w:cs="Google Sans"/>
          <w:color w:val="1F1F1F"/>
        </w:rPr>
        <w:t>9. Summary for Leadership</w:t>
      </w:r>
    </w:p>
    <w:p w14:paraId="0CC3FC15" w14:textId="77777777" w:rsidR="00045599" w:rsidRDefault="00000000">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Provide a concise executive summary (5–7 sentences).</w:t>
      </w:r>
    </w:p>
    <w:p w14:paraId="55AA74D7" w14:textId="77777777" w:rsidR="00045599"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Executive Summary:</w:t>
      </w:r>
    </w:p>
    <w:p w14:paraId="07513353" w14:textId="77777777" w:rsidR="00045599" w:rsidRDefault="00000000">
      <w:pPr>
        <w:pBdr>
          <w:top w:val="nil"/>
          <w:left w:val="nil"/>
          <w:bottom w:val="nil"/>
          <w:right w:val="nil"/>
          <w:between w:val="nil"/>
        </w:pBdr>
        <w:spacing w:after="240" w:line="275" w:lineRule="auto"/>
        <w:ind w:left="480" w:right="600"/>
        <w:rPr>
          <w:rFonts w:ascii="Google Sans" w:eastAsia="Google Sans" w:hAnsi="Google Sans" w:cs="Google Sans"/>
          <w:color w:val="1F1F1F"/>
        </w:rPr>
      </w:pPr>
      <w:r>
        <w:rPr>
          <w:rFonts w:ascii="Google Sans" w:eastAsia="Google Sans" w:hAnsi="Google Sans" w:cs="Google Sans"/>
          <w:color w:val="1F1F1F"/>
        </w:rPr>
        <w:t xml:space="preserve">Based on 2021 rental listing data and 2025-2026 market research, Dammam and Al-Khobar are the most favorable cities for a residential rental investor to evaluate first, not yet to invest in. They combine lower 2021 median rents (about SAR 60K-75K, implying lower revenue per unit), steady 2-3% annual growth, no rent freeze, unrestricted foreign ownership, and the smallest regional supply pipeline, with low institutional competition. Riyadh has the strongest demand but is constrained by a legally binding five-year rent freeze (high confidence it exists, medium confidence on its impact), while Jeddah has the highest dataset rents but needs Jeddah-specific supply data because the 382,500-unit pipeline covers </w:t>
      </w:r>
      <w:proofErr w:type="gramStart"/>
      <w:r>
        <w:rPr>
          <w:rFonts w:ascii="Google Sans" w:eastAsia="Google Sans" w:hAnsi="Google Sans" w:cs="Google Sans"/>
          <w:color w:val="1F1F1F"/>
        </w:rPr>
        <w:t>all of</w:t>
      </w:r>
      <w:proofErr w:type="gramEnd"/>
      <w:r>
        <w:rPr>
          <w:rFonts w:ascii="Google Sans" w:eastAsia="Google Sans" w:hAnsi="Google Sans" w:cs="Google Sans"/>
          <w:color w:val="1F1F1F"/>
        </w:rPr>
        <w:t xml:space="preserve"> Western KSA. Overall confidence is Medium: the directional city ranking is reasonably supported, but rent levels date from 2021, competition evidence is qualitative, and only 1,521 of the 3,718 dataset listings are unique. The most important next step is to obtain current rent and purchase-price data for Dammam and Al-Khobar so this intelligence can be tested as an investable case.</w:t>
      </w:r>
    </w:p>
    <w:p w14:paraId="512ABB1D" w14:textId="77777777" w:rsidR="00045599" w:rsidRDefault="00000000">
      <w:pPr>
        <w:pStyle w:val="Heading2"/>
        <w:spacing w:before="120" w:after="120" w:line="275" w:lineRule="auto"/>
        <w:rPr>
          <w:rFonts w:ascii="Google Sans" w:eastAsia="Google Sans" w:hAnsi="Google Sans" w:cs="Google Sans"/>
          <w:color w:val="1F1F1F"/>
        </w:rPr>
      </w:pPr>
      <w:r>
        <w:pict w14:anchorId="456D611F">
          <v:rect id="_x0000_i1034" style="width:0;height:1.5pt" o:hralign="center" o:hrstd="t" o:hr="t" fillcolor="#a0a0a0" stroked="f"/>
        </w:pict>
      </w:r>
      <w:r>
        <w:rPr>
          <w:rFonts w:ascii="Google Sans" w:eastAsia="Google Sans" w:hAnsi="Google Sans" w:cs="Google Sans"/>
          <w:color w:val="1F1F1F"/>
        </w:rPr>
        <w:t>Appendix: Screenshot Evidence and Prompts</w:t>
      </w:r>
    </w:p>
    <w:p w14:paraId="6F5917B5" w14:textId="687C2C9B" w:rsidR="00045599"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Space link:</w:t>
      </w:r>
      <w:r>
        <w:rPr>
          <w:rFonts w:ascii="Google Sans" w:eastAsia="Google Sans" w:hAnsi="Google Sans" w:cs="Google Sans"/>
          <w:color w:val="1F1F1F"/>
        </w:rPr>
        <w:t xml:space="preserve"> </w:t>
      </w:r>
      <w:r w:rsidR="00825B7D" w:rsidRPr="00825B7D">
        <w:rPr>
          <w:rFonts w:ascii="Google Sans" w:eastAsia="Google Sans" w:hAnsi="Google Sans" w:cs="Google Sans"/>
          <w:color w:val="1F1F1F"/>
        </w:rPr>
        <w:t>us-west-2.quicksight.aws.amazon.com/sn/account/UdacityQuicksightLab/spaces/3664cf27-bb2f-433f-b632-ddc4a85d24ee</w:t>
      </w:r>
      <w:r w:rsidR="00825B7D">
        <w:rPr>
          <w:rFonts w:ascii="Google Sans" w:eastAsia="Google Sans" w:hAnsi="Google Sans" w:cs="Google Sans"/>
          <w:color w:val="1F1F1F"/>
        </w:rPr>
        <w:t xml:space="preserve"> </w:t>
      </w:r>
    </w:p>
    <w:p w14:paraId="47D3518E" w14:textId="77777777" w:rsidR="00825B7D" w:rsidRDefault="00825B7D">
      <w:pPr>
        <w:pBdr>
          <w:top w:val="nil"/>
          <w:left w:val="nil"/>
          <w:bottom w:val="nil"/>
          <w:right w:val="nil"/>
          <w:between w:val="nil"/>
        </w:pBdr>
        <w:spacing w:after="240" w:line="275" w:lineRule="auto"/>
        <w:rPr>
          <w:rFonts w:ascii="Google Sans" w:eastAsia="Google Sans" w:hAnsi="Google Sans" w:cs="Google Sans"/>
          <w:color w:val="1F1F1F"/>
        </w:rPr>
      </w:pPr>
    </w:p>
    <w:p w14:paraId="5FB8EAE7" w14:textId="77777777" w:rsidR="00825B7D" w:rsidRDefault="00825B7D">
      <w:pPr>
        <w:pBdr>
          <w:top w:val="nil"/>
          <w:left w:val="nil"/>
          <w:bottom w:val="nil"/>
          <w:right w:val="nil"/>
          <w:between w:val="nil"/>
        </w:pBdr>
        <w:spacing w:after="240" w:line="275" w:lineRule="auto"/>
        <w:rPr>
          <w:rFonts w:ascii="Google Sans" w:eastAsia="Google Sans" w:hAnsi="Google Sans" w:cs="Google Sans"/>
          <w:color w:val="1F1F1F"/>
        </w:rPr>
      </w:pPr>
    </w:p>
    <w:p w14:paraId="4E3CA885" w14:textId="77777777" w:rsidR="00825B7D" w:rsidRDefault="00825B7D">
      <w:pPr>
        <w:pBdr>
          <w:top w:val="nil"/>
          <w:left w:val="nil"/>
          <w:bottom w:val="nil"/>
          <w:right w:val="nil"/>
          <w:between w:val="nil"/>
        </w:pBdr>
        <w:spacing w:after="240" w:line="275" w:lineRule="auto"/>
        <w:rPr>
          <w:rFonts w:ascii="Google Sans" w:eastAsia="Google Sans" w:hAnsi="Google Sans" w:cs="Google Sans"/>
          <w:color w:val="1F1F1F"/>
        </w:rPr>
      </w:pPr>
    </w:p>
    <w:p w14:paraId="64C2F8A1" w14:textId="77777777" w:rsidR="00825B7D" w:rsidRDefault="00825B7D">
      <w:pPr>
        <w:pBdr>
          <w:top w:val="nil"/>
          <w:left w:val="nil"/>
          <w:bottom w:val="nil"/>
          <w:right w:val="nil"/>
          <w:between w:val="nil"/>
        </w:pBdr>
        <w:spacing w:after="240" w:line="275" w:lineRule="auto"/>
        <w:rPr>
          <w:rFonts w:ascii="Google Sans" w:eastAsia="Google Sans" w:hAnsi="Google Sans" w:cs="Google Sans"/>
          <w:color w:val="1F1F1F"/>
        </w:rPr>
      </w:pPr>
    </w:p>
    <w:p w14:paraId="0B7D6A6E" w14:textId="77777777" w:rsidR="00825B7D" w:rsidRDefault="00825B7D">
      <w:pPr>
        <w:pBdr>
          <w:top w:val="nil"/>
          <w:left w:val="nil"/>
          <w:bottom w:val="nil"/>
          <w:right w:val="nil"/>
          <w:between w:val="nil"/>
        </w:pBdr>
        <w:spacing w:after="240" w:line="275" w:lineRule="auto"/>
        <w:rPr>
          <w:rFonts w:ascii="Google Sans" w:eastAsia="Google Sans" w:hAnsi="Google Sans" w:cs="Google Sans"/>
          <w:color w:val="1F1F1F"/>
        </w:rPr>
      </w:pPr>
    </w:p>
    <w:p w14:paraId="7F8B0367" w14:textId="77777777" w:rsidR="00825B7D" w:rsidRDefault="00825B7D">
      <w:pPr>
        <w:pBdr>
          <w:top w:val="nil"/>
          <w:left w:val="nil"/>
          <w:bottom w:val="nil"/>
          <w:right w:val="nil"/>
          <w:between w:val="nil"/>
        </w:pBdr>
        <w:spacing w:after="240" w:line="275" w:lineRule="auto"/>
        <w:rPr>
          <w:rFonts w:ascii="Google Sans" w:eastAsia="Google Sans" w:hAnsi="Google Sans" w:cs="Google Sans"/>
          <w:color w:val="1F1F1F"/>
        </w:rPr>
      </w:pPr>
    </w:p>
    <w:p w14:paraId="30074B3C" w14:textId="77777777" w:rsidR="00825B7D" w:rsidRDefault="00825B7D">
      <w:pPr>
        <w:pBdr>
          <w:top w:val="nil"/>
          <w:left w:val="nil"/>
          <w:bottom w:val="nil"/>
          <w:right w:val="nil"/>
          <w:between w:val="nil"/>
        </w:pBdr>
        <w:spacing w:after="240" w:line="275" w:lineRule="auto"/>
        <w:rPr>
          <w:rFonts w:ascii="Google Sans" w:eastAsia="Google Sans" w:hAnsi="Google Sans" w:cs="Google Sans"/>
          <w:color w:val="1F1F1F"/>
        </w:rPr>
      </w:pPr>
    </w:p>
    <w:p w14:paraId="3C37B505" w14:textId="24BBD4B2" w:rsidR="00825B7D" w:rsidRPr="00825B7D" w:rsidRDefault="00825B7D" w:rsidP="00825B7D">
      <w:pPr>
        <w:pBdr>
          <w:top w:val="nil"/>
          <w:left w:val="nil"/>
          <w:bottom w:val="nil"/>
          <w:right w:val="nil"/>
          <w:between w:val="nil"/>
        </w:pBdr>
        <w:spacing w:after="240" w:line="275" w:lineRule="auto"/>
        <w:rPr>
          <w:rFonts w:ascii="Google Sans" w:eastAsia="Google Sans" w:hAnsi="Google Sans" w:cs="Google Sans"/>
          <w:color w:val="1F1F1F"/>
        </w:rPr>
      </w:pPr>
      <w:r>
        <w:rPr>
          <w:noProof/>
        </w:rPr>
        <w:lastRenderedPageBreak/>
        <w:drawing>
          <wp:anchor distT="0" distB="0" distL="114300" distR="114300" simplePos="0" relativeHeight="251658240" behindDoc="0" locked="0" layoutInCell="1" allowOverlap="1" wp14:anchorId="023272E5" wp14:editId="54DB7AFE">
            <wp:simplePos x="0" y="0"/>
            <wp:positionH relativeFrom="margin">
              <wp:align>right</wp:align>
            </wp:positionH>
            <wp:positionV relativeFrom="paragraph">
              <wp:posOffset>314960</wp:posOffset>
            </wp:positionV>
            <wp:extent cx="5943600" cy="2767965"/>
            <wp:effectExtent l="0" t="0" r="0" b="0"/>
            <wp:wrapSquare wrapText="bothSides"/>
            <wp:docPr id="11024913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491300" name="Picture 110249130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767965"/>
                    </a:xfrm>
                    <a:prstGeom prst="rect">
                      <a:avLst/>
                    </a:prstGeom>
                  </pic:spPr>
                </pic:pic>
              </a:graphicData>
            </a:graphic>
          </wp:anchor>
        </w:drawing>
      </w:r>
      <w:r w:rsidR="00000000">
        <w:rPr>
          <w:rFonts w:ascii="Google Sans" w:eastAsia="Google Sans" w:hAnsi="Google Sans" w:cs="Google Sans"/>
          <w:b/>
          <w:bCs/>
          <w:color w:val="1F1F1F"/>
        </w:rPr>
        <w:t>Figure 1:</w:t>
      </w:r>
      <w:r w:rsidR="00000000">
        <w:rPr>
          <w:rFonts w:ascii="Google Sans" w:eastAsia="Google Sans" w:hAnsi="Google Sans" w:cs="Google Sans"/>
          <w:color w:val="1F1F1F"/>
        </w:rPr>
        <w:t xml:space="preserve"> Space created with the dataset uploaded (status: Ready)</w:t>
      </w:r>
    </w:p>
    <w:p w14:paraId="4469B154" w14:textId="6E58FB44" w:rsidR="00825B7D" w:rsidRDefault="00825B7D">
      <w:pPr>
        <w:pBdr>
          <w:top w:val="nil"/>
          <w:left w:val="nil"/>
          <w:bottom w:val="nil"/>
          <w:right w:val="nil"/>
          <w:between w:val="nil"/>
        </w:pBdr>
        <w:spacing w:after="240" w:line="275" w:lineRule="auto"/>
        <w:rPr>
          <w:rFonts w:ascii="Google Sans" w:eastAsia="Google Sans" w:hAnsi="Google Sans" w:cs="Google Sans"/>
          <w:b/>
          <w:bCs/>
          <w:color w:val="1F1F1F"/>
        </w:rPr>
      </w:pPr>
    </w:p>
    <w:p w14:paraId="3BC4E9CB" w14:textId="77777777" w:rsidR="00825B7D" w:rsidRDefault="00825B7D">
      <w:pPr>
        <w:pBdr>
          <w:top w:val="nil"/>
          <w:left w:val="nil"/>
          <w:bottom w:val="nil"/>
          <w:right w:val="nil"/>
          <w:between w:val="nil"/>
        </w:pBdr>
        <w:spacing w:after="240" w:line="275" w:lineRule="auto"/>
        <w:rPr>
          <w:rFonts w:ascii="Google Sans" w:eastAsia="Google Sans" w:hAnsi="Google Sans" w:cs="Google Sans"/>
          <w:b/>
          <w:bCs/>
          <w:color w:val="1F1F1F"/>
        </w:rPr>
      </w:pPr>
    </w:p>
    <w:p w14:paraId="14C25709" w14:textId="77777777" w:rsidR="00825B7D" w:rsidRDefault="00825B7D">
      <w:pPr>
        <w:pBdr>
          <w:top w:val="nil"/>
          <w:left w:val="nil"/>
          <w:bottom w:val="nil"/>
          <w:right w:val="nil"/>
          <w:between w:val="nil"/>
        </w:pBdr>
        <w:spacing w:after="240" w:line="275" w:lineRule="auto"/>
        <w:rPr>
          <w:rFonts w:ascii="Google Sans" w:eastAsia="Google Sans" w:hAnsi="Google Sans" w:cs="Google Sans"/>
          <w:b/>
          <w:bCs/>
          <w:color w:val="1F1F1F"/>
        </w:rPr>
      </w:pPr>
    </w:p>
    <w:p w14:paraId="35C8D174" w14:textId="77777777" w:rsidR="00825B7D" w:rsidRDefault="00825B7D">
      <w:pPr>
        <w:pBdr>
          <w:top w:val="nil"/>
          <w:left w:val="nil"/>
          <w:bottom w:val="nil"/>
          <w:right w:val="nil"/>
          <w:between w:val="nil"/>
        </w:pBdr>
        <w:spacing w:after="240" w:line="275" w:lineRule="auto"/>
        <w:rPr>
          <w:rFonts w:ascii="Google Sans" w:eastAsia="Google Sans" w:hAnsi="Google Sans" w:cs="Google Sans"/>
          <w:b/>
          <w:bCs/>
          <w:color w:val="1F1F1F"/>
        </w:rPr>
      </w:pPr>
    </w:p>
    <w:p w14:paraId="5EF16AF5" w14:textId="77777777" w:rsidR="00825B7D" w:rsidRDefault="00825B7D">
      <w:pPr>
        <w:pBdr>
          <w:top w:val="nil"/>
          <w:left w:val="nil"/>
          <w:bottom w:val="nil"/>
          <w:right w:val="nil"/>
          <w:between w:val="nil"/>
        </w:pBdr>
        <w:spacing w:after="240" w:line="275" w:lineRule="auto"/>
        <w:rPr>
          <w:rFonts w:ascii="Google Sans" w:eastAsia="Google Sans" w:hAnsi="Google Sans" w:cs="Google Sans"/>
          <w:b/>
          <w:bCs/>
          <w:color w:val="1F1F1F"/>
        </w:rPr>
      </w:pPr>
    </w:p>
    <w:p w14:paraId="34FDB2E6" w14:textId="77777777" w:rsidR="00825B7D" w:rsidRDefault="00825B7D">
      <w:pPr>
        <w:pBdr>
          <w:top w:val="nil"/>
          <w:left w:val="nil"/>
          <w:bottom w:val="nil"/>
          <w:right w:val="nil"/>
          <w:between w:val="nil"/>
        </w:pBdr>
        <w:spacing w:after="240" w:line="275" w:lineRule="auto"/>
        <w:rPr>
          <w:rFonts w:ascii="Google Sans" w:eastAsia="Google Sans" w:hAnsi="Google Sans" w:cs="Google Sans"/>
          <w:b/>
          <w:bCs/>
          <w:color w:val="1F1F1F"/>
        </w:rPr>
      </w:pPr>
    </w:p>
    <w:p w14:paraId="36CAA4EB" w14:textId="77777777" w:rsidR="00825B7D" w:rsidRDefault="00825B7D">
      <w:pPr>
        <w:pBdr>
          <w:top w:val="nil"/>
          <w:left w:val="nil"/>
          <w:bottom w:val="nil"/>
          <w:right w:val="nil"/>
          <w:between w:val="nil"/>
        </w:pBdr>
        <w:spacing w:after="240" w:line="275" w:lineRule="auto"/>
        <w:rPr>
          <w:rFonts w:ascii="Google Sans" w:eastAsia="Google Sans" w:hAnsi="Google Sans" w:cs="Google Sans"/>
          <w:b/>
          <w:bCs/>
          <w:color w:val="1F1F1F"/>
        </w:rPr>
      </w:pPr>
    </w:p>
    <w:p w14:paraId="16184A24" w14:textId="77777777" w:rsidR="00825B7D" w:rsidRDefault="00825B7D">
      <w:pPr>
        <w:pBdr>
          <w:top w:val="nil"/>
          <w:left w:val="nil"/>
          <w:bottom w:val="nil"/>
          <w:right w:val="nil"/>
          <w:between w:val="nil"/>
        </w:pBdr>
        <w:spacing w:after="240" w:line="275" w:lineRule="auto"/>
        <w:rPr>
          <w:rFonts w:ascii="Google Sans" w:eastAsia="Google Sans" w:hAnsi="Google Sans" w:cs="Google Sans"/>
          <w:b/>
          <w:bCs/>
          <w:color w:val="1F1F1F"/>
        </w:rPr>
      </w:pPr>
    </w:p>
    <w:p w14:paraId="2231BAA2" w14:textId="77777777" w:rsidR="00825B7D" w:rsidRDefault="00825B7D">
      <w:pPr>
        <w:pBdr>
          <w:top w:val="nil"/>
          <w:left w:val="nil"/>
          <w:bottom w:val="nil"/>
          <w:right w:val="nil"/>
          <w:between w:val="nil"/>
        </w:pBdr>
        <w:spacing w:after="240" w:line="275" w:lineRule="auto"/>
        <w:rPr>
          <w:rFonts w:ascii="Google Sans" w:eastAsia="Google Sans" w:hAnsi="Google Sans" w:cs="Google Sans"/>
          <w:b/>
          <w:bCs/>
          <w:color w:val="1F1F1F"/>
        </w:rPr>
      </w:pPr>
    </w:p>
    <w:p w14:paraId="4D70DC9D" w14:textId="77777777" w:rsidR="00825B7D" w:rsidRDefault="00825B7D">
      <w:pPr>
        <w:pBdr>
          <w:top w:val="nil"/>
          <w:left w:val="nil"/>
          <w:bottom w:val="nil"/>
          <w:right w:val="nil"/>
          <w:between w:val="nil"/>
        </w:pBdr>
        <w:spacing w:after="240" w:line="275" w:lineRule="auto"/>
        <w:rPr>
          <w:rFonts w:ascii="Google Sans" w:eastAsia="Google Sans" w:hAnsi="Google Sans" w:cs="Google Sans"/>
          <w:b/>
          <w:bCs/>
          <w:color w:val="1F1F1F"/>
        </w:rPr>
      </w:pPr>
    </w:p>
    <w:p w14:paraId="225A774A" w14:textId="77777777" w:rsidR="00825B7D" w:rsidRDefault="00825B7D">
      <w:pPr>
        <w:pBdr>
          <w:top w:val="nil"/>
          <w:left w:val="nil"/>
          <w:bottom w:val="nil"/>
          <w:right w:val="nil"/>
          <w:between w:val="nil"/>
        </w:pBdr>
        <w:spacing w:after="240" w:line="275" w:lineRule="auto"/>
        <w:rPr>
          <w:rFonts w:ascii="Google Sans" w:eastAsia="Google Sans" w:hAnsi="Google Sans" w:cs="Google Sans"/>
          <w:b/>
          <w:bCs/>
          <w:color w:val="1F1F1F"/>
        </w:rPr>
      </w:pPr>
    </w:p>
    <w:p w14:paraId="09C247E3" w14:textId="77777777" w:rsidR="00825B7D" w:rsidRDefault="00825B7D">
      <w:pPr>
        <w:pBdr>
          <w:top w:val="nil"/>
          <w:left w:val="nil"/>
          <w:bottom w:val="nil"/>
          <w:right w:val="nil"/>
          <w:between w:val="nil"/>
        </w:pBdr>
        <w:spacing w:after="240" w:line="275" w:lineRule="auto"/>
        <w:rPr>
          <w:rFonts w:ascii="Google Sans" w:eastAsia="Google Sans" w:hAnsi="Google Sans" w:cs="Google Sans"/>
          <w:b/>
          <w:bCs/>
          <w:color w:val="1F1F1F"/>
        </w:rPr>
      </w:pPr>
    </w:p>
    <w:p w14:paraId="7AC3EF2B" w14:textId="77777777" w:rsidR="00825B7D" w:rsidRDefault="00825B7D">
      <w:pPr>
        <w:pBdr>
          <w:top w:val="nil"/>
          <w:left w:val="nil"/>
          <w:bottom w:val="nil"/>
          <w:right w:val="nil"/>
          <w:between w:val="nil"/>
        </w:pBdr>
        <w:spacing w:after="240" w:line="275" w:lineRule="auto"/>
        <w:rPr>
          <w:rFonts w:ascii="Google Sans" w:eastAsia="Google Sans" w:hAnsi="Google Sans" w:cs="Google Sans"/>
          <w:b/>
          <w:bCs/>
          <w:color w:val="1F1F1F"/>
        </w:rPr>
      </w:pPr>
    </w:p>
    <w:p w14:paraId="2FE4A90E" w14:textId="77777777" w:rsidR="00825B7D" w:rsidRDefault="00825B7D">
      <w:pPr>
        <w:pBdr>
          <w:top w:val="nil"/>
          <w:left w:val="nil"/>
          <w:bottom w:val="nil"/>
          <w:right w:val="nil"/>
          <w:between w:val="nil"/>
        </w:pBdr>
        <w:spacing w:after="240" w:line="275" w:lineRule="auto"/>
        <w:rPr>
          <w:rFonts w:ascii="Google Sans" w:eastAsia="Google Sans" w:hAnsi="Google Sans" w:cs="Google Sans"/>
          <w:b/>
          <w:bCs/>
          <w:color w:val="1F1F1F"/>
        </w:rPr>
      </w:pPr>
    </w:p>
    <w:p w14:paraId="45E67C6A" w14:textId="5871E71B" w:rsidR="00825B7D" w:rsidRDefault="00825B7D">
      <w:pPr>
        <w:pBdr>
          <w:top w:val="nil"/>
          <w:left w:val="nil"/>
          <w:bottom w:val="nil"/>
          <w:right w:val="nil"/>
          <w:between w:val="nil"/>
        </w:pBdr>
        <w:spacing w:after="240" w:line="275" w:lineRule="auto"/>
        <w:rPr>
          <w:rFonts w:ascii="Google Sans" w:eastAsia="Google Sans" w:hAnsi="Google Sans" w:cs="Google Sans"/>
          <w:b/>
          <w:bCs/>
          <w:color w:val="1F1F1F"/>
        </w:rPr>
      </w:pPr>
    </w:p>
    <w:p w14:paraId="7DAC582F" w14:textId="7C64E65D" w:rsidR="00045599"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lastRenderedPageBreak/>
        <w:t>Figure 2:</w:t>
      </w:r>
      <w:r>
        <w:rPr>
          <w:rFonts w:ascii="Google Sans" w:eastAsia="Google Sans" w:hAnsi="Google Sans" w:cs="Google Sans"/>
          <w:color w:val="1F1F1F"/>
        </w:rPr>
        <w:t xml:space="preserve"> Market Intelligence Agent - Saudi Rental Housing: configuration with purpose, rules, and the Space as knowledge source</w:t>
      </w:r>
    </w:p>
    <w:p w14:paraId="03C7EC5C" w14:textId="27C334B4" w:rsidR="00825B7D" w:rsidRDefault="00825B7D">
      <w:pPr>
        <w:pBdr>
          <w:top w:val="nil"/>
          <w:left w:val="nil"/>
          <w:bottom w:val="nil"/>
          <w:right w:val="nil"/>
          <w:between w:val="nil"/>
        </w:pBdr>
        <w:spacing w:after="240" w:line="275" w:lineRule="auto"/>
        <w:rPr>
          <w:rFonts w:ascii="Google Sans" w:eastAsia="Google Sans" w:hAnsi="Google Sans" w:cs="Google Sans"/>
          <w:color w:val="1F1F1F"/>
        </w:rPr>
      </w:pPr>
      <w:r>
        <w:rPr>
          <w:noProof/>
        </w:rPr>
        <w:drawing>
          <wp:inline distT="0" distB="0" distL="0" distR="0" wp14:anchorId="06C9A879" wp14:editId="47D1C8E5">
            <wp:extent cx="5943600" cy="3068955"/>
            <wp:effectExtent l="0" t="0" r="0" b="0"/>
            <wp:docPr id="359025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025698" name=""/>
                    <pic:cNvPicPr/>
                  </pic:nvPicPr>
                  <pic:blipFill>
                    <a:blip r:embed="rId6"/>
                    <a:stretch>
                      <a:fillRect/>
                    </a:stretch>
                  </pic:blipFill>
                  <pic:spPr>
                    <a:xfrm>
                      <a:off x="0" y="0"/>
                      <a:ext cx="5943600" cy="3068955"/>
                    </a:xfrm>
                    <a:prstGeom prst="rect">
                      <a:avLst/>
                    </a:prstGeom>
                  </pic:spPr>
                </pic:pic>
              </a:graphicData>
            </a:graphic>
          </wp:inline>
        </w:drawing>
      </w:r>
    </w:p>
    <w:p w14:paraId="2272C8EF" w14:textId="77777777" w:rsidR="00825B7D" w:rsidRDefault="00825B7D">
      <w:pPr>
        <w:pBdr>
          <w:top w:val="nil"/>
          <w:left w:val="nil"/>
          <w:bottom w:val="nil"/>
          <w:right w:val="nil"/>
          <w:between w:val="nil"/>
        </w:pBdr>
        <w:spacing w:after="240" w:line="275" w:lineRule="auto"/>
        <w:rPr>
          <w:rFonts w:ascii="Google Sans" w:eastAsia="Google Sans" w:hAnsi="Google Sans" w:cs="Google Sans"/>
          <w:b/>
          <w:bCs/>
          <w:color w:val="1F1F1F"/>
        </w:rPr>
      </w:pPr>
      <w:r w:rsidRPr="00585CB2">
        <w:rPr>
          <w:noProof/>
        </w:rPr>
        <w:drawing>
          <wp:inline distT="0" distB="0" distL="0" distR="0" wp14:anchorId="6B2C44AE" wp14:editId="50B81473">
            <wp:extent cx="5943600" cy="2766060"/>
            <wp:effectExtent l="0" t="0" r="0" b="0"/>
            <wp:docPr id="299575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575825" name=""/>
                    <pic:cNvPicPr/>
                  </pic:nvPicPr>
                  <pic:blipFill>
                    <a:blip r:embed="rId7"/>
                    <a:stretch>
                      <a:fillRect/>
                    </a:stretch>
                  </pic:blipFill>
                  <pic:spPr>
                    <a:xfrm>
                      <a:off x="0" y="0"/>
                      <a:ext cx="5943600" cy="2766060"/>
                    </a:xfrm>
                    <a:prstGeom prst="rect">
                      <a:avLst/>
                    </a:prstGeom>
                  </pic:spPr>
                </pic:pic>
              </a:graphicData>
            </a:graphic>
          </wp:inline>
        </w:drawing>
      </w:r>
    </w:p>
    <w:p w14:paraId="2A0E8E50" w14:textId="77777777" w:rsidR="00825B7D" w:rsidRDefault="00825B7D">
      <w:pPr>
        <w:pBdr>
          <w:top w:val="nil"/>
          <w:left w:val="nil"/>
          <w:bottom w:val="nil"/>
          <w:right w:val="nil"/>
          <w:between w:val="nil"/>
        </w:pBdr>
        <w:spacing w:after="240" w:line="275" w:lineRule="auto"/>
        <w:rPr>
          <w:rFonts w:ascii="Google Sans" w:eastAsia="Google Sans" w:hAnsi="Google Sans" w:cs="Google Sans"/>
          <w:b/>
          <w:bCs/>
          <w:color w:val="1F1F1F"/>
        </w:rPr>
      </w:pPr>
    </w:p>
    <w:p w14:paraId="58F1EEF3" w14:textId="77777777" w:rsidR="00825B7D" w:rsidRDefault="00825B7D">
      <w:pPr>
        <w:pBdr>
          <w:top w:val="nil"/>
          <w:left w:val="nil"/>
          <w:bottom w:val="nil"/>
          <w:right w:val="nil"/>
          <w:between w:val="nil"/>
        </w:pBdr>
        <w:spacing w:after="240" w:line="275" w:lineRule="auto"/>
        <w:rPr>
          <w:rFonts w:ascii="Google Sans" w:eastAsia="Google Sans" w:hAnsi="Google Sans" w:cs="Google Sans"/>
          <w:b/>
          <w:bCs/>
          <w:color w:val="1F1F1F"/>
        </w:rPr>
      </w:pPr>
    </w:p>
    <w:p w14:paraId="5536AED7" w14:textId="77777777" w:rsidR="00825B7D" w:rsidRDefault="00825B7D">
      <w:pPr>
        <w:pBdr>
          <w:top w:val="nil"/>
          <w:left w:val="nil"/>
          <w:bottom w:val="nil"/>
          <w:right w:val="nil"/>
          <w:between w:val="nil"/>
        </w:pBdr>
        <w:spacing w:after="240" w:line="275" w:lineRule="auto"/>
        <w:rPr>
          <w:rFonts w:ascii="Google Sans" w:eastAsia="Google Sans" w:hAnsi="Google Sans" w:cs="Google Sans"/>
          <w:b/>
          <w:bCs/>
          <w:color w:val="1F1F1F"/>
        </w:rPr>
      </w:pPr>
    </w:p>
    <w:p w14:paraId="43979F4B" w14:textId="77777777" w:rsidR="00825B7D" w:rsidRDefault="00825B7D">
      <w:pPr>
        <w:pBdr>
          <w:top w:val="nil"/>
          <w:left w:val="nil"/>
          <w:bottom w:val="nil"/>
          <w:right w:val="nil"/>
          <w:between w:val="nil"/>
        </w:pBdr>
        <w:spacing w:after="240" w:line="275" w:lineRule="auto"/>
        <w:rPr>
          <w:rFonts w:ascii="Google Sans" w:eastAsia="Google Sans" w:hAnsi="Google Sans" w:cs="Google Sans"/>
          <w:b/>
          <w:bCs/>
          <w:color w:val="1F1F1F"/>
        </w:rPr>
      </w:pPr>
    </w:p>
    <w:p w14:paraId="7E66F439" w14:textId="40F56D66" w:rsidR="00045599"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lastRenderedPageBreak/>
        <w:t>Figure 3:</w:t>
      </w:r>
      <w:r>
        <w:rPr>
          <w:rFonts w:ascii="Google Sans" w:eastAsia="Google Sans" w:hAnsi="Google Sans" w:cs="Google Sans"/>
          <w:color w:val="1F1F1F"/>
        </w:rPr>
        <w:t xml:space="preserve"> Agent test query: median annual rent by city from the dataset</w:t>
      </w:r>
    </w:p>
    <w:p w14:paraId="25201EF3" w14:textId="77777777" w:rsidR="00825B7D" w:rsidRDefault="00825B7D">
      <w:pPr>
        <w:pBdr>
          <w:top w:val="nil"/>
          <w:left w:val="nil"/>
          <w:bottom w:val="nil"/>
          <w:right w:val="nil"/>
          <w:between w:val="nil"/>
        </w:pBdr>
        <w:spacing w:after="240" w:line="275" w:lineRule="auto"/>
        <w:rPr>
          <w:rFonts w:ascii="Google Sans" w:eastAsia="Google Sans" w:hAnsi="Google Sans" w:cs="Google Sans"/>
          <w:b/>
          <w:bCs/>
          <w:color w:val="1F1F1F"/>
        </w:rPr>
      </w:pPr>
      <w:r w:rsidRPr="007A2AED">
        <w:rPr>
          <w:noProof/>
        </w:rPr>
        <w:drawing>
          <wp:inline distT="0" distB="0" distL="0" distR="0" wp14:anchorId="5EFC837D" wp14:editId="184D2D9A">
            <wp:extent cx="2991621" cy="5457109"/>
            <wp:effectExtent l="0" t="0" r="0" b="0"/>
            <wp:docPr id="1774946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946218" name=""/>
                    <pic:cNvPicPr/>
                  </pic:nvPicPr>
                  <pic:blipFill rotWithShape="1">
                    <a:blip r:embed="rId8" cstate="print">
                      <a:extLst>
                        <a:ext uri="{28A0092B-C50C-407E-A947-70E740481C1C}">
                          <a14:useLocalDpi xmlns:a14="http://schemas.microsoft.com/office/drawing/2010/main" val="0"/>
                        </a:ext>
                      </a:extLst>
                    </a:blip>
                    <a:srcRect t="6259" b="21730"/>
                    <a:stretch>
                      <a:fillRect/>
                    </a:stretch>
                  </pic:blipFill>
                  <pic:spPr bwMode="auto">
                    <a:xfrm>
                      <a:off x="0" y="0"/>
                      <a:ext cx="3000298" cy="5472938"/>
                    </a:xfrm>
                    <a:prstGeom prst="rect">
                      <a:avLst/>
                    </a:prstGeom>
                    <a:ln>
                      <a:noFill/>
                    </a:ln>
                    <a:extLst>
                      <a:ext uri="{53640926-AAD7-44D8-BBD7-CCE9431645EC}">
                        <a14:shadowObscured xmlns:a14="http://schemas.microsoft.com/office/drawing/2010/main"/>
                      </a:ext>
                    </a:extLst>
                  </pic:spPr>
                </pic:pic>
              </a:graphicData>
            </a:graphic>
          </wp:inline>
        </w:drawing>
      </w:r>
    </w:p>
    <w:p w14:paraId="013988AE" w14:textId="77777777" w:rsidR="00825B7D" w:rsidRDefault="00825B7D">
      <w:pPr>
        <w:pBdr>
          <w:top w:val="nil"/>
          <w:left w:val="nil"/>
          <w:bottom w:val="nil"/>
          <w:right w:val="nil"/>
          <w:between w:val="nil"/>
        </w:pBdr>
        <w:spacing w:after="240" w:line="275" w:lineRule="auto"/>
        <w:rPr>
          <w:rFonts w:ascii="Google Sans" w:eastAsia="Google Sans" w:hAnsi="Google Sans" w:cs="Google Sans"/>
          <w:b/>
          <w:bCs/>
          <w:color w:val="1F1F1F"/>
        </w:rPr>
      </w:pPr>
    </w:p>
    <w:p w14:paraId="1EFEA117" w14:textId="77777777" w:rsidR="00825B7D" w:rsidRDefault="00825B7D">
      <w:pPr>
        <w:pBdr>
          <w:top w:val="nil"/>
          <w:left w:val="nil"/>
          <w:bottom w:val="nil"/>
          <w:right w:val="nil"/>
          <w:between w:val="nil"/>
        </w:pBdr>
        <w:spacing w:after="240" w:line="275" w:lineRule="auto"/>
        <w:rPr>
          <w:rFonts w:ascii="Google Sans" w:eastAsia="Google Sans" w:hAnsi="Google Sans" w:cs="Google Sans"/>
          <w:b/>
          <w:bCs/>
          <w:color w:val="1F1F1F"/>
        </w:rPr>
      </w:pPr>
    </w:p>
    <w:p w14:paraId="49E8293E" w14:textId="77777777" w:rsidR="00825B7D" w:rsidRDefault="00825B7D">
      <w:pPr>
        <w:pBdr>
          <w:top w:val="nil"/>
          <w:left w:val="nil"/>
          <w:bottom w:val="nil"/>
          <w:right w:val="nil"/>
          <w:between w:val="nil"/>
        </w:pBdr>
        <w:spacing w:after="240" w:line="275" w:lineRule="auto"/>
        <w:rPr>
          <w:rFonts w:ascii="Google Sans" w:eastAsia="Google Sans" w:hAnsi="Google Sans" w:cs="Google Sans"/>
          <w:b/>
          <w:bCs/>
          <w:color w:val="1F1F1F"/>
        </w:rPr>
      </w:pPr>
    </w:p>
    <w:p w14:paraId="3E7A0876" w14:textId="77777777" w:rsidR="00825B7D" w:rsidRDefault="00825B7D">
      <w:pPr>
        <w:pBdr>
          <w:top w:val="nil"/>
          <w:left w:val="nil"/>
          <w:bottom w:val="nil"/>
          <w:right w:val="nil"/>
          <w:between w:val="nil"/>
        </w:pBdr>
        <w:spacing w:after="240" w:line="275" w:lineRule="auto"/>
        <w:rPr>
          <w:rFonts w:ascii="Google Sans" w:eastAsia="Google Sans" w:hAnsi="Google Sans" w:cs="Google Sans"/>
          <w:b/>
          <w:bCs/>
          <w:color w:val="1F1F1F"/>
        </w:rPr>
      </w:pPr>
    </w:p>
    <w:p w14:paraId="1A7B2930" w14:textId="77777777" w:rsidR="00825B7D" w:rsidRDefault="00825B7D">
      <w:pPr>
        <w:pBdr>
          <w:top w:val="nil"/>
          <w:left w:val="nil"/>
          <w:bottom w:val="nil"/>
          <w:right w:val="nil"/>
          <w:between w:val="nil"/>
        </w:pBdr>
        <w:spacing w:after="240" w:line="275" w:lineRule="auto"/>
        <w:rPr>
          <w:rFonts w:ascii="Google Sans" w:eastAsia="Google Sans" w:hAnsi="Google Sans" w:cs="Google Sans"/>
          <w:b/>
          <w:bCs/>
          <w:color w:val="1F1F1F"/>
        </w:rPr>
      </w:pPr>
    </w:p>
    <w:p w14:paraId="36B80AF8" w14:textId="77777777" w:rsidR="00825B7D" w:rsidRDefault="00825B7D">
      <w:pPr>
        <w:pBdr>
          <w:top w:val="nil"/>
          <w:left w:val="nil"/>
          <w:bottom w:val="nil"/>
          <w:right w:val="nil"/>
          <w:between w:val="nil"/>
        </w:pBdr>
        <w:spacing w:after="240" w:line="275" w:lineRule="auto"/>
        <w:rPr>
          <w:rFonts w:ascii="Google Sans" w:eastAsia="Google Sans" w:hAnsi="Google Sans" w:cs="Google Sans"/>
          <w:b/>
          <w:bCs/>
          <w:color w:val="1F1F1F"/>
        </w:rPr>
      </w:pPr>
    </w:p>
    <w:p w14:paraId="71531425" w14:textId="01E7DA8D" w:rsidR="00045599"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lastRenderedPageBreak/>
        <w:t>Figure 4:</w:t>
      </w:r>
      <w:r>
        <w:rPr>
          <w:rFonts w:ascii="Google Sans" w:eastAsia="Google Sans" w:hAnsi="Google Sans" w:cs="Google Sans"/>
          <w:color w:val="1F1F1F"/>
        </w:rPr>
        <w:t xml:space="preserve"> Quick Research plan: six topics (after two plan revisions)</w:t>
      </w:r>
    </w:p>
    <w:p w14:paraId="250815FD" w14:textId="77777777" w:rsidR="00825B7D" w:rsidRDefault="00825B7D">
      <w:pPr>
        <w:pBdr>
          <w:top w:val="nil"/>
          <w:left w:val="nil"/>
          <w:bottom w:val="nil"/>
          <w:right w:val="nil"/>
          <w:between w:val="nil"/>
        </w:pBdr>
        <w:spacing w:after="240" w:line="275" w:lineRule="auto"/>
        <w:rPr>
          <w:rFonts w:ascii="Google Sans" w:eastAsia="Google Sans" w:hAnsi="Google Sans" w:cs="Google Sans"/>
          <w:b/>
          <w:bCs/>
          <w:color w:val="1F1F1F"/>
        </w:rPr>
      </w:pPr>
      <w:r w:rsidRPr="0053464B">
        <w:rPr>
          <w:noProof/>
        </w:rPr>
        <w:drawing>
          <wp:inline distT="0" distB="0" distL="0" distR="0" wp14:anchorId="02BD2ED1" wp14:editId="61D1A853">
            <wp:extent cx="5943600" cy="3001010"/>
            <wp:effectExtent l="0" t="0" r="0" b="8890"/>
            <wp:docPr id="1749242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242701" name=""/>
                    <pic:cNvPicPr/>
                  </pic:nvPicPr>
                  <pic:blipFill>
                    <a:blip r:embed="rId9"/>
                    <a:stretch>
                      <a:fillRect/>
                    </a:stretch>
                  </pic:blipFill>
                  <pic:spPr>
                    <a:xfrm>
                      <a:off x="0" y="0"/>
                      <a:ext cx="5943600" cy="3001010"/>
                    </a:xfrm>
                    <a:prstGeom prst="rect">
                      <a:avLst/>
                    </a:prstGeom>
                  </pic:spPr>
                </pic:pic>
              </a:graphicData>
            </a:graphic>
          </wp:inline>
        </w:drawing>
      </w:r>
    </w:p>
    <w:p w14:paraId="6C0FEF72" w14:textId="43336074" w:rsidR="00045599"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Figure 5:</w:t>
      </w:r>
      <w:r>
        <w:rPr>
          <w:rFonts w:ascii="Google Sans" w:eastAsia="Google Sans" w:hAnsi="Google Sans" w:cs="Google Sans"/>
          <w:color w:val="1F1F1F"/>
        </w:rPr>
        <w:t xml:space="preserve"> Quick Research report: executive summary (captured 5 October 2026)</w:t>
      </w:r>
    </w:p>
    <w:p w14:paraId="2B9453B7" w14:textId="77777777" w:rsidR="00825B7D" w:rsidRDefault="00825B7D">
      <w:pPr>
        <w:pBdr>
          <w:top w:val="nil"/>
          <w:left w:val="nil"/>
          <w:bottom w:val="nil"/>
          <w:right w:val="nil"/>
          <w:between w:val="nil"/>
        </w:pBdr>
        <w:spacing w:after="240" w:line="275" w:lineRule="auto"/>
        <w:rPr>
          <w:rFonts w:ascii="Google Sans" w:eastAsia="Google Sans" w:hAnsi="Google Sans" w:cs="Google Sans"/>
          <w:b/>
          <w:bCs/>
          <w:color w:val="1F1F1F"/>
        </w:rPr>
      </w:pPr>
      <w:r w:rsidRPr="00D24158">
        <w:rPr>
          <w:noProof/>
        </w:rPr>
        <w:drawing>
          <wp:inline distT="0" distB="0" distL="0" distR="0" wp14:anchorId="7744A766" wp14:editId="009EBDFC">
            <wp:extent cx="5943600" cy="2996565"/>
            <wp:effectExtent l="0" t="0" r="0" b="0"/>
            <wp:docPr id="2054663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663939" name=""/>
                    <pic:cNvPicPr/>
                  </pic:nvPicPr>
                  <pic:blipFill>
                    <a:blip r:embed="rId10"/>
                    <a:stretch>
                      <a:fillRect/>
                    </a:stretch>
                  </pic:blipFill>
                  <pic:spPr>
                    <a:xfrm>
                      <a:off x="0" y="0"/>
                      <a:ext cx="5943600" cy="2996565"/>
                    </a:xfrm>
                    <a:prstGeom prst="rect">
                      <a:avLst/>
                    </a:prstGeom>
                  </pic:spPr>
                </pic:pic>
              </a:graphicData>
            </a:graphic>
          </wp:inline>
        </w:drawing>
      </w:r>
    </w:p>
    <w:p w14:paraId="17FD5E6C" w14:textId="77777777" w:rsidR="00825B7D" w:rsidRDefault="00825B7D">
      <w:pPr>
        <w:pBdr>
          <w:top w:val="nil"/>
          <w:left w:val="nil"/>
          <w:bottom w:val="nil"/>
          <w:right w:val="nil"/>
          <w:between w:val="nil"/>
        </w:pBdr>
        <w:spacing w:after="240" w:line="275" w:lineRule="auto"/>
        <w:rPr>
          <w:rFonts w:ascii="Google Sans" w:eastAsia="Google Sans" w:hAnsi="Google Sans" w:cs="Google Sans"/>
          <w:b/>
          <w:bCs/>
          <w:color w:val="1F1F1F"/>
        </w:rPr>
      </w:pPr>
    </w:p>
    <w:p w14:paraId="46082E76" w14:textId="77777777" w:rsidR="00825B7D" w:rsidRDefault="00825B7D">
      <w:pPr>
        <w:pBdr>
          <w:top w:val="nil"/>
          <w:left w:val="nil"/>
          <w:bottom w:val="nil"/>
          <w:right w:val="nil"/>
          <w:between w:val="nil"/>
        </w:pBdr>
        <w:spacing w:after="240" w:line="275" w:lineRule="auto"/>
        <w:rPr>
          <w:rFonts w:ascii="Google Sans" w:eastAsia="Google Sans" w:hAnsi="Google Sans" w:cs="Google Sans"/>
          <w:b/>
          <w:bCs/>
          <w:color w:val="1F1F1F"/>
        </w:rPr>
      </w:pPr>
    </w:p>
    <w:p w14:paraId="537B9253" w14:textId="77777777" w:rsidR="00825B7D" w:rsidRDefault="00825B7D">
      <w:pPr>
        <w:pBdr>
          <w:top w:val="nil"/>
          <w:left w:val="nil"/>
          <w:bottom w:val="nil"/>
          <w:right w:val="nil"/>
          <w:between w:val="nil"/>
        </w:pBdr>
        <w:spacing w:after="240" w:line="275" w:lineRule="auto"/>
        <w:rPr>
          <w:rFonts w:ascii="Google Sans" w:eastAsia="Google Sans" w:hAnsi="Google Sans" w:cs="Google Sans"/>
          <w:b/>
          <w:bCs/>
          <w:color w:val="1F1F1F"/>
        </w:rPr>
      </w:pPr>
    </w:p>
    <w:p w14:paraId="54999B99" w14:textId="42EB2F1F" w:rsidR="00045599"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lastRenderedPageBreak/>
        <w:t>Figure 6:</w:t>
      </w:r>
      <w:r>
        <w:rPr>
          <w:rFonts w:ascii="Google Sans" w:eastAsia="Google Sans" w:hAnsi="Google Sans" w:cs="Google Sans"/>
          <w:color w:val="1F1F1F"/>
        </w:rPr>
        <w:t xml:space="preserve"> Quick Research chart: Residential Rental Growth by City and Segment</w:t>
      </w:r>
    </w:p>
    <w:p w14:paraId="087911A3" w14:textId="77777777" w:rsidR="00825B7D" w:rsidRDefault="00825B7D">
      <w:pPr>
        <w:pBdr>
          <w:top w:val="nil"/>
          <w:left w:val="nil"/>
          <w:bottom w:val="nil"/>
          <w:right w:val="nil"/>
          <w:between w:val="nil"/>
        </w:pBdr>
        <w:spacing w:after="240" w:line="275" w:lineRule="auto"/>
        <w:rPr>
          <w:rFonts w:ascii="Google Sans" w:eastAsia="Google Sans" w:hAnsi="Google Sans" w:cs="Google Sans"/>
          <w:b/>
          <w:bCs/>
          <w:color w:val="1F1F1F"/>
        </w:rPr>
      </w:pPr>
      <w:r w:rsidRPr="00825B7D">
        <w:rPr>
          <w:rFonts w:ascii="Google Sans" w:eastAsia="Google Sans" w:hAnsi="Google Sans" w:cs="Google Sans"/>
          <w:i/>
          <w:iCs/>
          <w:color w:val="1F1F1F"/>
        </w:rPr>
        <w:drawing>
          <wp:inline distT="0" distB="0" distL="0" distR="0" wp14:anchorId="2C22909F" wp14:editId="3C9F6A24">
            <wp:extent cx="5943600" cy="2887345"/>
            <wp:effectExtent l="0" t="0" r="0" b="8255"/>
            <wp:docPr id="1285419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419816" name=""/>
                    <pic:cNvPicPr/>
                  </pic:nvPicPr>
                  <pic:blipFill>
                    <a:blip r:embed="rId11"/>
                    <a:stretch>
                      <a:fillRect/>
                    </a:stretch>
                  </pic:blipFill>
                  <pic:spPr>
                    <a:xfrm>
                      <a:off x="0" y="0"/>
                      <a:ext cx="5943600" cy="2887345"/>
                    </a:xfrm>
                    <a:prstGeom prst="rect">
                      <a:avLst/>
                    </a:prstGeom>
                  </pic:spPr>
                </pic:pic>
              </a:graphicData>
            </a:graphic>
          </wp:inline>
        </w:drawing>
      </w:r>
    </w:p>
    <w:p w14:paraId="35214CE4" w14:textId="348F0ABE" w:rsidR="00825B7D" w:rsidRDefault="00825B7D">
      <w:pPr>
        <w:pBdr>
          <w:top w:val="nil"/>
          <w:left w:val="nil"/>
          <w:bottom w:val="nil"/>
          <w:right w:val="nil"/>
          <w:between w:val="nil"/>
        </w:pBdr>
        <w:spacing w:after="240" w:line="275" w:lineRule="auto"/>
        <w:rPr>
          <w:rFonts w:ascii="Google Sans" w:eastAsia="Google Sans" w:hAnsi="Google Sans" w:cs="Google Sans"/>
          <w:b/>
          <w:bCs/>
          <w:color w:val="1F1F1F"/>
        </w:rPr>
      </w:pPr>
      <w:r w:rsidRPr="00825B7D">
        <w:rPr>
          <w:rFonts w:ascii="Google Sans" w:eastAsia="Google Sans" w:hAnsi="Google Sans" w:cs="Google Sans"/>
          <w:b/>
          <w:bCs/>
          <w:color w:val="1F1F1F"/>
        </w:rPr>
        <w:drawing>
          <wp:inline distT="0" distB="0" distL="0" distR="0" wp14:anchorId="6E9BE37A" wp14:editId="6D72B1F5">
            <wp:extent cx="5695992" cy="2724170"/>
            <wp:effectExtent l="0" t="0" r="0" b="0"/>
            <wp:docPr id="841860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860906" name=""/>
                    <pic:cNvPicPr/>
                  </pic:nvPicPr>
                  <pic:blipFill>
                    <a:blip r:embed="rId12"/>
                    <a:stretch>
                      <a:fillRect/>
                    </a:stretch>
                  </pic:blipFill>
                  <pic:spPr>
                    <a:xfrm>
                      <a:off x="0" y="0"/>
                      <a:ext cx="5695992" cy="2724170"/>
                    </a:xfrm>
                    <a:prstGeom prst="rect">
                      <a:avLst/>
                    </a:prstGeom>
                  </pic:spPr>
                </pic:pic>
              </a:graphicData>
            </a:graphic>
          </wp:inline>
        </w:drawing>
      </w:r>
    </w:p>
    <w:p w14:paraId="0789BCB2" w14:textId="77777777" w:rsidR="00825B7D" w:rsidRDefault="00825B7D">
      <w:pPr>
        <w:pBdr>
          <w:top w:val="nil"/>
          <w:left w:val="nil"/>
          <w:bottom w:val="nil"/>
          <w:right w:val="nil"/>
          <w:between w:val="nil"/>
        </w:pBdr>
        <w:spacing w:after="240" w:line="275" w:lineRule="auto"/>
        <w:rPr>
          <w:rFonts w:ascii="Google Sans" w:eastAsia="Google Sans" w:hAnsi="Google Sans" w:cs="Google Sans"/>
          <w:b/>
          <w:bCs/>
          <w:color w:val="1F1F1F"/>
        </w:rPr>
      </w:pPr>
    </w:p>
    <w:p w14:paraId="2EF8599B" w14:textId="77777777" w:rsidR="00825B7D" w:rsidRDefault="00825B7D">
      <w:pPr>
        <w:pBdr>
          <w:top w:val="nil"/>
          <w:left w:val="nil"/>
          <w:bottom w:val="nil"/>
          <w:right w:val="nil"/>
          <w:between w:val="nil"/>
        </w:pBdr>
        <w:spacing w:after="240" w:line="275" w:lineRule="auto"/>
        <w:rPr>
          <w:rFonts w:ascii="Google Sans" w:eastAsia="Google Sans" w:hAnsi="Google Sans" w:cs="Google Sans"/>
          <w:b/>
          <w:bCs/>
          <w:color w:val="1F1F1F"/>
        </w:rPr>
      </w:pPr>
    </w:p>
    <w:p w14:paraId="72041D8E" w14:textId="77777777" w:rsidR="00825B7D" w:rsidRDefault="00825B7D">
      <w:pPr>
        <w:pBdr>
          <w:top w:val="nil"/>
          <w:left w:val="nil"/>
          <w:bottom w:val="nil"/>
          <w:right w:val="nil"/>
          <w:between w:val="nil"/>
        </w:pBdr>
        <w:spacing w:after="240" w:line="275" w:lineRule="auto"/>
        <w:rPr>
          <w:rFonts w:ascii="Google Sans" w:eastAsia="Google Sans" w:hAnsi="Google Sans" w:cs="Google Sans"/>
          <w:b/>
          <w:bCs/>
          <w:color w:val="1F1F1F"/>
        </w:rPr>
      </w:pPr>
    </w:p>
    <w:p w14:paraId="33636F38" w14:textId="77777777" w:rsidR="00825B7D" w:rsidRDefault="00825B7D">
      <w:pPr>
        <w:pBdr>
          <w:top w:val="nil"/>
          <w:left w:val="nil"/>
          <w:bottom w:val="nil"/>
          <w:right w:val="nil"/>
          <w:between w:val="nil"/>
        </w:pBdr>
        <w:spacing w:after="240" w:line="275" w:lineRule="auto"/>
        <w:rPr>
          <w:rFonts w:ascii="Google Sans" w:eastAsia="Google Sans" w:hAnsi="Google Sans" w:cs="Google Sans"/>
          <w:b/>
          <w:bCs/>
          <w:color w:val="1F1F1F"/>
        </w:rPr>
      </w:pPr>
    </w:p>
    <w:p w14:paraId="27AC1BCC" w14:textId="77777777" w:rsidR="00825B7D" w:rsidRDefault="00825B7D">
      <w:pPr>
        <w:pBdr>
          <w:top w:val="nil"/>
          <w:left w:val="nil"/>
          <w:bottom w:val="nil"/>
          <w:right w:val="nil"/>
          <w:between w:val="nil"/>
        </w:pBdr>
        <w:spacing w:after="240" w:line="275" w:lineRule="auto"/>
        <w:rPr>
          <w:rFonts w:ascii="Google Sans" w:eastAsia="Google Sans" w:hAnsi="Google Sans" w:cs="Google Sans"/>
          <w:b/>
          <w:bCs/>
          <w:color w:val="1F1F1F"/>
        </w:rPr>
      </w:pPr>
    </w:p>
    <w:p w14:paraId="3EDE2859" w14:textId="27A66299" w:rsidR="00045599"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lastRenderedPageBreak/>
        <w:t>Figure 7:</w:t>
      </w:r>
      <w:r>
        <w:rPr>
          <w:rFonts w:ascii="Google Sans" w:eastAsia="Google Sans" w:hAnsi="Google Sans" w:cs="Google Sans"/>
          <w:color w:val="1F1F1F"/>
        </w:rPr>
        <w:t xml:space="preserve"> Space organized with the dataset, research PDF, Market Analysis, Reliability Evaluation, and Brief</w:t>
      </w:r>
    </w:p>
    <w:p w14:paraId="676EBB65" w14:textId="77777777" w:rsidR="00825B7D" w:rsidRDefault="00825B7D">
      <w:pPr>
        <w:pBdr>
          <w:top w:val="nil"/>
          <w:left w:val="nil"/>
          <w:bottom w:val="nil"/>
          <w:right w:val="nil"/>
          <w:between w:val="nil"/>
        </w:pBdr>
        <w:spacing w:after="240" w:line="275" w:lineRule="auto"/>
        <w:rPr>
          <w:rFonts w:ascii="Google Sans" w:eastAsia="Google Sans" w:hAnsi="Google Sans" w:cs="Google Sans"/>
          <w:b/>
          <w:bCs/>
          <w:color w:val="1F1F1F"/>
        </w:rPr>
      </w:pPr>
      <w:r w:rsidRPr="000D6D69">
        <w:rPr>
          <w:noProof/>
        </w:rPr>
        <w:drawing>
          <wp:inline distT="0" distB="0" distL="0" distR="0" wp14:anchorId="1624AE83" wp14:editId="2B27969E">
            <wp:extent cx="5943600" cy="3024505"/>
            <wp:effectExtent l="0" t="0" r="0" b="4445"/>
            <wp:docPr id="279266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266648" name=""/>
                    <pic:cNvPicPr/>
                  </pic:nvPicPr>
                  <pic:blipFill>
                    <a:blip r:embed="rId13"/>
                    <a:stretch>
                      <a:fillRect/>
                    </a:stretch>
                  </pic:blipFill>
                  <pic:spPr>
                    <a:xfrm>
                      <a:off x="0" y="0"/>
                      <a:ext cx="5943600" cy="3024505"/>
                    </a:xfrm>
                    <a:prstGeom prst="rect">
                      <a:avLst/>
                    </a:prstGeom>
                  </pic:spPr>
                </pic:pic>
              </a:graphicData>
            </a:graphic>
          </wp:inline>
        </w:drawing>
      </w:r>
    </w:p>
    <w:p w14:paraId="25DF03D3" w14:textId="77777777" w:rsidR="00306084" w:rsidRDefault="00306084">
      <w:pPr>
        <w:pBdr>
          <w:top w:val="nil"/>
          <w:left w:val="nil"/>
          <w:bottom w:val="nil"/>
          <w:right w:val="nil"/>
          <w:between w:val="nil"/>
        </w:pBdr>
        <w:spacing w:after="240" w:line="275" w:lineRule="auto"/>
        <w:rPr>
          <w:rFonts w:ascii="Google Sans" w:eastAsia="Google Sans" w:hAnsi="Google Sans" w:cs="Google Sans"/>
          <w:b/>
          <w:bCs/>
          <w:color w:val="1F1F1F"/>
        </w:rPr>
      </w:pPr>
    </w:p>
    <w:p w14:paraId="3192F004" w14:textId="77777777" w:rsidR="00306084" w:rsidRDefault="00306084">
      <w:pPr>
        <w:pBdr>
          <w:top w:val="nil"/>
          <w:left w:val="nil"/>
          <w:bottom w:val="nil"/>
          <w:right w:val="nil"/>
          <w:between w:val="nil"/>
        </w:pBdr>
        <w:spacing w:after="240" w:line="275" w:lineRule="auto"/>
        <w:rPr>
          <w:rFonts w:ascii="Google Sans" w:eastAsia="Google Sans" w:hAnsi="Google Sans" w:cs="Google Sans"/>
          <w:b/>
          <w:bCs/>
          <w:color w:val="1F1F1F"/>
        </w:rPr>
      </w:pPr>
    </w:p>
    <w:p w14:paraId="653F4A0E" w14:textId="77777777" w:rsidR="00306084" w:rsidRDefault="00306084">
      <w:pPr>
        <w:pBdr>
          <w:top w:val="nil"/>
          <w:left w:val="nil"/>
          <w:bottom w:val="nil"/>
          <w:right w:val="nil"/>
          <w:between w:val="nil"/>
        </w:pBdr>
        <w:spacing w:after="240" w:line="275" w:lineRule="auto"/>
        <w:rPr>
          <w:rFonts w:ascii="Google Sans" w:eastAsia="Google Sans" w:hAnsi="Google Sans" w:cs="Google Sans"/>
          <w:b/>
          <w:bCs/>
          <w:color w:val="1F1F1F"/>
        </w:rPr>
      </w:pPr>
    </w:p>
    <w:p w14:paraId="1855BD52" w14:textId="77777777" w:rsidR="00306084" w:rsidRDefault="00306084">
      <w:pPr>
        <w:pBdr>
          <w:top w:val="nil"/>
          <w:left w:val="nil"/>
          <w:bottom w:val="nil"/>
          <w:right w:val="nil"/>
          <w:between w:val="nil"/>
        </w:pBdr>
        <w:spacing w:after="240" w:line="275" w:lineRule="auto"/>
        <w:rPr>
          <w:rFonts w:ascii="Google Sans" w:eastAsia="Google Sans" w:hAnsi="Google Sans" w:cs="Google Sans"/>
          <w:b/>
          <w:bCs/>
          <w:color w:val="1F1F1F"/>
        </w:rPr>
      </w:pPr>
    </w:p>
    <w:p w14:paraId="159E78D7" w14:textId="77777777" w:rsidR="00306084" w:rsidRDefault="00306084">
      <w:pPr>
        <w:pBdr>
          <w:top w:val="nil"/>
          <w:left w:val="nil"/>
          <w:bottom w:val="nil"/>
          <w:right w:val="nil"/>
          <w:between w:val="nil"/>
        </w:pBdr>
        <w:spacing w:after="240" w:line="275" w:lineRule="auto"/>
        <w:rPr>
          <w:rFonts w:ascii="Google Sans" w:eastAsia="Google Sans" w:hAnsi="Google Sans" w:cs="Google Sans"/>
          <w:b/>
          <w:bCs/>
          <w:color w:val="1F1F1F"/>
        </w:rPr>
      </w:pPr>
    </w:p>
    <w:p w14:paraId="27DE9FD5" w14:textId="77777777" w:rsidR="00306084" w:rsidRDefault="00306084">
      <w:pPr>
        <w:pBdr>
          <w:top w:val="nil"/>
          <w:left w:val="nil"/>
          <w:bottom w:val="nil"/>
          <w:right w:val="nil"/>
          <w:between w:val="nil"/>
        </w:pBdr>
        <w:spacing w:after="240" w:line="275" w:lineRule="auto"/>
        <w:rPr>
          <w:rFonts w:ascii="Google Sans" w:eastAsia="Google Sans" w:hAnsi="Google Sans" w:cs="Google Sans"/>
          <w:b/>
          <w:bCs/>
          <w:color w:val="1F1F1F"/>
        </w:rPr>
      </w:pPr>
    </w:p>
    <w:p w14:paraId="695D22AB" w14:textId="77777777" w:rsidR="00306084" w:rsidRDefault="00306084">
      <w:pPr>
        <w:pBdr>
          <w:top w:val="nil"/>
          <w:left w:val="nil"/>
          <w:bottom w:val="nil"/>
          <w:right w:val="nil"/>
          <w:between w:val="nil"/>
        </w:pBdr>
        <w:spacing w:after="240" w:line="275" w:lineRule="auto"/>
        <w:rPr>
          <w:rFonts w:ascii="Google Sans" w:eastAsia="Google Sans" w:hAnsi="Google Sans" w:cs="Google Sans"/>
          <w:b/>
          <w:bCs/>
          <w:color w:val="1F1F1F"/>
        </w:rPr>
      </w:pPr>
    </w:p>
    <w:p w14:paraId="0D465D66" w14:textId="77777777" w:rsidR="00306084" w:rsidRDefault="00306084">
      <w:pPr>
        <w:pBdr>
          <w:top w:val="nil"/>
          <w:left w:val="nil"/>
          <w:bottom w:val="nil"/>
          <w:right w:val="nil"/>
          <w:between w:val="nil"/>
        </w:pBdr>
        <w:spacing w:after="240" w:line="275" w:lineRule="auto"/>
        <w:rPr>
          <w:rFonts w:ascii="Google Sans" w:eastAsia="Google Sans" w:hAnsi="Google Sans" w:cs="Google Sans"/>
          <w:b/>
          <w:bCs/>
          <w:color w:val="1F1F1F"/>
        </w:rPr>
      </w:pPr>
    </w:p>
    <w:p w14:paraId="5D3FC837" w14:textId="77777777" w:rsidR="00306084" w:rsidRDefault="00306084">
      <w:pPr>
        <w:pBdr>
          <w:top w:val="nil"/>
          <w:left w:val="nil"/>
          <w:bottom w:val="nil"/>
          <w:right w:val="nil"/>
          <w:between w:val="nil"/>
        </w:pBdr>
        <w:spacing w:after="240" w:line="275" w:lineRule="auto"/>
        <w:rPr>
          <w:rFonts w:ascii="Google Sans" w:eastAsia="Google Sans" w:hAnsi="Google Sans" w:cs="Google Sans"/>
          <w:b/>
          <w:bCs/>
          <w:color w:val="1F1F1F"/>
        </w:rPr>
      </w:pPr>
    </w:p>
    <w:p w14:paraId="1B6E50C5" w14:textId="77777777" w:rsidR="00306084" w:rsidRDefault="00306084">
      <w:pPr>
        <w:pBdr>
          <w:top w:val="nil"/>
          <w:left w:val="nil"/>
          <w:bottom w:val="nil"/>
          <w:right w:val="nil"/>
          <w:between w:val="nil"/>
        </w:pBdr>
        <w:spacing w:after="240" w:line="275" w:lineRule="auto"/>
        <w:rPr>
          <w:rFonts w:ascii="Google Sans" w:eastAsia="Google Sans" w:hAnsi="Google Sans" w:cs="Google Sans"/>
          <w:b/>
          <w:bCs/>
          <w:color w:val="1F1F1F"/>
        </w:rPr>
      </w:pPr>
    </w:p>
    <w:p w14:paraId="6BCF56E7" w14:textId="77777777" w:rsidR="00306084" w:rsidRDefault="00306084">
      <w:pPr>
        <w:pBdr>
          <w:top w:val="nil"/>
          <w:left w:val="nil"/>
          <w:bottom w:val="nil"/>
          <w:right w:val="nil"/>
          <w:between w:val="nil"/>
        </w:pBdr>
        <w:spacing w:after="240" w:line="275" w:lineRule="auto"/>
        <w:rPr>
          <w:rFonts w:ascii="Google Sans" w:eastAsia="Google Sans" w:hAnsi="Google Sans" w:cs="Google Sans"/>
          <w:b/>
          <w:bCs/>
          <w:color w:val="1F1F1F"/>
        </w:rPr>
      </w:pPr>
    </w:p>
    <w:p w14:paraId="6CF27BD6" w14:textId="77777777" w:rsidR="00306084" w:rsidRDefault="00306084">
      <w:pPr>
        <w:pBdr>
          <w:top w:val="nil"/>
          <w:left w:val="nil"/>
          <w:bottom w:val="nil"/>
          <w:right w:val="nil"/>
          <w:between w:val="nil"/>
        </w:pBdr>
        <w:spacing w:after="240" w:line="275" w:lineRule="auto"/>
        <w:rPr>
          <w:rFonts w:ascii="Google Sans" w:eastAsia="Google Sans" w:hAnsi="Google Sans" w:cs="Google Sans"/>
          <w:b/>
          <w:bCs/>
          <w:color w:val="1F1F1F"/>
        </w:rPr>
      </w:pPr>
    </w:p>
    <w:p w14:paraId="7E1A0350" w14:textId="77777777" w:rsidR="00306084" w:rsidRDefault="00306084">
      <w:pPr>
        <w:pBdr>
          <w:top w:val="nil"/>
          <w:left w:val="nil"/>
          <w:bottom w:val="nil"/>
          <w:right w:val="nil"/>
          <w:between w:val="nil"/>
        </w:pBdr>
        <w:spacing w:after="240" w:line="275" w:lineRule="auto"/>
        <w:rPr>
          <w:rFonts w:ascii="Google Sans" w:eastAsia="Google Sans" w:hAnsi="Google Sans" w:cs="Google Sans"/>
          <w:b/>
          <w:bCs/>
          <w:color w:val="1F1F1F"/>
        </w:rPr>
      </w:pPr>
    </w:p>
    <w:p w14:paraId="0DB22CE9" w14:textId="28C9F953" w:rsidR="00045599"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lastRenderedPageBreak/>
        <w:t>Figure 8:</w:t>
      </w:r>
      <w:r>
        <w:rPr>
          <w:rFonts w:ascii="Google Sans" w:eastAsia="Google Sans" w:hAnsi="Google Sans" w:cs="Google Sans"/>
          <w:color w:val="1F1F1F"/>
        </w:rPr>
        <w:t xml:space="preserve"> Market Analysis produced by the agent</w:t>
      </w:r>
    </w:p>
    <w:p w14:paraId="2E20D2B1" w14:textId="7346380F" w:rsidR="00045599" w:rsidRDefault="00306084">
      <w:pPr>
        <w:pBdr>
          <w:top w:val="nil"/>
          <w:left w:val="nil"/>
          <w:bottom w:val="nil"/>
          <w:right w:val="nil"/>
          <w:between w:val="nil"/>
        </w:pBdr>
        <w:spacing w:after="240" w:line="275" w:lineRule="auto"/>
        <w:rPr>
          <w:rFonts w:ascii="Google Sans" w:eastAsia="Google Sans" w:hAnsi="Google Sans" w:cs="Google Sans"/>
          <w:color w:val="1F1F1F"/>
        </w:rPr>
      </w:pPr>
      <w:r>
        <w:rPr>
          <w:noProof/>
        </w:rPr>
        <w:drawing>
          <wp:inline distT="0" distB="0" distL="0" distR="0" wp14:anchorId="67E19C5F" wp14:editId="2BC7FF44">
            <wp:extent cx="5544705" cy="7734300"/>
            <wp:effectExtent l="0" t="0" r="0" b="0"/>
            <wp:docPr id="101134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4198" name=""/>
                    <pic:cNvPicPr/>
                  </pic:nvPicPr>
                  <pic:blipFill>
                    <a:blip r:embed="rId14"/>
                    <a:stretch>
                      <a:fillRect/>
                    </a:stretch>
                  </pic:blipFill>
                  <pic:spPr>
                    <a:xfrm>
                      <a:off x="0" y="0"/>
                      <a:ext cx="5555436" cy="7749269"/>
                    </a:xfrm>
                    <a:prstGeom prst="rect">
                      <a:avLst/>
                    </a:prstGeom>
                  </pic:spPr>
                </pic:pic>
              </a:graphicData>
            </a:graphic>
          </wp:inline>
        </w:drawing>
      </w:r>
      <w:r w:rsidR="00000000">
        <w:rPr>
          <w:rFonts w:ascii="Google Sans" w:eastAsia="Google Sans" w:hAnsi="Google Sans" w:cs="Google Sans"/>
          <w:b/>
          <w:bCs/>
          <w:color w:val="1F1F1F"/>
        </w:rPr>
        <w:lastRenderedPageBreak/>
        <w:t>Figure 9:</w:t>
      </w:r>
      <w:r w:rsidR="00000000">
        <w:rPr>
          <w:rFonts w:ascii="Google Sans" w:eastAsia="Google Sans" w:hAnsi="Google Sans" w:cs="Google Sans"/>
          <w:color w:val="1F1F1F"/>
        </w:rPr>
        <w:t xml:space="preserve"> Reliability and Confidence Evaluation produced by the agent</w:t>
      </w:r>
    </w:p>
    <w:p w14:paraId="182591A3" w14:textId="77777777" w:rsidR="00306084" w:rsidRDefault="00306084">
      <w:pPr>
        <w:pBdr>
          <w:top w:val="nil"/>
          <w:left w:val="nil"/>
          <w:bottom w:val="nil"/>
          <w:right w:val="nil"/>
          <w:between w:val="nil"/>
        </w:pBdr>
        <w:spacing w:after="240" w:line="275" w:lineRule="auto"/>
        <w:rPr>
          <w:rFonts w:ascii="Google Sans" w:eastAsia="Google Sans" w:hAnsi="Google Sans" w:cs="Google Sans"/>
          <w:b/>
          <w:bCs/>
          <w:color w:val="1F1F1F"/>
        </w:rPr>
      </w:pPr>
      <w:r w:rsidRPr="00D356D0">
        <w:rPr>
          <w:noProof/>
        </w:rPr>
        <w:drawing>
          <wp:inline distT="0" distB="0" distL="0" distR="0" wp14:anchorId="1E9A7DF0" wp14:editId="6BFA435C">
            <wp:extent cx="3473077" cy="7829550"/>
            <wp:effectExtent l="0" t="0" r="0" b="0"/>
            <wp:docPr id="1956426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426409" name=""/>
                    <pic:cNvPicPr/>
                  </pic:nvPicPr>
                  <pic:blipFill>
                    <a:blip r:embed="rId15"/>
                    <a:stretch>
                      <a:fillRect/>
                    </a:stretch>
                  </pic:blipFill>
                  <pic:spPr>
                    <a:xfrm>
                      <a:off x="0" y="0"/>
                      <a:ext cx="3492771" cy="7873948"/>
                    </a:xfrm>
                    <a:prstGeom prst="rect">
                      <a:avLst/>
                    </a:prstGeom>
                  </pic:spPr>
                </pic:pic>
              </a:graphicData>
            </a:graphic>
          </wp:inline>
        </w:drawing>
      </w:r>
    </w:p>
    <w:p w14:paraId="6EA05914" w14:textId="4BB920A1" w:rsidR="00045599"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lastRenderedPageBreak/>
        <w:t>Figure 10:</w:t>
      </w:r>
      <w:r>
        <w:rPr>
          <w:rFonts w:ascii="Google Sans" w:eastAsia="Google Sans" w:hAnsi="Google Sans" w:cs="Google Sans"/>
          <w:color w:val="1F1F1F"/>
        </w:rPr>
        <w:t xml:space="preserve"> Market Intelligence Brief produced by the agent</w:t>
      </w:r>
    </w:p>
    <w:p w14:paraId="7AE8B7EF" w14:textId="6A34CF64" w:rsidR="00306084" w:rsidRDefault="00306084" w:rsidP="00306084">
      <w:pPr>
        <w:pStyle w:val="Heading2"/>
        <w:spacing w:before="120" w:after="120" w:line="275" w:lineRule="auto"/>
      </w:pPr>
      <w:r w:rsidRPr="00241B16">
        <w:rPr>
          <w:noProof/>
        </w:rPr>
        <w:drawing>
          <wp:inline distT="0" distB="0" distL="0" distR="0" wp14:anchorId="504E2D3A" wp14:editId="3BB5F9BE">
            <wp:extent cx="5943600" cy="5793740"/>
            <wp:effectExtent l="0" t="0" r="0" b="0"/>
            <wp:docPr id="171196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6881" name=""/>
                    <pic:cNvPicPr/>
                  </pic:nvPicPr>
                  <pic:blipFill>
                    <a:blip r:embed="rId16"/>
                    <a:stretch>
                      <a:fillRect/>
                    </a:stretch>
                  </pic:blipFill>
                  <pic:spPr>
                    <a:xfrm>
                      <a:off x="0" y="0"/>
                      <a:ext cx="5943600" cy="5793740"/>
                    </a:xfrm>
                    <a:prstGeom prst="rect">
                      <a:avLst/>
                    </a:prstGeom>
                  </pic:spPr>
                </pic:pic>
              </a:graphicData>
            </a:graphic>
          </wp:inline>
        </w:drawing>
      </w:r>
    </w:p>
    <w:p w14:paraId="14ADCE31" w14:textId="77777777" w:rsidR="00306084" w:rsidRDefault="00306084">
      <w:pPr>
        <w:pStyle w:val="Heading2"/>
        <w:spacing w:before="120" w:after="120" w:line="275" w:lineRule="auto"/>
      </w:pPr>
    </w:p>
    <w:p w14:paraId="6BBE346E" w14:textId="77777777" w:rsidR="00306084" w:rsidRPr="00306084" w:rsidRDefault="00306084" w:rsidP="00306084"/>
    <w:p w14:paraId="2A8B5299" w14:textId="77777777" w:rsidR="00306084" w:rsidRDefault="00306084">
      <w:pPr>
        <w:pStyle w:val="Heading2"/>
        <w:spacing w:before="120" w:after="120" w:line="275" w:lineRule="auto"/>
      </w:pPr>
    </w:p>
    <w:p w14:paraId="3263A9A8" w14:textId="77777777" w:rsidR="00306084" w:rsidRDefault="00306084">
      <w:pPr>
        <w:pStyle w:val="Heading2"/>
        <w:spacing w:before="120" w:after="120" w:line="275" w:lineRule="auto"/>
      </w:pPr>
    </w:p>
    <w:p w14:paraId="55B3B508" w14:textId="77777777" w:rsidR="00306084" w:rsidRDefault="00306084">
      <w:pPr>
        <w:pStyle w:val="Heading2"/>
        <w:spacing w:before="120" w:after="120" w:line="275" w:lineRule="auto"/>
      </w:pPr>
    </w:p>
    <w:p w14:paraId="737D5BAF" w14:textId="34705D2F" w:rsidR="00045599" w:rsidRDefault="00000000">
      <w:pPr>
        <w:pStyle w:val="Heading2"/>
        <w:spacing w:before="120" w:after="120" w:line="275" w:lineRule="auto"/>
        <w:rPr>
          <w:rFonts w:ascii="Google Sans" w:eastAsia="Google Sans" w:hAnsi="Google Sans" w:cs="Google Sans"/>
          <w:color w:val="1F1F1F"/>
        </w:rPr>
      </w:pPr>
      <w:r>
        <w:lastRenderedPageBreak/>
        <w:pict w14:anchorId="1033AAF2">
          <v:rect id="_x0000_i1035" style="width:0;height:1.5pt" o:hralign="center" o:hrstd="t" o:hr="t" fillcolor="#a0a0a0" stroked="f"/>
        </w:pict>
      </w:r>
      <w:r>
        <w:rPr>
          <w:rFonts w:ascii="Google Sans" w:eastAsia="Google Sans" w:hAnsi="Google Sans" w:cs="Google Sans"/>
          <w:color w:val="1F1F1F"/>
        </w:rPr>
        <w:t>Key Prompts Used</w:t>
      </w:r>
    </w:p>
    <w:p w14:paraId="2B333FB6" w14:textId="77777777" w:rsidR="00045599"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Quick Research objective:</w:t>
      </w:r>
      <w:r>
        <w:rPr>
          <w:rFonts w:ascii="Google Sans" w:eastAsia="Google Sans" w:hAnsi="Google Sans" w:cs="Google Sans"/>
          <w:color w:val="1F1F1F"/>
        </w:rPr>
        <w:t xml:space="preserve"> Research the current state of the Saudi residential rental market in Riyadh, Jeddah, Dammam, and Al-Khobar for 2025-2026 (price trends, supply and demand, vacancy, competitors), supplementing a 2021 listings dataset, citing every source with its date and flagging conflicting figures.</w:t>
      </w:r>
    </w:p>
    <w:p w14:paraId="681FFBC3" w14:textId="77777777" w:rsidR="00045599"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Market Analysis prompt:</w:t>
      </w:r>
      <w:r>
        <w:rPr>
          <w:rFonts w:ascii="Google Sans" w:eastAsia="Google Sans" w:hAnsi="Google Sans" w:cs="Google Sans"/>
          <w:color w:val="1F1F1F"/>
        </w:rPr>
        <w:t xml:space="preserve"> Using the 2021 </w:t>
      </w:r>
      <w:proofErr w:type="spellStart"/>
      <w:r>
        <w:rPr>
          <w:rFonts w:ascii="Google Sans" w:eastAsia="Google Sans" w:hAnsi="Google Sans" w:cs="Google Sans"/>
          <w:color w:val="1F1F1F"/>
        </w:rPr>
        <w:t>Aqar</w:t>
      </w:r>
      <w:proofErr w:type="spellEnd"/>
      <w:r>
        <w:rPr>
          <w:rFonts w:ascii="Google Sans" w:eastAsia="Google Sans" w:hAnsi="Google Sans" w:cs="Google Sans"/>
          <w:color w:val="1F1F1F"/>
        </w:rPr>
        <w:t xml:space="preserve"> dataset and the Quick Research report, produce a Market Analysis with competitive landscape, trends, opportunities and risks, labeling every claim DATASET or EXTERNAL RESEARCH and flagging where sources agree or conflict.</w:t>
      </w:r>
    </w:p>
    <w:p w14:paraId="2E0A4F18" w14:textId="77777777" w:rsidR="00045599"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Reliability prompt:</w:t>
      </w:r>
      <w:r>
        <w:rPr>
          <w:rFonts w:ascii="Google Sans" w:eastAsia="Google Sans" w:hAnsi="Google Sans" w:cs="Google Sans"/>
          <w:color w:val="1F1F1F"/>
        </w:rPr>
        <w:t xml:space="preserve"> For each key insight give evidence (dataset vs. research), source quality, consistency, timeliness, gaps, a High/Medium/Low confidence level, and one data point that would change our mind; do not treat dataset-echoing research as independent confirmation.</w:t>
      </w:r>
    </w:p>
    <w:sectPr w:rsidR="00045599">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D6A87BC6-4FE1-46C3-A96E-898321CBEDFF}"/>
  </w:font>
  <w:font w:name="Google Sans">
    <w:charset w:val="00"/>
    <w:family w:val="auto"/>
    <w:pitch w:val="default"/>
    <w:embedRegular r:id="rId2" w:fontKey="{1B6D9618-5F3F-44A3-9EF7-5B3FF40AE8B1}"/>
    <w:embedBold r:id="rId3" w:fontKey="{0567B106-8FAB-4B4F-9DE8-CE06FB21EAA1}"/>
    <w:embedItalic r:id="rId4" w:fontKey="{E30EB433-B67B-4362-9019-827244C72110}"/>
    <w:embedBoldItalic r:id="rId5" w:fontKey="{8F4E8ADE-269C-46D0-BF74-7F558331C66C}"/>
  </w:font>
  <w:font w:name="Calibri">
    <w:panose1 w:val="020F0502020204030204"/>
    <w:charset w:val="00"/>
    <w:family w:val="swiss"/>
    <w:pitch w:val="variable"/>
    <w:sig w:usb0="E4002EFF" w:usb1="C200247B" w:usb2="00000009" w:usb3="00000000" w:csb0="000001FF" w:csb1="00000000"/>
    <w:embedRegular r:id="rId6" w:fontKey="{203949F3-ADC1-4BEA-B202-A2D2B93F0D79}"/>
  </w:font>
  <w:font w:name="Cambria">
    <w:panose1 w:val="02040503050406030204"/>
    <w:charset w:val="00"/>
    <w:family w:val="roman"/>
    <w:pitch w:val="variable"/>
    <w:sig w:usb0="E00006FF" w:usb1="420024FF" w:usb2="02000000" w:usb3="00000000" w:csb0="0000019F" w:csb1="00000000"/>
    <w:embedRegular r:id="rId7" w:fontKey="{1D17894A-383D-450A-B72D-790B23555B4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A6D40"/>
    <w:multiLevelType w:val="multilevel"/>
    <w:tmpl w:val="06D6AAE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FA42CF8"/>
    <w:multiLevelType w:val="multilevel"/>
    <w:tmpl w:val="E858049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4AF268D"/>
    <w:multiLevelType w:val="multilevel"/>
    <w:tmpl w:val="311EABF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DC84A10"/>
    <w:multiLevelType w:val="multilevel"/>
    <w:tmpl w:val="231407B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39844D8A"/>
    <w:multiLevelType w:val="multilevel"/>
    <w:tmpl w:val="C1FA306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49840AA6"/>
    <w:multiLevelType w:val="multilevel"/>
    <w:tmpl w:val="7A26836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6CAA1658"/>
    <w:multiLevelType w:val="multilevel"/>
    <w:tmpl w:val="C272187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6E807466"/>
    <w:multiLevelType w:val="multilevel"/>
    <w:tmpl w:val="5D5036A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74430880"/>
    <w:multiLevelType w:val="multilevel"/>
    <w:tmpl w:val="70E470A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77750473"/>
    <w:multiLevelType w:val="multilevel"/>
    <w:tmpl w:val="077436E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7A777306"/>
    <w:multiLevelType w:val="multilevel"/>
    <w:tmpl w:val="FA98394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389504034">
    <w:abstractNumId w:val="9"/>
  </w:num>
  <w:num w:numId="2" w16cid:durableId="1969506416">
    <w:abstractNumId w:val="10"/>
  </w:num>
  <w:num w:numId="3" w16cid:durableId="889270719">
    <w:abstractNumId w:val="3"/>
  </w:num>
  <w:num w:numId="4" w16cid:durableId="1280992758">
    <w:abstractNumId w:val="0"/>
  </w:num>
  <w:num w:numId="5" w16cid:durableId="1639459373">
    <w:abstractNumId w:val="2"/>
  </w:num>
  <w:num w:numId="6" w16cid:durableId="1136526996">
    <w:abstractNumId w:val="1"/>
  </w:num>
  <w:num w:numId="7" w16cid:durableId="1010375978">
    <w:abstractNumId w:val="7"/>
  </w:num>
  <w:num w:numId="8" w16cid:durableId="1871255388">
    <w:abstractNumId w:val="6"/>
  </w:num>
  <w:num w:numId="9" w16cid:durableId="625085379">
    <w:abstractNumId w:val="5"/>
  </w:num>
  <w:num w:numId="10" w16cid:durableId="1351028742">
    <w:abstractNumId w:val="4"/>
  </w:num>
  <w:num w:numId="11" w16cid:durableId="4895957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5599"/>
    <w:rsid w:val="00045599"/>
    <w:rsid w:val="00306084"/>
    <w:rsid w:val="00725574"/>
    <w:rsid w:val="00825B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E0D4F"/>
  <w15:docId w15:val="{C904F77A-E363-4F74-8B12-68FA550D5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17</Pages>
  <Words>2432</Words>
  <Characters>13865</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Raghad Almutairi</cp:lastModifiedBy>
  <cp:revision>2</cp:revision>
  <dcterms:created xsi:type="dcterms:W3CDTF">2026-10-05T09:02:00Z</dcterms:created>
  <dcterms:modified xsi:type="dcterms:W3CDTF">2026-10-05T09:02:00Z</dcterms:modified>
</cp:coreProperties>
</file>