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92AB" w14:textId="77777777" w:rsidR="007C49BD" w:rsidRPr="007C49BD" w:rsidRDefault="007C49BD" w:rsidP="007C49BD">
      <w:r w:rsidRPr="007C49BD">
        <w:t>Now I have all the data needed. Let me compile the comprehensive Market Analysis.</w:t>
      </w:r>
    </w:p>
    <w:p w14:paraId="1E2E5F3F" w14:textId="77777777" w:rsidR="007C49BD" w:rsidRPr="007C49BD" w:rsidRDefault="007C49BD" w:rsidP="007C49BD">
      <w:r w:rsidRPr="007C49BD">
        <w:t xml:space="preserve">Here is the full </w:t>
      </w:r>
      <w:r w:rsidRPr="007C49BD">
        <w:rPr>
          <w:b/>
          <w:bCs/>
        </w:rPr>
        <w:t>Market Analysis: Saudi Residential Rental Housing (Riyadh, Jeddah, Dammam, Al-Khobar)</w:t>
      </w:r>
      <w:r w:rsidRPr="007C49BD">
        <w:t>, synthesizing both the 2021 AQAR dataset and the Quick Research report (2025–2026).</w:t>
      </w:r>
    </w:p>
    <w:p w14:paraId="7408C568" w14:textId="77777777" w:rsidR="007C49BD" w:rsidRPr="007C49BD" w:rsidRDefault="007C49BD" w:rsidP="007C49BD">
      <w:r w:rsidRPr="007C49BD">
        <w:pict w14:anchorId="05101C04">
          <v:rect id="_x0000_i1055" style="width:0;height:1.5pt" o:hralign="center" o:hrstd="t" o:hr="t" fillcolor="#a0a0a0" stroked="f"/>
        </w:pict>
      </w:r>
    </w:p>
    <w:p w14:paraId="0F8A189A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1. Competitive Landscape Summary</w:t>
      </w:r>
    </w:p>
    <w:p w14:paraId="3FDE7C20" w14:textId="77777777" w:rsidR="007C49BD" w:rsidRPr="007C49BD" w:rsidRDefault="007C49BD" w:rsidP="007C49BD">
      <w:r w:rsidRPr="007C49BD">
        <w:rPr>
          <w:b/>
          <w:bCs/>
        </w:rPr>
        <w:t>Market structure.</w:t>
      </w:r>
      <w:r w:rsidRPr="007C49BD">
        <w:t xml:space="preserve"> The Saudi residential rental market is undergoing a structural shift from fragmented, individual-landlord dominance toward early-stage institutionalization. The built-to-rent (BTR) sector was valued at only ~$0.33 billion in 2025, projected to grow at 16.24% CAGR to ~$0.87 billion by 2031 — signaling the market is still nascent. </w:t>
      </w:r>
      <w:r w:rsidRPr="007C49BD">
        <w:rPr>
          <w:b/>
          <w:bCs/>
        </w:rPr>
        <w:t>[EXTERNAL RESEARCH — Mordor Intelligence, 2025]</w:t>
      </w:r>
      <w:r w:rsidRPr="007C49BD">
        <w:t xml:space="preserve"> [1][2]</w:t>
      </w:r>
    </w:p>
    <w:p w14:paraId="554CA998" w14:textId="77777777" w:rsidR="007C49BD" w:rsidRPr="007C49BD" w:rsidRDefault="007C49BD" w:rsidP="007C49BD">
      <w:r w:rsidRPr="007C49BD">
        <w:rPr>
          <w:b/>
          <w:bCs/>
        </w:rPr>
        <w:t>Key institutional players:</w:t>
      </w:r>
    </w:p>
    <w:p w14:paraId="7913217A" w14:textId="77777777" w:rsidR="007C49BD" w:rsidRPr="007C49BD" w:rsidRDefault="007C49BD" w:rsidP="007C49BD">
      <w:pPr>
        <w:numPr>
          <w:ilvl w:val="0"/>
          <w:numId w:val="1"/>
        </w:numPr>
      </w:pPr>
      <w:r w:rsidRPr="007C49BD">
        <w:rPr>
          <w:b/>
          <w:bCs/>
        </w:rPr>
        <w:t>ROSHN Group</w:t>
      </w:r>
      <w:r w:rsidRPr="007C49BD">
        <w:t xml:space="preserve"> (PIF subsidiary): Dominant institutional developer; flagship Sedra project in Riyadh targets 30,000 units across 20M m². Partners include Retal, </w:t>
      </w:r>
      <w:proofErr w:type="spellStart"/>
      <w:r w:rsidRPr="007C49BD">
        <w:t>Ajdan</w:t>
      </w:r>
      <w:proofErr w:type="spellEnd"/>
      <w:r w:rsidRPr="007C49BD">
        <w:t xml:space="preserve">, and Dar Al Arkan. </w:t>
      </w:r>
      <w:r w:rsidRPr="007C49BD">
        <w:rPr>
          <w:b/>
          <w:bCs/>
        </w:rPr>
        <w:t>[EXTERNAL RESEARCH — PIF/ROSHN, 2025]</w:t>
      </w:r>
      <w:r w:rsidRPr="007C49BD">
        <w:t xml:space="preserve"> [1][2]</w:t>
      </w:r>
    </w:p>
    <w:p w14:paraId="6DF84FC9" w14:textId="77777777" w:rsidR="007C49BD" w:rsidRPr="007C49BD" w:rsidRDefault="007C49BD" w:rsidP="007C49BD">
      <w:pPr>
        <w:numPr>
          <w:ilvl w:val="0"/>
          <w:numId w:val="1"/>
        </w:numPr>
      </w:pPr>
      <w:r w:rsidRPr="007C49BD">
        <w:rPr>
          <w:b/>
          <w:bCs/>
        </w:rPr>
        <w:t>Dar Al Arkan</w:t>
      </w:r>
      <w:r w:rsidRPr="007C49BD">
        <w:t xml:space="preserve">: Largest listed developer by market value (Shams </w:t>
      </w:r>
      <w:proofErr w:type="spellStart"/>
      <w:r w:rsidRPr="007C49BD">
        <w:t>Ar</w:t>
      </w:r>
      <w:proofErr w:type="spellEnd"/>
      <w:r w:rsidRPr="007C49BD">
        <w:t xml:space="preserve"> Riyadh, 5M m²). </w:t>
      </w:r>
      <w:r w:rsidRPr="007C49BD">
        <w:rPr>
          <w:b/>
          <w:bCs/>
        </w:rPr>
        <w:t>[EXTERNAL RESEARCH]</w:t>
      </w:r>
      <w:r w:rsidRPr="007C49BD">
        <w:t xml:space="preserve"> [2]</w:t>
      </w:r>
    </w:p>
    <w:p w14:paraId="6A19C5A2" w14:textId="77777777" w:rsidR="007C49BD" w:rsidRPr="007C49BD" w:rsidRDefault="007C49BD" w:rsidP="007C49BD">
      <w:pPr>
        <w:numPr>
          <w:ilvl w:val="0"/>
          <w:numId w:val="1"/>
        </w:numPr>
      </w:pPr>
      <w:r w:rsidRPr="007C49BD">
        <w:rPr>
          <w:b/>
          <w:bCs/>
        </w:rPr>
        <w:t>National Housing Company (NHC)</w:t>
      </w:r>
      <w:r w:rsidRPr="007C49BD">
        <w:t xml:space="preserve">: Government-backed, operating Al </w:t>
      </w:r>
      <w:proofErr w:type="spellStart"/>
      <w:r w:rsidRPr="007C49BD">
        <w:t>Fursan</w:t>
      </w:r>
      <w:proofErr w:type="spellEnd"/>
      <w:r w:rsidRPr="007C49BD">
        <w:t xml:space="preserve"> and other communities. </w:t>
      </w:r>
      <w:r w:rsidRPr="007C49BD">
        <w:rPr>
          <w:b/>
          <w:bCs/>
        </w:rPr>
        <w:t>[EXTERNAL RESEARCH]</w:t>
      </w:r>
      <w:r w:rsidRPr="007C49BD">
        <w:t xml:space="preserve"> [2]</w:t>
      </w:r>
    </w:p>
    <w:p w14:paraId="79BFBC2D" w14:textId="77777777" w:rsidR="007C49BD" w:rsidRPr="007C49BD" w:rsidRDefault="007C49BD" w:rsidP="007C49BD">
      <w:pPr>
        <w:numPr>
          <w:ilvl w:val="0"/>
          <w:numId w:val="1"/>
        </w:numPr>
      </w:pPr>
      <w:r w:rsidRPr="007C49BD">
        <w:rPr>
          <w:b/>
          <w:bCs/>
        </w:rPr>
        <w:t>REITs</w:t>
      </w:r>
      <w:r w:rsidRPr="007C49BD">
        <w:t xml:space="preserve">: ~17+ listed on Tadawul, but most remain weighted toward commercial/retail, not pure residential rental. </w:t>
      </w:r>
      <w:r w:rsidRPr="007C49BD">
        <w:rPr>
          <w:b/>
          <w:bCs/>
        </w:rPr>
        <w:t xml:space="preserve">[EXTERNAL RESEARCH — </w:t>
      </w:r>
      <w:proofErr w:type="spellStart"/>
      <w:r w:rsidRPr="007C49BD">
        <w:rPr>
          <w:b/>
          <w:bCs/>
        </w:rPr>
        <w:t>Argaam</w:t>
      </w:r>
      <w:proofErr w:type="spellEnd"/>
      <w:r w:rsidRPr="007C49BD">
        <w:rPr>
          <w:b/>
          <w:bCs/>
        </w:rPr>
        <w:t>/Tadawul, 2025]</w:t>
      </w:r>
      <w:r w:rsidRPr="007C49BD">
        <w:t xml:space="preserve"> [1]</w:t>
      </w:r>
    </w:p>
    <w:p w14:paraId="4BA312DE" w14:textId="77777777" w:rsidR="007C49BD" w:rsidRPr="007C49BD" w:rsidRDefault="007C49BD" w:rsidP="007C49BD">
      <w:r w:rsidRPr="007C49BD">
        <w:rPr>
          <w:b/>
          <w:bCs/>
        </w:rPr>
        <w:t>City-level competitive intensity: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3546"/>
        <w:gridCol w:w="2381"/>
        <w:gridCol w:w="2324"/>
      </w:tblGrid>
      <w:tr w:rsidR="007C49BD" w:rsidRPr="007C49BD" w14:paraId="097AF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7A6B0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8629831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Institutional Competition</w:t>
            </w:r>
          </w:p>
        </w:tc>
        <w:tc>
          <w:tcPr>
            <w:tcW w:w="0" w:type="auto"/>
            <w:vAlign w:val="center"/>
            <w:hideMark/>
          </w:tcPr>
          <w:p w14:paraId="497532A4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Foreign Ownership Rules</w:t>
            </w:r>
          </w:p>
        </w:tc>
        <w:tc>
          <w:tcPr>
            <w:tcW w:w="0" w:type="auto"/>
            <w:vAlign w:val="center"/>
            <w:hideMark/>
          </w:tcPr>
          <w:p w14:paraId="3024A92D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Dataset Listing Count (2021)</w:t>
            </w:r>
          </w:p>
        </w:tc>
      </w:tr>
      <w:tr w:rsidR="007C49BD" w:rsidRPr="007C49BD" w14:paraId="7B39A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E76F9" w14:textId="77777777" w:rsidR="007C49BD" w:rsidRPr="007C49BD" w:rsidRDefault="007C49BD" w:rsidP="007C49BD">
            <w:r w:rsidRPr="007C49BD">
              <w:t>Riyadh</w:t>
            </w:r>
          </w:p>
        </w:tc>
        <w:tc>
          <w:tcPr>
            <w:tcW w:w="0" w:type="auto"/>
            <w:vAlign w:val="center"/>
            <w:hideMark/>
          </w:tcPr>
          <w:p w14:paraId="3C0708BF" w14:textId="77777777" w:rsidR="007C49BD" w:rsidRPr="007C49BD" w:rsidRDefault="007C49BD" w:rsidP="007C49BD">
            <w:r w:rsidRPr="007C49BD">
              <w:t>Very High — PIF-backed developers dominate</w:t>
            </w:r>
          </w:p>
        </w:tc>
        <w:tc>
          <w:tcPr>
            <w:tcW w:w="0" w:type="auto"/>
            <w:vAlign w:val="center"/>
            <w:hideMark/>
          </w:tcPr>
          <w:p w14:paraId="74E75C81" w14:textId="77777777" w:rsidR="007C49BD" w:rsidRPr="007C49BD" w:rsidRDefault="007C49BD" w:rsidP="007C49BD">
            <w:r w:rsidRPr="007C49BD">
              <w:t>170 designated zones</w:t>
            </w:r>
          </w:p>
        </w:tc>
        <w:tc>
          <w:tcPr>
            <w:tcW w:w="0" w:type="auto"/>
            <w:vAlign w:val="center"/>
            <w:hideMark/>
          </w:tcPr>
          <w:p w14:paraId="6AD4A7E3" w14:textId="77777777" w:rsidR="007C49BD" w:rsidRPr="007C49BD" w:rsidRDefault="007C49BD" w:rsidP="007C49BD">
            <w:r w:rsidRPr="007C49BD">
              <w:t>960</w:t>
            </w:r>
          </w:p>
        </w:tc>
      </w:tr>
      <w:tr w:rsidR="007C49BD" w:rsidRPr="007C49BD" w14:paraId="06AA5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94E7" w14:textId="77777777" w:rsidR="007C49BD" w:rsidRPr="007C49BD" w:rsidRDefault="007C49BD" w:rsidP="007C49BD">
            <w:r w:rsidRPr="007C49BD">
              <w:t>Jeddah</w:t>
            </w:r>
          </w:p>
        </w:tc>
        <w:tc>
          <w:tcPr>
            <w:tcW w:w="0" w:type="auto"/>
            <w:vAlign w:val="center"/>
            <w:hideMark/>
          </w:tcPr>
          <w:p w14:paraId="2A4D4EA4" w14:textId="77777777" w:rsidR="007C49BD" w:rsidRPr="007C49BD" w:rsidRDefault="007C49BD" w:rsidP="007C49BD">
            <w:r w:rsidRPr="007C49BD">
              <w:t>Moderate — rising but less concentrated</w:t>
            </w:r>
          </w:p>
        </w:tc>
        <w:tc>
          <w:tcPr>
            <w:tcW w:w="0" w:type="auto"/>
            <w:vAlign w:val="center"/>
            <w:hideMark/>
          </w:tcPr>
          <w:p w14:paraId="72CEB2A1" w14:textId="77777777" w:rsidR="007C49BD" w:rsidRPr="007C49BD" w:rsidRDefault="007C49BD" w:rsidP="007C49BD">
            <w:r w:rsidRPr="007C49BD">
              <w:t>170 designated zones</w:t>
            </w:r>
          </w:p>
        </w:tc>
        <w:tc>
          <w:tcPr>
            <w:tcW w:w="0" w:type="auto"/>
            <w:vAlign w:val="center"/>
            <w:hideMark/>
          </w:tcPr>
          <w:p w14:paraId="7EA7CE82" w14:textId="77777777" w:rsidR="007C49BD" w:rsidRPr="007C49BD" w:rsidRDefault="007C49BD" w:rsidP="007C49BD">
            <w:r w:rsidRPr="007C49BD">
              <w:t>888</w:t>
            </w:r>
          </w:p>
        </w:tc>
      </w:tr>
      <w:tr w:rsidR="007C49BD" w:rsidRPr="007C49BD" w14:paraId="556A4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33716" w14:textId="77777777" w:rsidR="007C49BD" w:rsidRPr="007C49BD" w:rsidRDefault="007C49BD" w:rsidP="007C49BD">
            <w:r w:rsidRPr="007C49BD">
              <w:t>Dammam</w:t>
            </w:r>
          </w:p>
        </w:tc>
        <w:tc>
          <w:tcPr>
            <w:tcW w:w="0" w:type="auto"/>
            <w:vAlign w:val="center"/>
            <w:hideMark/>
          </w:tcPr>
          <w:p w14:paraId="4675270D" w14:textId="77777777" w:rsidR="007C49BD" w:rsidRPr="007C49BD" w:rsidRDefault="007C49BD" w:rsidP="007C49BD">
            <w:r w:rsidRPr="007C49BD">
              <w:t>Low-Moderate — fragmented landscape</w:t>
            </w:r>
          </w:p>
        </w:tc>
        <w:tc>
          <w:tcPr>
            <w:tcW w:w="0" w:type="auto"/>
            <w:vAlign w:val="center"/>
            <w:hideMark/>
          </w:tcPr>
          <w:p w14:paraId="1767F252" w14:textId="77777777" w:rsidR="007C49BD" w:rsidRPr="007C49BD" w:rsidRDefault="007C49BD" w:rsidP="007C49BD">
            <w:r w:rsidRPr="007C49BD">
              <w:t>Unrestricted (no zone limits)</w:t>
            </w:r>
          </w:p>
        </w:tc>
        <w:tc>
          <w:tcPr>
            <w:tcW w:w="0" w:type="auto"/>
            <w:vAlign w:val="center"/>
            <w:hideMark/>
          </w:tcPr>
          <w:p w14:paraId="09C7EA0A" w14:textId="77777777" w:rsidR="007C49BD" w:rsidRPr="007C49BD" w:rsidRDefault="007C49BD" w:rsidP="007C49BD">
            <w:r w:rsidRPr="007C49BD">
              <w:t>894</w:t>
            </w:r>
          </w:p>
        </w:tc>
      </w:tr>
      <w:tr w:rsidR="007C49BD" w:rsidRPr="007C49BD" w14:paraId="2C93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A337" w14:textId="77777777" w:rsidR="007C49BD" w:rsidRPr="007C49BD" w:rsidRDefault="007C49BD" w:rsidP="007C49BD">
            <w:r w:rsidRPr="007C49BD">
              <w:lastRenderedPageBreak/>
              <w:t>Al-Khobar</w:t>
            </w:r>
          </w:p>
        </w:tc>
        <w:tc>
          <w:tcPr>
            <w:tcW w:w="0" w:type="auto"/>
            <w:vAlign w:val="center"/>
            <w:hideMark/>
          </w:tcPr>
          <w:p w14:paraId="7AD5776D" w14:textId="77777777" w:rsidR="007C49BD" w:rsidRPr="007C49BD" w:rsidRDefault="007C49BD" w:rsidP="007C49BD">
            <w:r w:rsidRPr="007C49BD">
              <w:t>Low-Moderate — fragmented landscape</w:t>
            </w:r>
          </w:p>
        </w:tc>
        <w:tc>
          <w:tcPr>
            <w:tcW w:w="0" w:type="auto"/>
            <w:vAlign w:val="center"/>
            <w:hideMark/>
          </w:tcPr>
          <w:p w14:paraId="6A5399DD" w14:textId="77777777" w:rsidR="007C49BD" w:rsidRPr="007C49BD" w:rsidRDefault="007C49BD" w:rsidP="007C49BD">
            <w:r w:rsidRPr="007C49BD">
              <w:t>Unrestricted (no zone limits)</w:t>
            </w:r>
          </w:p>
        </w:tc>
        <w:tc>
          <w:tcPr>
            <w:tcW w:w="0" w:type="auto"/>
            <w:vAlign w:val="center"/>
            <w:hideMark/>
          </w:tcPr>
          <w:p w14:paraId="2442AA80" w14:textId="77777777" w:rsidR="007C49BD" w:rsidRPr="007C49BD" w:rsidRDefault="007C49BD" w:rsidP="007C49BD">
            <w:r w:rsidRPr="007C49BD">
              <w:t>976</w:t>
            </w:r>
          </w:p>
        </w:tc>
      </w:tr>
    </w:tbl>
    <w:p w14:paraId="36F82024" w14:textId="77777777" w:rsidR="007C49BD" w:rsidRPr="007C49BD" w:rsidRDefault="007C49BD" w:rsidP="007C49BD">
      <w:r w:rsidRPr="007C49BD">
        <w:rPr>
          <w:b/>
          <w:bCs/>
        </w:rPr>
        <w:t>[DATASET]</w:t>
      </w:r>
      <w:r w:rsidRPr="007C49BD">
        <w:t xml:space="preserve"> for listing </w:t>
      </w:r>
      <w:proofErr w:type="gramStart"/>
      <w:r w:rsidRPr="007C49BD">
        <w:t>counts ;</w:t>
      </w:r>
      <w:proofErr w:type="gramEnd"/>
      <w:r w:rsidRPr="007C49BD">
        <w:t xml:space="preserve"> </w:t>
      </w:r>
      <w:r w:rsidRPr="007C49BD">
        <w:rPr>
          <w:b/>
          <w:bCs/>
        </w:rPr>
        <w:t>[EXTERNAL RESEARCH — JLL, CBRE, K&amp;S Law]</w:t>
      </w:r>
      <w:r w:rsidRPr="007C49BD">
        <w:t xml:space="preserve"> for competition and ownership rules [1][2][5]</w:t>
      </w:r>
    </w:p>
    <w:p w14:paraId="67F5CCB5" w14:textId="77777777" w:rsidR="007C49BD" w:rsidRPr="007C49BD" w:rsidRDefault="007C49BD" w:rsidP="007C49BD">
      <w:r w:rsidRPr="007C49BD">
        <w:pict w14:anchorId="560F836B">
          <v:rect id="_x0000_i1056" style="width:0;height:1.5pt" o:hralign="center" o:hrstd="t" o:hr="t" fillcolor="#a0a0a0" stroked="f"/>
        </w:pict>
      </w:r>
    </w:p>
    <w:p w14:paraId="5BBB2E78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2. Key Trends and Signals</w:t>
      </w:r>
    </w:p>
    <w:p w14:paraId="36F28EF5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Trend 1: Riyadh rent freeze fundamentally alters the investment calculus</w:t>
      </w:r>
    </w:p>
    <w:p w14:paraId="12630CEC" w14:textId="77777777" w:rsidR="007C49BD" w:rsidRPr="007C49BD" w:rsidRDefault="007C49BD" w:rsidP="007C49BD">
      <w:r w:rsidRPr="007C49BD">
        <w:t xml:space="preserve">A </w:t>
      </w:r>
      <w:r w:rsidRPr="007C49BD">
        <w:rPr>
          <w:b/>
          <w:bCs/>
        </w:rPr>
        <w:t>five-year rent freeze</w:t>
      </w:r>
      <w:r w:rsidRPr="007C49BD">
        <w:t xml:space="preserve"> was imposed on Riyadh in September 2025, prohibiting any residential or commercial rent increases within Riyadh's urban boundaries through ~2030. Violations carry fines of up to 12 months' rent. </w:t>
      </w:r>
      <w:r w:rsidRPr="007C49BD">
        <w:rPr>
          <w:b/>
          <w:bCs/>
        </w:rPr>
        <w:t>[EXTERNAL RESEARCH — REGA/Economy Middle East, Sep 2025]</w:t>
      </w:r>
      <w:r w:rsidRPr="007C49BD">
        <w:t xml:space="preserve"> [1]</w:t>
      </w:r>
    </w:p>
    <w:p w14:paraId="7CF36AE2" w14:textId="77777777" w:rsidR="007C49BD" w:rsidRPr="007C49BD" w:rsidRDefault="007C49BD" w:rsidP="007C49BD">
      <w:pPr>
        <w:numPr>
          <w:ilvl w:val="0"/>
          <w:numId w:val="2"/>
        </w:numPr>
      </w:pPr>
      <w:r w:rsidRPr="007C49BD">
        <w:t xml:space="preserve">Pre-freeze, Riyadh posted the strongest growth: apartments +10.3% YoY, villas +14.4% YoY in H1 2025 (Cavendish Maxwell). </w:t>
      </w:r>
      <w:r w:rsidRPr="007C49BD">
        <w:rPr>
          <w:b/>
          <w:bCs/>
        </w:rPr>
        <w:t>[EXTERNAL RESEARCH]</w:t>
      </w:r>
      <w:r w:rsidRPr="007C49BD">
        <w:t xml:space="preserve"> [1]</w:t>
      </w:r>
    </w:p>
    <w:p w14:paraId="2158664D" w14:textId="77777777" w:rsidR="007C49BD" w:rsidRPr="007C49BD" w:rsidRDefault="007C49BD" w:rsidP="007C49BD">
      <w:pPr>
        <w:numPr>
          <w:ilvl w:val="0"/>
          <w:numId w:val="2"/>
        </w:numPr>
      </w:pPr>
      <w:r w:rsidRPr="007C49BD">
        <w:t>Post-</w:t>
      </w:r>
      <w:proofErr w:type="gramStart"/>
      <w:r w:rsidRPr="007C49BD">
        <w:t>freeze,</w:t>
      </w:r>
      <w:proofErr w:type="gramEnd"/>
      <w:r w:rsidRPr="007C49BD">
        <w:t xml:space="preserve"> Q1 2026 quarterly rents declined −2.8% (apartments) and −1.2% (villas), though YoY figures remained positive at ~6% and ~5%. </w:t>
      </w:r>
      <w:r w:rsidRPr="007C49BD">
        <w:rPr>
          <w:b/>
          <w:bCs/>
        </w:rPr>
        <w:t>[EXTERNAL RESEARCH — Gulf News/Cavendish Maxwell, Q1 2026]</w:t>
      </w:r>
      <w:r w:rsidRPr="007C49BD">
        <w:t xml:space="preserve"> [1]</w:t>
      </w:r>
    </w:p>
    <w:p w14:paraId="575957BC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Trend 2: Dammam/Al-Khobar emerging as the steadiest performers</w:t>
      </w:r>
    </w:p>
    <w:p w14:paraId="1987B73E" w14:textId="77777777" w:rsidR="007C49BD" w:rsidRPr="007C49BD" w:rsidRDefault="007C49BD" w:rsidP="007C49BD">
      <w:pPr>
        <w:numPr>
          <w:ilvl w:val="0"/>
          <w:numId w:val="3"/>
        </w:numPr>
      </w:pPr>
      <w:r w:rsidRPr="007C49BD">
        <w:t>Q1 2026 YoY growth: Dammam apartments +3.2%, villas +</w:t>
      </w:r>
      <w:proofErr w:type="gramStart"/>
      <w:r w:rsidRPr="007C49BD">
        <w:t>2.1% —</w:t>
      </w:r>
      <w:proofErr w:type="gramEnd"/>
      <w:r w:rsidRPr="007C49BD">
        <w:t xml:space="preserve"> balanced and consistent. </w:t>
      </w:r>
      <w:r w:rsidRPr="007C49BD">
        <w:rPr>
          <w:b/>
          <w:bCs/>
        </w:rPr>
        <w:t>[EXTERNAL RESEARCH — Gulf News, Q1 2026]</w:t>
      </w:r>
      <w:r w:rsidRPr="007C49BD">
        <w:t xml:space="preserve"> [1]</w:t>
      </w:r>
    </w:p>
    <w:p w14:paraId="068D873D" w14:textId="77777777" w:rsidR="007C49BD" w:rsidRPr="007C49BD" w:rsidRDefault="007C49BD" w:rsidP="007C49BD">
      <w:pPr>
        <w:numPr>
          <w:ilvl w:val="0"/>
          <w:numId w:val="3"/>
        </w:numPr>
      </w:pPr>
      <w:r w:rsidRPr="007C49BD">
        <w:t xml:space="preserve">The 2021 dataset already showed Dammam as the most affordable market (median SAR 60,000) and Al-Khobar in the mid-range (SAR 75,000), with the largest median unit size (348 m² in Al-Khobar). </w:t>
      </w:r>
      <w:r w:rsidRPr="007C49BD">
        <w:rPr>
          <w:b/>
          <w:bCs/>
        </w:rPr>
        <w:t>[DATASET — 2021]</w:t>
      </w:r>
      <w:r w:rsidRPr="007C49BD">
        <w:t xml:space="preserve"> [8]</w:t>
      </w:r>
    </w:p>
    <w:p w14:paraId="7E89EE19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 xml:space="preserve">Trend 3: Ownership-to-rental rotation </w:t>
      </w:r>
      <w:proofErr w:type="gramStart"/>
      <w:r w:rsidRPr="007C49BD">
        <w:rPr>
          <w:b/>
          <w:bCs/>
        </w:rPr>
        <w:t>accelerating</w:t>
      </w:r>
      <w:proofErr w:type="gramEnd"/>
      <w:r w:rsidRPr="007C49BD">
        <w:rPr>
          <w:b/>
          <w:bCs/>
        </w:rPr>
        <w:t xml:space="preserve"> nationwide</w:t>
      </w:r>
    </w:p>
    <w:p w14:paraId="0C80251A" w14:textId="77777777" w:rsidR="007C49BD" w:rsidRPr="007C49BD" w:rsidRDefault="007C49BD" w:rsidP="007C49BD">
      <w:pPr>
        <w:numPr>
          <w:ilvl w:val="0"/>
          <w:numId w:val="4"/>
        </w:numPr>
      </w:pPr>
      <w:proofErr w:type="spellStart"/>
      <w:r w:rsidRPr="007C49BD">
        <w:t>Ejar</w:t>
      </w:r>
      <w:proofErr w:type="spellEnd"/>
      <w:r w:rsidRPr="007C49BD">
        <w:t xml:space="preserve"> contract values surged </w:t>
      </w:r>
      <w:r w:rsidRPr="007C49BD">
        <w:rPr>
          <w:b/>
          <w:bCs/>
        </w:rPr>
        <w:t>85% in Q1 2026</w:t>
      </w:r>
      <w:r w:rsidRPr="007C49BD">
        <w:t xml:space="preserve">, indicating a powerful shift from buying to renting as sales prices cooled. </w:t>
      </w:r>
      <w:r w:rsidRPr="007C49BD">
        <w:rPr>
          <w:b/>
          <w:bCs/>
        </w:rPr>
        <w:t>[EXTERNAL RESEARCH — CBRE Q1 2026 Review]</w:t>
      </w:r>
      <w:r w:rsidRPr="007C49BD">
        <w:t xml:space="preserve"> [1]</w:t>
      </w:r>
    </w:p>
    <w:p w14:paraId="2B1C1F34" w14:textId="77777777" w:rsidR="007C49BD" w:rsidRPr="007C49BD" w:rsidRDefault="007C49BD" w:rsidP="007C49BD">
      <w:pPr>
        <w:numPr>
          <w:ilvl w:val="0"/>
          <w:numId w:val="4"/>
        </w:numPr>
      </w:pPr>
      <w:r w:rsidRPr="007C49BD">
        <w:t xml:space="preserve">Nationwide residential transaction values contracted </w:t>
      </w:r>
      <w:r w:rsidRPr="007C49BD">
        <w:rPr>
          <w:b/>
          <w:bCs/>
        </w:rPr>
        <w:t>26.9% YoY</w:t>
      </w:r>
      <w:r w:rsidRPr="007C49BD">
        <w:t xml:space="preserve"> in Q2 2026 to SAR 37.67 billion. </w:t>
      </w:r>
      <w:r w:rsidRPr="007C49BD">
        <w:rPr>
          <w:b/>
          <w:bCs/>
        </w:rPr>
        <w:t>[EXTERNAL RESEARCH — CBRE Q2 2026]</w:t>
      </w:r>
      <w:r w:rsidRPr="007C49BD">
        <w:t xml:space="preserve"> [2]</w:t>
      </w:r>
    </w:p>
    <w:p w14:paraId="70E5CFAD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lastRenderedPageBreak/>
        <w:t>Trend 4: Massive supply pipeline — unevenly distributed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2454"/>
        <w:gridCol w:w="1553"/>
      </w:tblGrid>
      <w:tr w:rsidR="007C49BD" w:rsidRPr="007C49BD" w14:paraId="47BB1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D0C1F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BA6C6DE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Planned Units by 2030</w:t>
            </w:r>
          </w:p>
        </w:tc>
        <w:tc>
          <w:tcPr>
            <w:tcW w:w="0" w:type="auto"/>
            <w:vAlign w:val="center"/>
            <w:hideMark/>
          </w:tcPr>
          <w:p w14:paraId="48282909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Share of Total</w:t>
            </w:r>
          </w:p>
        </w:tc>
      </w:tr>
      <w:tr w:rsidR="007C49BD" w:rsidRPr="007C49BD" w14:paraId="0DC5C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3C5C" w14:textId="77777777" w:rsidR="007C49BD" w:rsidRPr="007C49BD" w:rsidRDefault="007C49BD" w:rsidP="007C49BD">
            <w:r w:rsidRPr="007C49BD">
              <w:t>Western KSA (Jeddah/NEOM)</w:t>
            </w:r>
          </w:p>
        </w:tc>
        <w:tc>
          <w:tcPr>
            <w:tcW w:w="0" w:type="auto"/>
            <w:vAlign w:val="center"/>
            <w:hideMark/>
          </w:tcPr>
          <w:p w14:paraId="18517F4C" w14:textId="77777777" w:rsidR="007C49BD" w:rsidRPr="007C49BD" w:rsidRDefault="007C49BD" w:rsidP="007C49BD">
            <w:r w:rsidRPr="007C49BD">
              <w:t>382,500</w:t>
            </w:r>
          </w:p>
        </w:tc>
        <w:tc>
          <w:tcPr>
            <w:tcW w:w="0" w:type="auto"/>
            <w:vAlign w:val="center"/>
            <w:hideMark/>
          </w:tcPr>
          <w:p w14:paraId="098D536A" w14:textId="77777777" w:rsidR="007C49BD" w:rsidRPr="007C49BD" w:rsidRDefault="007C49BD" w:rsidP="007C49BD">
            <w:r w:rsidRPr="007C49BD">
              <w:t>44.8%</w:t>
            </w:r>
          </w:p>
        </w:tc>
      </w:tr>
      <w:tr w:rsidR="007C49BD" w:rsidRPr="007C49BD" w14:paraId="13C0F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B3530" w14:textId="77777777" w:rsidR="007C49BD" w:rsidRPr="007C49BD" w:rsidRDefault="007C49BD" w:rsidP="007C49BD">
            <w:r w:rsidRPr="007C49BD">
              <w:t>Riyadh</w:t>
            </w:r>
          </w:p>
        </w:tc>
        <w:tc>
          <w:tcPr>
            <w:tcW w:w="0" w:type="auto"/>
            <w:vAlign w:val="center"/>
            <w:hideMark/>
          </w:tcPr>
          <w:p w14:paraId="1E347291" w14:textId="77777777" w:rsidR="007C49BD" w:rsidRPr="007C49BD" w:rsidRDefault="007C49BD" w:rsidP="007C49BD">
            <w:r w:rsidRPr="007C49BD">
              <w:t>340,000</w:t>
            </w:r>
          </w:p>
        </w:tc>
        <w:tc>
          <w:tcPr>
            <w:tcW w:w="0" w:type="auto"/>
            <w:vAlign w:val="center"/>
            <w:hideMark/>
          </w:tcPr>
          <w:p w14:paraId="5D1BEF87" w14:textId="77777777" w:rsidR="007C49BD" w:rsidRPr="007C49BD" w:rsidRDefault="007C49BD" w:rsidP="007C49BD">
            <w:r w:rsidRPr="007C49BD">
              <w:t>39.8%</w:t>
            </w:r>
          </w:p>
        </w:tc>
      </w:tr>
      <w:tr w:rsidR="007C49BD" w:rsidRPr="007C49BD" w14:paraId="11033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1C61" w14:textId="77777777" w:rsidR="007C49BD" w:rsidRPr="007C49BD" w:rsidRDefault="007C49BD" w:rsidP="007C49BD">
            <w:r w:rsidRPr="007C49BD">
              <w:t>Eastern Province &amp; Other</w:t>
            </w:r>
          </w:p>
        </w:tc>
        <w:tc>
          <w:tcPr>
            <w:tcW w:w="0" w:type="auto"/>
            <w:vAlign w:val="center"/>
            <w:hideMark/>
          </w:tcPr>
          <w:p w14:paraId="69BDAB9F" w14:textId="77777777" w:rsidR="007C49BD" w:rsidRPr="007C49BD" w:rsidRDefault="007C49BD" w:rsidP="007C49BD">
            <w:r w:rsidRPr="007C49BD">
              <w:t>132,300</w:t>
            </w:r>
          </w:p>
        </w:tc>
        <w:tc>
          <w:tcPr>
            <w:tcW w:w="0" w:type="auto"/>
            <w:vAlign w:val="center"/>
            <w:hideMark/>
          </w:tcPr>
          <w:p w14:paraId="2C6DF2AA" w14:textId="77777777" w:rsidR="007C49BD" w:rsidRPr="007C49BD" w:rsidRDefault="007C49BD" w:rsidP="007C49BD">
            <w:r w:rsidRPr="007C49BD">
              <w:t>15.5%</w:t>
            </w:r>
          </w:p>
        </w:tc>
      </w:tr>
      <w:tr w:rsidR="007C49BD" w:rsidRPr="007C49BD" w14:paraId="76DC3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043F" w14:textId="77777777" w:rsidR="007C49BD" w:rsidRPr="007C49BD" w:rsidRDefault="007C49BD" w:rsidP="007C49BD">
            <w:r w:rsidRPr="007C49B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287B19D" w14:textId="77777777" w:rsidR="007C49BD" w:rsidRPr="007C49BD" w:rsidRDefault="007C49BD" w:rsidP="007C49BD">
            <w:r w:rsidRPr="007C49BD">
              <w:rPr>
                <w:b/>
                <w:bCs/>
              </w:rPr>
              <w:t>854,800</w:t>
            </w:r>
          </w:p>
        </w:tc>
        <w:tc>
          <w:tcPr>
            <w:tcW w:w="0" w:type="auto"/>
            <w:vAlign w:val="center"/>
            <w:hideMark/>
          </w:tcPr>
          <w:p w14:paraId="0AB5ADE1" w14:textId="77777777" w:rsidR="007C49BD" w:rsidRPr="007C49BD" w:rsidRDefault="007C49BD" w:rsidP="007C49BD">
            <w:r w:rsidRPr="007C49BD">
              <w:rPr>
                <w:b/>
                <w:bCs/>
              </w:rPr>
              <w:t>100%</w:t>
            </w:r>
          </w:p>
        </w:tc>
      </w:tr>
    </w:tbl>
    <w:p w14:paraId="79F871BF" w14:textId="77777777" w:rsidR="007C49BD" w:rsidRPr="007C49BD" w:rsidRDefault="007C49BD" w:rsidP="007C49BD">
      <w:r w:rsidRPr="007C49BD">
        <w:rPr>
          <w:b/>
          <w:bCs/>
        </w:rPr>
        <w:t>[EXTERNAL RESEARCH — Fast Company ME / JLL, 2025]</w:t>
      </w:r>
      <w:r w:rsidRPr="007C49BD">
        <w:t>.[1][2] The Eastern Province receives the smallest supply allocation, which reduces oversupply risk for Dammam/Al-Khobar investors.</w:t>
      </w:r>
    </w:p>
    <w:p w14:paraId="4B30A10D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Trend 5: Regulatory modernization opening the market</w:t>
      </w:r>
    </w:p>
    <w:p w14:paraId="239F4285" w14:textId="77777777" w:rsidR="007C49BD" w:rsidRPr="007C49BD" w:rsidRDefault="007C49BD" w:rsidP="007C49BD">
      <w:pPr>
        <w:numPr>
          <w:ilvl w:val="0"/>
          <w:numId w:val="5"/>
        </w:numPr>
      </w:pPr>
      <w:r w:rsidRPr="007C49BD">
        <w:rPr>
          <w:b/>
          <w:bCs/>
        </w:rPr>
        <w:t>Foreign Ownership Law</w:t>
      </w:r>
      <w:r w:rsidRPr="007C49BD">
        <w:t xml:space="preserve"> (effective Jan 22, 2026): Non-Saudis can own in 170 zones in Riyadh/Jeddah; </w:t>
      </w:r>
      <w:r w:rsidRPr="007C49BD">
        <w:rPr>
          <w:b/>
          <w:bCs/>
        </w:rPr>
        <w:t>unrestricted</w:t>
      </w:r>
      <w:r w:rsidRPr="007C49BD">
        <w:t xml:space="preserve"> in Dammam/Al-Khobar. </w:t>
      </w:r>
      <w:r w:rsidRPr="007C49BD">
        <w:rPr>
          <w:b/>
          <w:bCs/>
        </w:rPr>
        <w:t>[EXTERNAL RESEARCH — REGA/JLL, Jan 2026]</w:t>
      </w:r>
      <w:r w:rsidRPr="007C49BD">
        <w:t xml:space="preserve"> [1][2]</w:t>
      </w:r>
    </w:p>
    <w:p w14:paraId="2FC7B724" w14:textId="77777777" w:rsidR="007C49BD" w:rsidRPr="007C49BD" w:rsidRDefault="007C49BD" w:rsidP="007C49BD">
      <w:pPr>
        <w:numPr>
          <w:ilvl w:val="0"/>
          <w:numId w:val="5"/>
        </w:numPr>
      </w:pPr>
      <w:proofErr w:type="spellStart"/>
      <w:r w:rsidRPr="007C49BD">
        <w:rPr>
          <w:b/>
          <w:bCs/>
        </w:rPr>
        <w:t>Ejar</w:t>
      </w:r>
      <w:proofErr w:type="spellEnd"/>
      <w:r w:rsidRPr="007C49BD">
        <w:rPr>
          <w:b/>
          <w:bCs/>
        </w:rPr>
        <w:t xml:space="preserve"> digital mandate</w:t>
      </w:r>
      <w:r w:rsidRPr="007C49BD">
        <w:t xml:space="preserve"> (Jan 2024): All residential rent payments must go through digital channels, creating unprecedented transparency. </w:t>
      </w:r>
      <w:r w:rsidRPr="007C49BD">
        <w:rPr>
          <w:b/>
          <w:bCs/>
        </w:rPr>
        <w:t>[EXTERNAL RESEARCH — REGA, 2024]</w:t>
      </w:r>
      <w:r w:rsidRPr="007C49BD">
        <w:t xml:space="preserve"> [1][2]</w:t>
      </w:r>
    </w:p>
    <w:p w14:paraId="1BC9BD37" w14:textId="77777777" w:rsidR="007C49BD" w:rsidRPr="007C49BD" w:rsidRDefault="007C49BD" w:rsidP="007C49BD">
      <w:pPr>
        <w:numPr>
          <w:ilvl w:val="0"/>
          <w:numId w:val="5"/>
        </w:numPr>
      </w:pPr>
      <w:r w:rsidRPr="007C49BD">
        <w:rPr>
          <w:b/>
          <w:bCs/>
        </w:rPr>
        <w:t>White Land Tax overhaul</w:t>
      </w:r>
      <w:r w:rsidRPr="007C49BD">
        <w:t xml:space="preserve"> (May 2025): Tiered rates up to 10% on undeveloped land, incentivizing development. </w:t>
      </w:r>
      <w:r w:rsidRPr="007C49BD">
        <w:rPr>
          <w:b/>
          <w:bCs/>
        </w:rPr>
        <w:t>[EXTERNAL RESEARCH — K&amp;S Law, 2025]</w:t>
      </w:r>
      <w:r w:rsidRPr="007C49BD">
        <w:t xml:space="preserve"> [1][2]</w:t>
      </w:r>
    </w:p>
    <w:p w14:paraId="256CB85B" w14:textId="77777777" w:rsidR="007C49BD" w:rsidRPr="007C49BD" w:rsidRDefault="007C49BD" w:rsidP="007C49BD">
      <w:r w:rsidRPr="007C49BD">
        <w:pict w14:anchorId="2C318207">
          <v:rect id="_x0000_i1057" style="width:0;height:1.5pt" o:hralign="center" o:hrstd="t" o:hr="t" fillcolor="#a0a0a0" stroked="f"/>
        </w:pict>
      </w:r>
    </w:p>
    <w:p w14:paraId="56E93893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3. Opportunities and Risks</w:t>
      </w:r>
    </w:p>
    <w:p w14:paraId="4C2C3E1C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Opportunities</w:t>
      </w:r>
    </w:p>
    <w:p w14:paraId="5857A8CA" w14:textId="77777777" w:rsidR="007C49BD" w:rsidRPr="007C49BD" w:rsidRDefault="007C49BD" w:rsidP="007C49BD">
      <w:pPr>
        <w:numPr>
          <w:ilvl w:val="0"/>
          <w:numId w:val="6"/>
        </w:numPr>
      </w:pPr>
      <w:r w:rsidRPr="007C49BD">
        <w:rPr>
          <w:b/>
          <w:bCs/>
        </w:rPr>
        <w:t>Early-mover advantage in Dammam/Al-Khobar BTR</w:t>
      </w:r>
      <w:r w:rsidRPr="007C49BD">
        <w:t xml:space="preserve"> — Low institutional competition, unrestricted foreign ownership, steady 2–3% rent growth, and the smallest supply pipeline create a favorable entry window for mid-scale investors. </w:t>
      </w:r>
      <w:r w:rsidRPr="007C49BD">
        <w:rPr>
          <w:b/>
          <w:bCs/>
        </w:rPr>
        <w:t>[EXTERNAL RESEARCH]</w:t>
      </w:r>
      <w:r w:rsidRPr="007C49BD">
        <w:t xml:space="preserve">.[1] The 2021 dataset confirms the lowest median rents (SAR 60K–75K), meaning lower capital requirements. </w:t>
      </w:r>
      <w:r w:rsidRPr="007C49BD">
        <w:rPr>
          <w:b/>
          <w:bCs/>
        </w:rPr>
        <w:t>[DATASET]</w:t>
      </w:r>
      <w:r w:rsidRPr="007C49BD">
        <w:t xml:space="preserve"> [6]</w:t>
      </w:r>
    </w:p>
    <w:p w14:paraId="35F32773" w14:textId="77777777" w:rsidR="007C49BD" w:rsidRPr="007C49BD" w:rsidRDefault="007C49BD" w:rsidP="007C49BD">
      <w:pPr>
        <w:numPr>
          <w:ilvl w:val="0"/>
          <w:numId w:val="6"/>
        </w:numPr>
      </w:pPr>
      <w:r w:rsidRPr="007C49BD">
        <w:rPr>
          <w:b/>
          <w:bCs/>
        </w:rPr>
        <w:t>Jeddah's giga-project employment multiplier</w:t>
      </w:r>
      <w:r w:rsidRPr="007C49BD">
        <w:t xml:space="preserve"> — $431.3 billion in western giga-projects (NEOM, Red Sea Global, Jeddah Central, </w:t>
      </w:r>
      <w:proofErr w:type="spellStart"/>
      <w:r w:rsidRPr="007C49BD">
        <w:t>Qiddiya</w:t>
      </w:r>
      <w:proofErr w:type="spellEnd"/>
      <w:r w:rsidRPr="007C49BD">
        <w:t xml:space="preserve"> Coast) will drive long-term housing demand. </w:t>
      </w:r>
      <w:r w:rsidRPr="007C49BD">
        <w:rPr>
          <w:b/>
          <w:bCs/>
        </w:rPr>
        <w:t>[EXTERNAL RESEARCH — Fast Company ME, 2025]</w:t>
      </w:r>
      <w:r w:rsidRPr="007C49BD">
        <w:t xml:space="preserve">.[1] </w:t>
      </w:r>
      <w:r w:rsidRPr="007C49BD">
        <w:lastRenderedPageBreak/>
        <w:t xml:space="preserve">Jeddah already commands the highest median rents (SAR 95K) and the richest amenity profile (39% pool, 17% furnished). </w:t>
      </w:r>
      <w:r w:rsidRPr="007C49BD">
        <w:rPr>
          <w:b/>
          <w:bCs/>
        </w:rPr>
        <w:t>[DATASET — 2021]</w:t>
      </w:r>
      <w:r w:rsidRPr="007C49BD">
        <w:t xml:space="preserve"> [7][11]</w:t>
      </w:r>
    </w:p>
    <w:p w14:paraId="4C3D26FE" w14:textId="77777777" w:rsidR="007C49BD" w:rsidRPr="007C49BD" w:rsidRDefault="007C49BD" w:rsidP="007C49BD">
      <w:pPr>
        <w:numPr>
          <w:ilvl w:val="0"/>
          <w:numId w:val="6"/>
        </w:numPr>
      </w:pPr>
      <w:r w:rsidRPr="007C49BD">
        <w:rPr>
          <w:b/>
          <w:bCs/>
        </w:rPr>
        <w:t>Ownership-to-rental rotation</w:t>
      </w:r>
      <w:r w:rsidRPr="007C49BD">
        <w:t xml:space="preserve"> — The 85% surge in </w:t>
      </w:r>
      <w:proofErr w:type="spellStart"/>
      <w:r w:rsidRPr="007C49BD">
        <w:t>Ejar</w:t>
      </w:r>
      <w:proofErr w:type="spellEnd"/>
      <w:r w:rsidRPr="007C49BD">
        <w:t xml:space="preserve"> contract values and 26.9% decline in transaction values signal a structural demand shift toward renting, expanding the addressable tenant pool nationwide. </w:t>
      </w:r>
      <w:r w:rsidRPr="007C49BD">
        <w:rPr>
          <w:b/>
          <w:bCs/>
        </w:rPr>
        <w:t>[EXTERNAL RESEARCH — CBRE, 2026]</w:t>
      </w:r>
      <w:r w:rsidRPr="007C49BD">
        <w:t xml:space="preserve"> [1][2]</w:t>
      </w:r>
    </w:p>
    <w:p w14:paraId="610DAB4C" w14:textId="77777777" w:rsidR="007C49BD" w:rsidRPr="007C49BD" w:rsidRDefault="007C49BD" w:rsidP="007C49BD">
      <w:pPr>
        <w:numPr>
          <w:ilvl w:val="0"/>
          <w:numId w:val="6"/>
        </w:numPr>
      </w:pPr>
      <w:r w:rsidRPr="007C49BD">
        <w:rPr>
          <w:b/>
          <w:bCs/>
        </w:rPr>
        <w:t>Furnished/premium gap in Al-Khobar</w:t>
      </w:r>
      <w:r w:rsidRPr="007C49BD">
        <w:t xml:space="preserve"> — Only 1.5% of 2021 Al-Khobar listings were furnished vs. 21.8% in Dammam and 17.1% in Jeddah, suggesting an underserved niche for furnished rental product. </w:t>
      </w:r>
      <w:r w:rsidRPr="007C49BD">
        <w:rPr>
          <w:b/>
          <w:bCs/>
        </w:rPr>
        <w:t>[DATASET — 2021]</w:t>
      </w:r>
      <w:r w:rsidRPr="007C49BD">
        <w:t xml:space="preserve"> [10]</w:t>
      </w:r>
    </w:p>
    <w:p w14:paraId="64717852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Risks</w:t>
      </w:r>
    </w:p>
    <w:p w14:paraId="7021C956" w14:textId="77777777" w:rsidR="007C49BD" w:rsidRPr="007C49BD" w:rsidRDefault="007C49BD" w:rsidP="007C49BD">
      <w:pPr>
        <w:numPr>
          <w:ilvl w:val="0"/>
          <w:numId w:val="7"/>
        </w:numPr>
      </w:pPr>
      <w:r w:rsidRPr="007C49BD">
        <w:rPr>
          <w:b/>
          <w:bCs/>
        </w:rPr>
        <w:t>Riyadh rent freeze extension</w:t>
      </w:r>
      <w:r w:rsidRPr="007C49BD">
        <w:t xml:space="preserve"> — The freeze may extend to other cities pending Council of Economic and Development Affairs approval. </w:t>
      </w:r>
      <w:r w:rsidRPr="007C49BD">
        <w:rPr>
          <w:b/>
          <w:bCs/>
        </w:rPr>
        <w:t>[EXTERNAL RESEARCH — Economy Middle East, 2025]</w:t>
      </w:r>
      <w:r w:rsidRPr="007C49BD">
        <w:t>.[2] This is the single largest regulatory risk for any Saudi rental investment.</w:t>
      </w:r>
    </w:p>
    <w:p w14:paraId="5B35E97E" w14:textId="77777777" w:rsidR="007C49BD" w:rsidRPr="007C49BD" w:rsidRDefault="007C49BD" w:rsidP="007C49BD">
      <w:pPr>
        <w:numPr>
          <w:ilvl w:val="0"/>
          <w:numId w:val="7"/>
        </w:numPr>
      </w:pPr>
      <w:r w:rsidRPr="007C49BD">
        <w:rPr>
          <w:b/>
          <w:bCs/>
        </w:rPr>
        <w:t>Jeddah absorption risk</w:t>
      </w:r>
      <w:r w:rsidRPr="007C49BD">
        <w:t xml:space="preserve"> — 382,500 planned units in western KSA represent the largest regional pipeline; if absorption slows, rents could soften. JLL notes developers are strategically phasing delivery to mitigate this. </w:t>
      </w:r>
      <w:r w:rsidRPr="007C49BD">
        <w:rPr>
          <w:b/>
          <w:bCs/>
        </w:rPr>
        <w:t>[EXTERNAL RESEARCH — JLL, 2025]</w:t>
      </w:r>
      <w:r w:rsidRPr="007C49BD">
        <w:t xml:space="preserve"> [1][2]</w:t>
      </w:r>
    </w:p>
    <w:p w14:paraId="3E4B6D5A" w14:textId="77777777" w:rsidR="007C49BD" w:rsidRPr="007C49BD" w:rsidRDefault="007C49BD" w:rsidP="007C49BD">
      <w:pPr>
        <w:numPr>
          <w:ilvl w:val="0"/>
          <w:numId w:val="7"/>
        </w:numPr>
      </w:pPr>
      <w:r w:rsidRPr="007C49BD">
        <w:rPr>
          <w:b/>
          <w:bCs/>
        </w:rPr>
        <w:t>Dataset staleness</w:t>
      </w:r>
      <w:r w:rsidRPr="007C49BD">
        <w:t xml:space="preserve"> — The 2021 AQAR dataset predates all major regulatory changes (rent freeze, foreign ownership law, </w:t>
      </w:r>
      <w:proofErr w:type="spellStart"/>
      <w:r w:rsidRPr="007C49BD">
        <w:t>Ejar</w:t>
      </w:r>
      <w:proofErr w:type="spellEnd"/>
      <w:r w:rsidRPr="007C49BD">
        <w:t xml:space="preserve"> mandate, White Land Tax overhaul). Current rent levels and market dynamics may differ materially. </w:t>
      </w:r>
      <w:r w:rsidRPr="007C49BD">
        <w:rPr>
          <w:b/>
          <w:bCs/>
        </w:rPr>
        <w:t>[DATASET limitation]</w:t>
      </w:r>
    </w:p>
    <w:p w14:paraId="6EAEE2B8" w14:textId="77777777" w:rsidR="007C49BD" w:rsidRPr="007C49BD" w:rsidRDefault="007C49BD" w:rsidP="007C49BD">
      <w:pPr>
        <w:numPr>
          <w:ilvl w:val="0"/>
          <w:numId w:val="7"/>
        </w:numPr>
      </w:pPr>
      <w:r w:rsidRPr="007C49BD">
        <w:rPr>
          <w:b/>
          <w:bCs/>
        </w:rPr>
        <w:t>Source conflict on Riyadh villa growth</w:t>
      </w:r>
      <w:r w:rsidRPr="007C49BD">
        <w:t xml:space="preserve"> — Cavendish Maxwell reported +14.4% YoY in H1 2025, while CBRE reported +11.6% YoY in Q3 2025 — a ~3 percentage-point gap likely reflecting different measurement periods. By Q2 2026, CBRE reported national villa values declining 9.7%, while Cavendish Maxwell showed Riyadh villas still up ~7% YoY. </w:t>
      </w:r>
      <w:r w:rsidRPr="007C49BD">
        <w:rPr>
          <w:b/>
          <w:bCs/>
        </w:rPr>
        <w:t>[EXTERNAL RESEARCH — flagged conflict]</w:t>
      </w:r>
      <w:r w:rsidRPr="007C49BD">
        <w:t xml:space="preserve"> [1][2]</w:t>
      </w:r>
    </w:p>
    <w:p w14:paraId="463CA28E" w14:textId="77777777" w:rsidR="007C49BD" w:rsidRPr="007C49BD" w:rsidRDefault="007C49BD" w:rsidP="007C49BD">
      <w:r w:rsidRPr="007C49BD">
        <w:pict w14:anchorId="02561E70">
          <v:rect id="_x0000_i1058" style="width:0;height:1.5pt" o:hralign="center" o:hrstd="t" o:hr="t" fillcolor="#a0a0a0" stroked="f"/>
        </w:pict>
      </w:r>
    </w:p>
    <w:p w14:paraId="1F350937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4. Supporting Evidence: Dataset vs. Research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535"/>
        <w:gridCol w:w="1648"/>
        <w:gridCol w:w="1579"/>
        <w:gridCol w:w="1492"/>
        <w:gridCol w:w="1507"/>
      </w:tblGrid>
      <w:tr w:rsidR="007C49BD" w:rsidRPr="007C49BD" w14:paraId="61A3B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F3E79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DFC8A56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C53F20B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Riyadh</w:t>
            </w:r>
          </w:p>
        </w:tc>
        <w:tc>
          <w:tcPr>
            <w:tcW w:w="0" w:type="auto"/>
            <w:vAlign w:val="center"/>
            <w:hideMark/>
          </w:tcPr>
          <w:p w14:paraId="0B793996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Jeddah</w:t>
            </w:r>
          </w:p>
        </w:tc>
        <w:tc>
          <w:tcPr>
            <w:tcW w:w="0" w:type="auto"/>
            <w:vAlign w:val="center"/>
            <w:hideMark/>
          </w:tcPr>
          <w:p w14:paraId="44A2DBB3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Dammam</w:t>
            </w:r>
          </w:p>
        </w:tc>
        <w:tc>
          <w:tcPr>
            <w:tcW w:w="0" w:type="auto"/>
            <w:vAlign w:val="center"/>
            <w:hideMark/>
          </w:tcPr>
          <w:p w14:paraId="36D34250" w14:textId="77777777" w:rsidR="007C49BD" w:rsidRPr="007C49BD" w:rsidRDefault="007C49BD" w:rsidP="007C49BD">
            <w:pPr>
              <w:rPr>
                <w:b/>
                <w:bCs/>
              </w:rPr>
            </w:pPr>
            <w:r w:rsidRPr="007C49BD">
              <w:rPr>
                <w:b/>
                <w:bCs/>
              </w:rPr>
              <w:t>Al-Khobar</w:t>
            </w:r>
          </w:p>
        </w:tc>
      </w:tr>
      <w:tr w:rsidR="007C49BD" w:rsidRPr="007C49BD" w14:paraId="04C9E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06C6" w14:textId="77777777" w:rsidR="007C49BD" w:rsidRPr="007C49BD" w:rsidRDefault="007C49BD" w:rsidP="007C49BD">
            <w:r w:rsidRPr="007C49BD">
              <w:t>Median Annual Rent (SAR)</w:t>
            </w:r>
          </w:p>
        </w:tc>
        <w:tc>
          <w:tcPr>
            <w:tcW w:w="0" w:type="auto"/>
            <w:vAlign w:val="center"/>
            <w:hideMark/>
          </w:tcPr>
          <w:p w14:paraId="4AAFC860" w14:textId="77777777" w:rsidR="007C49BD" w:rsidRPr="007C49BD" w:rsidRDefault="007C49BD" w:rsidP="007C49BD">
            <w:r w:rsidRPr="007C49BD">
              <w:t>DATASET (2021)</w:t>
            </w:r>
          </w:p>
        </w:tc>
        <w:tc>
          <w:tcPr>
            <w:tcW w:w="0" w:type="auto"/>
            <w:vAlign w:val="center"/>
            <w:hideMark/>
          </w:tcPr>
          <w:p w14:paraId="54A6DAAC" w14:textId="77777777" w:rsidR="007C49BD" w:rsidRPr="007C49BD" w:rsidRDefault="007C49BD" w:rsidP="007C49BD">
            <w:r w:rsidRPr="007C49BD">
              <w:t>80,000</w:t>
            </w:r>
          </w:p>
        </w:tc>
        <w:tc>
          <w:tcPr>
            <w:tcW w:w="0" w:type="auto"/>
            <w:vAlign w:val="center"/>
            <w:hideMark/>
          </w:tcPr>
          <w:p w14:paraId="201FE37C" w14:textId="77777777" w:rsidR="007C49BD" w:rsidRPr="007C49BD" w:rsidRDefault="007C49BD" w:rsidP="007C49BD">
            <w:r w:rsidRPr="007C49BD">
              <w:t>95,000</w:t>
            </w:r>
          </w:p>
        </w:tc>
        <w:tc>
          <w:tcPr>
            <w:tcW w:w="0" w:type="auto"/>
            <w:vAlign w:val="center"/>
            <w:hideMark/>
          </w:tcPr>
          <w:p w14:paraId="0266CE36" w14:textId="77777777" w:rsidR="007C49BD" w:rsidRPr="007C49BD" w:rsidRDefault="007C49BD" w:rsidP="007C49BD">
            <w:r w:rsidRPr="007C49BD">
              <w:t>60,000</w:t>
            </w:r>
          </w:p>
        </w:tc>
        <w:tc>
          <w:tcPr>
            <w:tcW w:w="0" w:type="auto"/>
            <w:vAlign w:val="center"/>
            <w:hideMark/>
          </w:tcPr>
          <w:p w14:paraId="3D01B001" w14:textId="77777777" w:rsidR="007C49BD" w:rsidRPr="007C49BD" w:rsidRDefault="007C49BD" w:rsidP="007C49BD">
            <w:r w:rsidRPr="007C49BD">
              <w:t>75,000</w:t>
            </w:r>
          </w:p>
        </w:tc>
      </w:tr>
      <w:tr w:rsidR="007C49BD" w:rsidRPr="007C49BD" w14:paraId="1F6E6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27F6" w14:textId="77777777" w:rsidR="007C49BD" w:rsidRPr="007C49BD" w:rsidRDefault="007C49BD" w:rsidP="007C49BD">
            <w:r w:rsidRPr="007C49BD">
              <w:lastRenderedPageBreak/>
              <w:t>Rent levels cited in research</w:t>
            </w:r>
          </w:p>
        </w:tc>
        <w:tc>
          <w:tcPr>
            <w:tcW w:w="0" w:type="auto"/>
            <w:vAlign w:val="center"/>
            <w:hideMark/>
          </w:tcPr>
          <w:p w14:paraId="479CF1B7" w14:textId="77777777" w:rsidR="007C49BD" w:rsidRPr="007C49BD" w:rsidRDefault="007C49BD" w:rsidP="007C49BD">
            <w:r w:rsidRPr="007C49BD">
              <w:t>EXTERNAL RESEARCH (2025-26)</w:t>
            </w:r>
          </w:p>
        </w:tc>
        <w:tc>
          <w:tcPr>
            <w:tcW w:w="0" w:type="auto"/>
            <w:vAlign w:val="center"/>
            <w:hideMark/>
          </w:tcPr>
          <w:p w14:paraId="6AF1E227" w14:textId="77777777" w:rsidR="007C49BD" w:rsidRPr="007C49BD" w:rsidRDefault="007C49BD" w:rsidP="007C49BD">
            <w:r w:rsidRPr="007C49BD">
              <w:t>~SAR 80K–95K referenced as 2021 baseline</w:t>
            </w:r>
          </w:p>
        </w:tc>
        <w:tc>
          <w:tcPr>
            <w:tcW w:w="0" w:type="auto"/>
            <w:vAlign w:val="center"/>
            <w:hideMark/>
          </w:tcPr>
          <w:p w14:paraId="5C7DE8DA" w14:textId="77777777" w:rsidR="007C49BD" w:rsidRPr="007C49BD" w:rsidRDefault="007C49BD" w:rsidP="007C49BD">
            <w:r w:rsidRPr="007C49BD">
              <w:t>~SAR 95K referenced as 2021 baseline</w:t>
            </w:r>
          </w:p>
        </w:tc>
        <w:tc>
          <w:tcPr>
            <w:tcW w:w="0" w:type="auto"/>
            <w:vAlign w:val="center"/>
            <w:hideMark/>
          </w:tcPr>
          <w:p w14:paraId="655AE89B" w14:textId="77777777" w:rsidR="007C49BD" w:rsidRPr="007C49BD" w:rsidRDefault="007C49BD" w:rsidP="007C49BD">
            <w:r w:rsidRPr="007C49BD">
              <w:t>Not separately quoted</w:t>
            </w:r>
          </w:p>
        </w:tc>
        <w:tc>
          <w:tcPr>
            <w:tcW w:w="0" w:type="auto"/>
            <w:vAlign w:val="center"/>
            <w:hideMark/>
          </w:tcPr>
          <w:p w14:paraId="6B9A7459" w14:textId="77777777" w:rsidR="007C49BD" w:rsidRPr="007C49BD" w:rsidRDefault="007C49BD" w:rsidP="007C49BD">
            <w:r w:rsidRPr="007C49BD">
              <w:t>Not separately quoted</w:t>
            </w:r>
          </w:p>
        </w:tc>
      </w:tr>
      <w:tr w:rsidR="007C49BD" w:rsidRPr="007C49BD" w14:paraId="36B18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8F77" w14:textId="77777777" w:rsidR="007C49BD" w:rsidRPr="007C49BD" w:rsidRDefault="007C49BD" w:rsidP="007C49BD">
            <w:r w:rsidRPr="007C49BD">
              <w:t>Listing Count</w:t>
            </w:r>
          </w:p>
        </w:tc>
        <w:tc>
          <w:tcPr>
            <w:tcW w:w="0" w:type="auto"/>
            <w:vAlign w:val="center"/>
            <w:hideMark/>
          </w:tcPr>
          <w:p w14:paraId="6CCCC9B4" w14:textId="77777777" w:rsidR="007C49BD" w:rsidRPr="007C49BD" w:rsidRDefault="007C49BD" w:rsidP="007C49BD">
            <w:r w:rsidRPr="007C49BD">
              <w:t>DATASET (2021)</w:t>
            </w:r>
          </w:p>
        </w:tc>
        <w:tc>
          <w:tcPr>
            <w:tcW w:w="0" w:type="auto"/>
            <w:vAlign w:val="center"/>
            <w:hideMark/>
          </w:tcPr>
          <w:p w14:paraId="0762F9CD" w14:textId="77777777" w:rsidR="007C49BD" w:rsidRPr="007C49BD" w:rsidRDefault="007C49BD" w:rsidP="007C49BD">
            <w:r w:rsidRPr="007C49BD">
              <w:t>960</w:t>
            </w:r>
          </w:p>
        </w:tc>
        <w:tc>
          <w:tcPr>
            <w:tcW w:w="0" w:type="auto"/>
            <w:vAlign w:val="center"/>
            <w:hideMark/>
          </w:tcPr>
          <w:p w14:paraId="7B15E73D" w14:textId="77777777" w:rsidR="007C49BD" w:rsidRPr="007C49BD" w:rsidRDefault="007C49BD" w:rsidP="007C49BD">
            <w:r w:rsidRPr="007C49BD">
              <w:t>888</w:t>
            </w:r>
          </w:p>
        </w:tc>
        <w:tc>
          <w:tcPr>
            <w:tcW w:w="0" w:type="auto"/>
            <w:vAlign w:val="center"/>
            <w:hideMark/>
          </w:tcPr>
          <w:p w14:paraId="12551117" w14:textId="77777777" w:rsidR="007C49BD" w:rsidRPr="007C49BD" w:rsidRDefault="007C49BD" w:rsidP="007C49BD">
            <w:r w:rsidRPr="007C49BD">
              <w:t>894</w:t>
            </w:r>
          </w:p>
        </w:tc>
        <w:tc>
          <w:tcPr>
            <w:tcW w:w="0" w:type="auto"/>
            <w:vAlign w:val="center"/>
            <w:hideMark/>
          </w:tcPr>
          <w:p w14:paraId="647D51A1" w14:textId="77777777" w:rsidR="007C49BD" w:rsidRPr="007C49BD" w:rsidRDefault="007C49BD" w:rsidP="007C49BD">
            <w:r w:rsidRPr="007C49BD">
              <w:t>976</w:t>
            </w:r>
          </w:p>
        </w:tc>
      </w:tr>
      <w:tr w:rsidR="007C49BD" w:rsidRPr="007C49BD" w14:paraId="6FFE3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38DC" w14:textId="77777777" w:rsidR="007C49BD" w:rsidRPr="007C49BD" w:rsidRDefault="007C49BD" w:rsidP="007C49BD">
            <w:r w:rsidRPr="007C49BD">
              <w:t>Median Size (m²)</w:t>
            </w:r>
          </w:p>
        </w:tc>
        <w:tc>
          <w:tcPr>
            <w:tcW w:w="0" w:type="auto"/>
            <w:vAlign w:val="center"/>
            <w:hideMark/>
          </w:tcPr>
          <w:p w14:paraId="42203E84" w14:textId="77777777" w:rsidR="007C49BD" w:rsidRPr="007C49BD" w:rsidRDefault="007C49BD" w:rsidP="007C49BD">
            <w:r w:rsidRPr="007C49BD">
              <w:t>DATASET (2021)</w:t>
            </w:r>
          </w:p>
        </w:tc>
        <w:tc>
          <w:tcPr>
            <w:tcW w:w="0" w:type="auto"/>
            <w:vAlign w:val="center"/>
            <w:hideMark/>
          </w:tcPr>
          <w:p w14:paraId="6A0B2BB0" w14:textId="77777777" w:rsidR="007C49BD" w:rsidRPr="007C49BD" w:rsidRDefault="007C49BD" w:rsidP="007C49BD">
            <w:r w:rsidRPr="007C49BD">
              <w:t>323.5</w:t>
            </w:r>
          </w:p>
        </w:tc>
        <w:tc>
          <w:tcPr>
            <w:tcW w:w="0" w:type="auto"/>
            <w:vAlign w:val="center"/>
            <w:hideMark/>
          </w:tcPr>
          <w:p w14:paraId="4997E1B1" w14:textId="77777777" w:rsidR="007C49BD" w:rsidRPr="007C49BD" w:rsidRDefault="007C49BD" w:rsidP="007C49BD">
            <w:r w:rsidRPr="007C49BD">
              <w:t>312.0</w:t>
            </w:r>
          </w:p>
        </w:tc>
        <w:tc>
          <w:tcPr>
            <w:tcW w:w="0" w:type="auto"/>
            <w:vAlign w:val="center"/>
            <w:hideMark/>
          </w:tcPr>
          <w:p w14:paraId="62BA2C93" w14:textId="77777777" w:rsidR="007C49BD" w:rsidRPr="007C49BD" w:rsidRDefault="007C49BD" w:rsidP="007C49BD">
            <w:r w:rsidRPr="007C49BD">
              <w:t>300.0</w:t>
            </w:r>
          </w:p>
        </w:tc>
        <w:tc>
          <w:tcPr>
            <w:tcW w:w="0" w:type="auto"/>
            <w:vAlign w:val="center"/>
            <w:hideMark/>
          </w:tcPr>
          <w:p w14:paraId="1B4CE51D" w14:textId="77777777" w:rsidR="007C49BD" w:rsidRPr="007C49BD" w:rsidRDefault="007C49BD" w:rsidP="007C49BD">
            <w:r w:rsidRPr="007C49BD">
              <w:t>348.0</w:t>
            </w:r>
          </w:p>
        </w:tc>
      </w:tr>
      <w:tr w:rsidR="007C49BD" w:rsidRPr="007C49BD" w14:paraId="6F82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87714" w14:textId="77777777" w:rsidR="007C49BD" w:rsidRPr="007C49BD" w:rsidRDefault="007C49BD" w:rsidP="007C49BD">
            <w:r w:rsidRPr="007C49BD">
              <w:t>Median Bedrooms</w:t>
            </w:r>
          </w:p>
        </w:tc>
        <w:tc>
          <w:tcPr>
            <w:tcW w:w="0" w:type="auto"/>
            <w:vAlign w:val="center"/>
            <w:hideMark/>
          </w:tcPr>
          <w:p w14:paraId="07ECE341" w14:textId="77777777" w:rsidR="007C49BD" w:rsidRPr="007C49BD" w:rsidRDefault="007C49BD" w:rsidP="007C49BD">
            <w:r w:rsidRPr="007C49BD">
              <w:t>DATASET (2021)</w:t>
            </w:r>
          </w:p>
        </w:tc>
        <w:tc>
          <w:tcPr>
            <w:tcW w:w="0" w:type="auto"/>
            <w:vAlign w:val="center"/>
            <w:hideMark/>
          </w:tcPr>
          <w:p w14:paraId="25D6F5CE" w14:textId="77777777" w:rsidR="007C49BD" w:rsidRPr="007C49BD" w:rsidRDefault="007C49BD" w:rsidP="007C49BD">
            <w:r w:rsidRPr="007C49BD">
              <w:t>5</w:t>
            </w:r>
          </w:p>
        </w:tc>
        <w:tc>
          <w:tcPr>
            <w:tcW w:w="0" w:type="auto"/>
            <w:vAlign w:val="center"/>
            <w:hideMark/>
          </w:tcPr>
          <w:p w14:paraId="42A0945C" w14:textId="77777777" w:rsidR="007C49BD" w:rsidRPr="007C49BD" w:rsidRDefault="007C49BD" w:rsidP="007C49BD">
            <w:r w:rsidRPr="007C49BD">
              <w:t>5</w:t>
            </w:r>
          </w:p>
        </w:tc>
        <w:tc>
          <w:tcPr>
            <w:tcW w:w="0" w:type="auto"/>
            <w:vAlign w:val="center"/>
            <w:hideMark/>
          </w:tcPr>
          <w:p w14:paraId="256873ED" w14:textId="77777777" w:rsidR="007C49BD" w:rsidRPr="007C49BD" w:rsidRDefault="007C49BD" w:rsidP="007C49BD">
            <w:r w:rsidRPr="007C49BD">
              <w:t>5</w:t>
            </w:r>
          </w:p>
        </w:tc>
        <w:tc>
          <w:tcPr>
            <w:tcW w:w="0" w:type="auto"/>
            <w:vAlign w:val="center"/>
            <w:hideMark/>
          </w:tcPr>
          <w:p w14:paraId="33341128" w14:textId="77777777" w:rsidR="007C49BD" w:rsidRPr="007C49BD" w:rsidRDefault="007C49BD" w:rsidP="007C49BD">
            <w:r w:rsidRPr="007C49BD">
              <w:t>5</w:t>
            </w:r>
          </w:p>
        </w:tc>
      </w:tr>
      <w:tr w:rsidR="007C49BD" w:rsidRPr="007C49BD" w14:paraId="3109C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D8A2E" w14:textId="77777777" w:rsidR="007C49BD" w:rsidRPr="007C49BD" w:rsidRDefault="007C49BD" w:rsidP="007C49BD">
            <w:r w:rsidRPr="007C49BD">
              <w:t>YoY Rent Growth (Q1 2026)</w:t>
            </w:r>
          </w:p>
        </w:tc>
        <w:tc>
          <w:tcPr>
            <w:tcW w:w="0" w:type="auto"/>
            <w:vAlign w:val="center"/>
            <w:hideMark/>
          </w:tcPr>
          <w:p w14:paraId="5E2ABED5" w14:textId="77777777" w:rsidR="007C49BD" w:rsidRPr="007C49BD" w:rsidRDefault="007C49BD" w:rsidP="007C49BD">
            <w:r w:rsidRPr="007C49BD">
              <w:t>EXTERNAL RESEARCH</w:t>
            </w:r>
          </w:p>
        </w:tc>
        <w:tc>
          <w:tcPr>
            <w:tcW w:w="0" w:type="auto"/>
            <w:vAlign w:val="center"/>
            <w:hideMark/>
          </w:tcPr>
          <w:p w14:paraId="28E7CD18" w14:textId="77777777" w:rsidR="007C49BD" w:rsidRPr="007C49BD" w:rsidRDefault="007C49BD" w:rsidP="007C49BD">
            <w:r w:rsidRPr="007C49BD">
              <w:t>~5–6%</w:t>
            </w:r>
          </w:p>
        </w:tc>
        <w:tc>
          <w:tcPr>
            <w:tcW w:w="0" w:type="auto"/>
            <w:vAlign w:val="center"/>
            <w:hideMark/>
          </w:tcPr>
          <w:p w14:paraId="5FB3D1C8" w14:textId="77777777" w:rsidR="007C49BD" w:rsidRPr="007C49BD" w:rsidRDefault="007C49BD" w:rsidP="007C49BD">
            <w:r w:rsidRPr="007C49BD">
              <w:t>~1–2.7%</w:t>
            </w:r>
          </w:p>
        </w:tc>
        <w:tc>
          <w:tcPr>
            <w:tcW w:w="0" w:type="auto"/>
            <w:vAlign w:val="center"/>
            <w:hideMark/>
          </w:tcPr>
          <w:p w14:paraId="1083CB1D" w14:textId="77777777" w:rsidR="007C49BD" w:rsidRPr="007C49BD" w:rsidRDefault="007C49BD" w:rsidP="007C49BD">
            <w:r w:rsidRPr="007C49BD">
              <w:t>2.1–3.2%</w:t>
            </w:r>
          </w:p>
        </w:tc>
        <w:tc>
          <w:tcPr>
            <w:tcW w:w="0" w:type="auto"/>
            <w:vAlign w:val="center"/>
            <w:hideMark/>
          </w:tcPr>
          <w:p w14:paraId="2B13C8C4" w14:textId="77777777" w:rsidR="007C49BD" w:rsidRPr="007C49BD" w:rsidRDefault="007C49BD" w:rsidP="007C49BD">
            <w:proofErr w:type="gramStart"/>
            <w:r w:rsidRPr="007C49BD">
              <w:t>Similar to</w:t>
            </w:r>
            <w:proofErr w:type="gramEnd"/>
            <w:r w:rsidRPr="007C49BD">
              <w:t xml:space="preserve"> Dammam</w:t>
            </w:r>
          </w:p>
        </w:tc>
      </w:tr>
      <w:tr w:rsidR="007C49BD" w:rsidRPr="007C49BD" w14:paraId="4EF00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C082" w14:textId="77777777" w:rsidR="007C49BD" w:rsidRPr="007C49BD" w:rsidRDefault="007C49BD" w:rsidP="007C49BD">
            <w:r w:rsidRPr="007C49BD">
              <w:t>Rent Freeze</w:t>
            </w:r>
          </w:p>
        </w:tc>
        <w:tc>
          <w:tcPr>
            <w:tcW w:w="0" w:type="auto"/>
            <w:vAlign w:val="center"/>
            <w:hideMark/>
          </w:tcPr>
          <w:p w14:paraId="38B22494" w14:textId="77777777" w:rsidR="007C49BD" w:rsidRPr="007C49BD" w:rsidRDefault="007C49BD" w:rsidP="007C49BD">
            <w:r w:rsidRPr="007C49BD">
              <w:t>EXTERNAL RESEARCH</w:t>
            </w:r>
          </w:p>
        </w:tc>
        <w:tc>
          <w:tcPr>
            <w:tcW w:w="0" w:type="auto"/>
            <w:vAlign w:val="center"/>
            <w:hideMark/>
          </w:tcPr>
          <w:p w14:paraId="25320414" w14:textId="77777777" w:rsidR="007C49BD" w:rsidRPr="007C49BD" w:rsidRDefault="007C49BD" w:rsidP="007C49BD">
            <w:r w:rsidRPr="007C49BD">
              <w:t>Yes (5 years)</w:t>
            </w:r>
          </w:p>
        </w:tc>
        <w:tc>
          <w:tcPr>
            <w:tcW w:w="0" w:type="auto"/>
            <w:vAlign w:val="center"/>
            <w:hideMark/>
          </w:tcPr>
          <w:p w14:paraId="0AD34398" w14:textId="77777777" w:rsidR="007C49BD" w:rsidRPr="007C49BD" w:rsidRDefault="007C49BD" w:rsidP="007C49BD">
            <w:r w:rsidRPr="007C49BD">
              <w:t>No</w:t>
            </w:r>
          </w:p>
        </w:tc>
        <w:tc>
          <w:tcPr>
            <w:tcW w:w="0" w:type="auto"/>
            <w:vAlign w:val="center"/>
            <w:hideMark/>
          </w:tcPr>
          <w:p w14:paraId="65D4C6E7" w14:textId="77777777" w:rsidR="007C49BD" w:rsidRPr="007C49BD" w:rsidRDefault="007C49BD" w:rsidP="007C49BD">
            <w:r w:rsidRPr="007C49BD">
              <w:t>No</w:t>
            </w:r>
          </w:p>
        </w:tc>
        <w:tc>
          <w:tcPr>
            <w:tcW w:w="0" w:type="auto"/>
            <w:vAlign w:val="center"/>
            <w:hideMark/>
          </w:tcPr>
          <w:p w14:paraId="2EDF7DF6" w14:textId="77777777" w:rsidR="007C49BD" w:rsidRPr="007C49BD" w:rsidRDefault="007C49BD" w:rsidP="007C49BD">
            <w:r w:rsidRPr="007C49BD">
              <w:t>No</w:t>
            </w:r>
          </w:p>
        </w:tc>
      </w:tr>
      <w:tr w:rsidR="007C49BD" w:rsidRPr="007C49BD" w14:paraId="7053C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46E0" w14:textId="77777777" w:rsidR="007C49BD" w:rsidRPr="007C49BD" w:rsidRDefault="007C49BD" w:rsidP="007C49BD">
            <w:r w:rsidRPr="007C49BD">
              <w:t>Institutional Competition</w:t>
            </w:r>
          </w:p>
        </w:tc>
        <w:tc>
          <w:tcPr>
            <w:tcW w:w="0" w:type="auto"/>
            <w:vAlign w:val="center"/>
            <w:hideMark/>
          </w:tcPr>
          <w:p w14:paraId="6838F9E1" w14:textId="77777777" w:rsidR="007C49BD" w:rsidRPr="007C49BD" w:rsidRDefault="007C49BD" w:rsidP="007C49BD">
            <w:r w:rsidRPr="007C49BD">
              <w:t>EXTERNAL RESEARCH</w:t>
            </w:r>
          </w:p>
        </w:tc>
        <w:tc>
          <w:tcPr>
            <w:tcW w:w="0" w:type="auto"/>
            <w:vAlign w:val="center"/>
            <w:hideMark/>
          </w:tcPr>
          <w:p w14:paraId="6CD72C44" w14:textId="77777777" w:rsidR="007C49BD" w:rsidRPr="007C49BD" w:rsidRDefault="007C49BD" w:rsidP="007C49BD">
            <w:r w:rsidRPr="007C49BD">
              <w:t>Very High</w:t>
            </w:r>
          </w:p>
        </w:tc>
        <w:tc>
          <w:tcPr>
            <w:tcW w:w="0" w:type="auto"/>
            <w:vAlign w:val="center"/>
            <w:hideMark/>
          </w:tcPr>
          <w:p w14:paraId="15CA0C64" w14:textId="77777777" w:rsidR="007C49BD" w:rsidRPr="007C49BD" w:rsidRDefault="007C49BD" w:rsidP="007C49BD">
            <w:r w:rsidRPr="007C49BD">
              <w:t>Moderate</w:t>
            </w:r>
          </w:p>
        </w:tc>
        <w:tc>
          <w:tcPr>
            <w:tcW w:w="0" w:type="auto"/>
            <w:vAlign w:val="center"/>
            <w:hideMark/>
          </w:tcPr>
          <w:p w14:paraId="034A0A29" w14:textId="77777777" w:rsidR="007C49BD" w:rsidRPr="007C49BD" w:rsidRDefault="007C49BD" w:rsidP="007C49BD">
            <w:r w:rsidRPr="007C49BD">
              <w:t>Low-Moderate</w:t>
            </w:r>
          </w:p>
        </w:tc>
        <w:tc>
          <w:tcPr>
            <w:tcW w:w="0" w:type="auto"/>
            <w:vAlign w:val="center"/>
            <w:hideMark/>
          </w:tcPr>
          <w:p w14:paraId="4A74725A" w14:textId="77777777" w:rsidR="007C49BD" w:rsidRPr="007C49BD" w:rsidRDefault="007C49BD" w:rsidP="007C49BD">
            <w:r w:rsidRPr="007C49BD">
              <w:t>Low-Moderate</w:t>
            </w:r>
          </w:p>
        </w:tc>
      </w:tr>
      <w:tr w:rsidR="007C49BD" w:rsidRPr="007C49BD" w14:paraId="48078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992A" w14:textId="77777777" w:rsidR="007C49BD" w:rsidRPr="007C49BD" w:rsidRDefault="007C49BD" w:rsidP="007C49BD">
            <w:r w:rsidRPr="007C49BD">
              <w:t>Foreign Ownership</w:t>
            </w:r>
          </w:p>
        </w:tc>
        <w:tc>
          <w:tcPr>
            <w:tcW w:w="0" w:type="auto"/>
            <w:vAlign w:val="center"/>
            <w:hideMark/>
          </w:tcPr>
          <w:p w14:paraId="3CE7CA22" w14:textId="77777777" w:rsidR="007C49BD" w:rsidRPr="007C49BD" w:rsidRDefault="007C49BD" w:rsidP="007C49BD">
            <w:r w:rsidRPr="007C49BD">
              <w:t>EXTERNAL RESEARCH</w:t>
            </w:r>
          </w:p>
        </w:tc>
        <w:tc>
          <w:tcPr>
            <w:tcW w:w="0" w:type="auto"/>
            <w:vAlign w:val="center"/>
            <w:hideMark/>
          </w:tcPr>
          <w:p w14:paraId="23424715" w14:textId="77777777" w:rsidR="007C49BD" w:rsidRPr="007C49BD" w:rsidRDefault="007C49BD" w:rsidP="007C49BD">
            <w:r w:rsidRPr="007C49BD">
              <w:t>170 zones</w:t>
            </w:r>
          </w:p>
        </w:tc>
        <w:tc>
          <w:tcPr>
            <w:tcW w:w="0" w:type="auto"/>
            <w:vAlign w:val="center"/>
            <w:hideMark/>
          </w:tcPr>
          <w:p w14:paraId="40ADA41B" w14:textId="77777777" w:rsidR="007C49BD" w:rsidRPr="007C49BD" w:rsidRDefault="007C49BD" w:rsidP="007C49BD">
            <w:r w:rsidRPr="007C49BD">
              <w:t>170 zones</w:t>
            </w:r>
          </w:p>
        </w:tc>
        <w:tc>
          <w:tcPr>
            <w:tcW w:w="0" w:type="auto"/>
            <w:vAlign w:val="center"/>
            <w:hideMark/>
          </w:tcPr>
          <w:p w14:paraId="607D717B" w14:textId="77777777" w:rsidR="007C49BD" w:rsidRPr="007C49BD" w:rsidRDefault="007C49BD" w:rsidP="007C49BD">
            <w:r w:rsidRPr="007C49BD">
              <w:t>Unrestricted</w:t>
            </w:r>
          </w:p>
        </w:tc>
        <w:tc>
          <w:tcPr>
            <w:tcW w:w="0" w:type="auto"/>
            <w:vAlign w:val="center"/>
            <w:hideMark/>
          </w:tcPr>
          <w:p w14:paraId="47775513" w14:textId="77777777" w:rsidR="007C49BD" w:rsidRPr="007C49BD" w:rsidRDefault="007C49BD" w:rsidP="007C49BD">
            <w:r w:rsidRPr="007C49BD">
              <w:t>Unrestricted</w:t>
            </w:r>
          </w:p>
        </w:tc>
      </w:tr>
      <w:tr w:rsidR="007C49BD" w:rsidRPr="007C49BD" w14:paraId="73A93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25BD" w14:textId="77777777" w:rsidR="007C49BD" w:rsidRPr="007C49BD" w:rsidRDefault="007C49BD" w:rsidP="007C49BD">
            <w:r w:rsidRPr="007C49BD">
              <w:t>% Furnished</w:t>
            </w:r>
          </w:p>
        </w:tc>
        <w:tc>
          <w:tcPr>
            <w:tcW w:w="0" w:type="auto"/>
            <w:vAlign w:val="center"/>
            <w:hideMark/>
          </w:tcPr>
          <w:p w14:paraId="27FAB601" w14:textId="77777777" w:rsidR="007C49BD" w:rsidRPr="007C49BD" w:rsidRDefault="007C49BD" w:rsidP="007C49BD">
            <w:r w:rsidRPr="007C49BD">
              <w:t>DATASET (2021)</w:t>
            </w:r>
          </w:p>
        </w:tc>
        <w:tc>
          <w:tcPr>
            <w:tcW w:w="0" w:type="auto"/>
            <w:vAlign w:val="center"/>
            <w:hideMark/>
          </w:tcPr>
          <w:p w14:paraId="5824FEE2" w14:textId="77777777" w:rsidR="007C49BD" w:rsidRPr="007C49BD" w:rsidRDefault="007C49BD" w:rsidP="007C49BD">
            <w:r w:rsidRPr="007C49BD">
              <w:t>10.1%</w:t>
            </w:r>
          </w:p>
        </w:tc>
        <w:tc>
          <w:tcPr>
            <w:tcW w:w="0" w:type="auto"/>
            <w:vAlign w:val="center"/>
            <w:hideMark/>
          </w:tcPr>
          <w:p w14:paraId="1E52F8A0" w14:textId="77777777" w:rsidR="007C49BD" w:rsidRPr="007C49BD" w:rsidRDefault="007C49BD" w:rsidP="007C49BD">
            <w:r w:rsidRPr="007C49BD">
              <w:t>17.1%</w:t>
            </w:r>
          </w:p>
        </w:tc>
        <w:tc>
          <w:tcPr>
            <w:tcW w:w="0" w:type="auto"/>
            <w:vAlign w:val="center"/>
            <w:hideMark/>
          </w:tcPr>
          <w:p w14:paraId="7018C167" w14:textId="77777777" w:rsidR="007C49BD" w:rsidRPr="007C49BD" w:rsidRDefault="007C49BD" w:rsidP="007C49BD">
            <w:r w:rsidRPr="007C49BD">
              <w:t>21.8%</w:t>
            </w:r>
          </w:p>
        </w:tc>
        <w:tc>
          <w:tcPr>
            <w:tcW w:w="0" w:type="auto"/>
            <w:vAlign w:val="center"/>
            <w:hideMark/>
          </w:tcPr>
          <w:p w14:paraId="00C07DDD" w14:textId="77777777" w:rsidR="007C49BD" w:rsidRPr="007C49BD" w:rsidRDefault="007C49BD" w:rsidP="007C49BD">
            <w:r w:rsidRPr="007C49BD">
              <w:t>1.5%</w:t>
            </w:r>
          </w:p>
        </w:tc>
      </w:tr>
      <w:tr w:rsidR="007C49BD" w:rsidRPr="007C49BD" w14:paraId="5B16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B9BFF" w14:textId="77777777" w:rsidR="007C49BD" w:rsidRPr="007C49BD" w:rsidRDefault="007C49BD" w:rsidP="007C49BD">
            <w:r w:rsidRPr="007C49BD">
              <w:t>% Pool</w:t>
            </w:r>
          </w:p>
        </w:tc>
        <w:tc>
          <w:tcPr>
            <w:tcW w:w="0" w:type="auto"/>
            <w:vAlign w:val="center"/>
            <w:hideMark/>
          </w:tcPr>
          <w:p w14:paraId="75AC5A14" w14:textId="77777777" w:rsidR="007C49BD" w:rsidRPr="007C49BD" w:rsidRDefault="007C49BD" w:rsidP="007C49BD">
            <w:r w:rsidRPr="007C49BD">
              <w:t>DATASET (2021)</w:t>
            </w:r>
          </w:p>
        </w:tc>
        <w:tc>
          <w:tcPr>
            <w:tcW w:w="0" w:type="auto"/>
            <w:vAlign w:val="center"/>
            <w:hideMark/>
          </w:tcPr>
          <w:p w14:paraId="7008A64D" w14:textId="77777777" w:rsidR="007C49BD" w:rsidRPr="007C49BD" w:rsidRDefault="007C49BD" w:rsidP="007C49BD">
            <w:r w:rsidRPr="007C49BD">
              <w:t>9.8%</w:t>
            </w:r>
          </w:p>
        </w:tc>
        <w:tc>
          <w:tcPr>
            <w:tcW w:w="0" w:type="auto"/>
            <w:vAlign w:val="center"/>
            <w:hideMark/>
          </w:tcPr>
          <w:p w14:paraId="16E0CDB0" w14:textId="77777777" w:rsidR="007C49BD" w:rsidRPr="007C49BD" w:rsidRDefault="007C49BD" w:rsidP="007C49BD">
            <w:r w:rsidRPr="007C49BD">
              <w:t>39.3%</w:t>
            </w:r>
          </w:p>
        </w:tc>
        <w:tc>
          <w:tcPr>
            <w:tcW w:w="0" w:type="auto"/>
            <w:vAlign w:val="center"/>
            <w:hideMark/>
          </w:tcPr>
          <w:p w14:paraId="493F9A33" w14:textId="77777777" w:rsidR="007C49BD" w:rsidRPr="007C49BD" w:rsidRDefault="007C49BD" w:rsidP="007C49BD">
            <w:r w:rsidRPr="007C49BD">
              <w:t>5.8%</w:t>
            </w:r>
          </w:p>
        </w:tc>
        <w:tc>
          <w:tcPr>
            <w:tcW w:w="0" w:type="auto"/>
            <w:vAlign w:val="center"/>
            <w:hideMark/>
          </w:tcPr>
          <w:p w14:paraId="280B7863" w14:textId="77777777" w:rsidR="007C49BD" w:rsidRPr="007C49BD" w:rsidRDefault="007C49BD" w:rsidP="007C49BD">
            <w:r w:rsidRPr="007C49BD">
              <w:t>11.2%</w:t>
            </w:r>
          </w:p>
        </w:tc>
      </w:tr>
    </w:tbl>
    <w:p w14:paraId="7C556EFA" w14:textId="77777777" w:rsidR="007C49BD" w:rsidRPr="007C49BD" w:rsidRDefault="007C49BD" w:rsidP="007C49BD">
      <w:r w:rsidRPr="007C49BD">
        <w:t>for DATASET columns; for EXTERNAL RESEARCH columns.[1][2]</w:t>
      </w:r>
    </w:p>
    <w:p w14:paraId="748F6321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>5. Agreement and Conflict Assessment</w:t>
      </w:r>
    </w:p>
    <w:p w14:paraId="3BDAE200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 xml:space="preserve">Where sources AGREE </w:t>
      </w:r>
      <w:r w:rsidRPr="007C49BD">
        <w:rPr>
          <w:rFonts w:ascii="Segoe UI Emoji" w:hAnsi="Segoe UI Emoji" w:cs="Segoe UI Emoji"/>
          <w:b/>
          <w:bCs/>
        </w:rPr>
        <w:t>✅</w:t>
      </w:r>
    </w:p>
    <w:p w14:paraId="571CDAF6" w14:textId="77777777" w:rsidR="007C49BD" w:rsidRPr="007C49BD" w:rsidRDefault="007C49BD" w:rsidP="007C49BD">
      <w:pPr>
        <w:numPr>
          <w:ilvl w:val="0"/>
          <w:numId w:val="8"/>
        </w:numPr>
      </w:pPr>
      <w:r w:rsidRPr="007C49BD">
        <w:rPr>
          <w:b/>
          <w:bCs/>
        </w:rPr>
        <w:t>City rent ranking is consistent</w:t>
      </w:r>
      <w:r w:rsidRPr="007C49BD">
        <w:t xml:space="preserve">: Both the 2021 dataset and the research report confirm the same hierarchy — Jeddah highest, then Riyadh, Al-Khobar, Dammam </w:t>
      </w:r>
      <w:r w:rsidRPr="007C49BD">
        <w:lastRenderedPageBreak/>
        <w:t>lowest. The research explicitly references the dataset's figures (SAR 95K / 80K / 75K / 60K) as the 2021 baseline.[1][3]</w:t>
      </w:r>
    </w:p>
    <w:p w14:paraId="0908FBB8" w14:textId="77777777" w:rsidR="007C49BD" w:rsidRPr="007C49BD" w:rsidRDefault="007C49BD" w:rsidP="007C49BD">
      <w:pPr>
        <w:numPr>
          <w:ilvl w:val="0"/>
          <w:numId w:val="8"/>
        </w:numPr>
      </w:pPr>
      <w:r w:rsidRPr="007C49BD">
        <w:rPr>
          <w:b/>
          <w:bCs/>
        </w:rPr>
        <w:t>Uniform property profile</w:t>
      </w:r>
      <w:r w:rsidRPr="007C49BD">
        <w:t>: The dataset shows all four cities dominated by large 5-bed/5-bath villa-style units (~300–348 m²), consistent with the research's focus on villa and apartment segments.[9]</w:t>
      </w:r>
    </w:p>
    <w:p w14:paraId="38AD67FC" w14:textId="77777777" w:rsidR="007C49BD" w:rsidRPr="007C49BD" w:rsidRDefault="007C49BD" w:rsidP="007C49BD">
      <w:pPr>
        <w:numPr>
          <w:ilvl w:val="0"/>
          <w:numId w:val="8"/>
        </w:numPr>
      </w:pPr>
      <w:r w:rsidRPr="007C49BD">
        <w:rPr>
          <w:b/>
          <w:bCs/>
        </w:rPr>
        <w:t>Dammam/Al-Khobar as underserved</w:t>
      </w:r>
      <w:r w:rsidRPr="007C49BD">
        <w:t>: Both sources point to lower competition and pricing in the Eastern Province.[1][4]</w:t>
      </w:r>
    </w:p>
    <w:p w14:paraId="6F7AF37A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 xml:space="preserve">Where sources DISAGREE or CANNOT BE COMPARED </w:t>
      </w:r>
      <w:r w:rsidRPr="007C49BD">
        <w:rPr>
          <w:rFonts w:ascii="Segoe UI Emoji" w:hAnsi="Segoe UI Emoji" w:cs="Segoe UI Emoji"/>
          <w:b/>
          <w:bCs/>
        </w:rPr>
        <w:t>⚠️</w:t>
      </w:r>
    </w:p>
    <w:p w14:paraId="5ADB93B8" w14:textId="77777777" w:rsidR="007C49BD" w:rsidRPr="007C49BD" w:rsidRDefault="007C49BD" w:rsidP="007C49BD">
      <w:pPr>
        <w:numPr>
          <w:ilvl w:val="0"/>
          <w:numId w:val="9"/>
        </w:numPr>
      </w:pPr>
      <w:r w:rsidRPr="007C49BD">
        <w:rPr>
          <w:b/>
          <w:bCs/>
        </w:rPr>
        <w:t>Current rent levels</w:t>
      </w:r>
      <w:r w:rsidRPr="007C49BD">
        <w:t xml:space="preserve">: The dataset reflects 2021 asking rents only. The research reports significant growth since then (e.g., Riyadh apartments +10.3% in H1 2025 alone), meaning actual 2025–2026 rents are materially higher than dataset figures. </w:t>
      </w:r>
      <w:r w:rsidRPr="007C49BD">
        <w:rPr>
          <w:b/>
          <w:bCs/>
        </w:rPr>
        <w:t>No direct comparison is possible.</w:t>
      </w:r>
    </w:p>
    <w:p w14:paraId="34BED22F" w14:textId="77777777" w:rsidR="007C49BD" w:rsidRPr="007C49BD" w:rsidRDefault="007C49BD" w:rsidP="007C49BD">
      <w:pPr>
        <w:numPr>
          <w:ilvl w:val="0"/>
          <w:numId w:val="9"/>
        </w:numPr>
      </w:pPr>
      <w:r w:rsidRPr="007C49BD">
        <w:rPr>
          <w:b/>
          <w:bCs/>
        </w:rPr>
        <w:t>Riyadh villa growth conflict within external sources</w:t>
      </w:r>
      <w:r w:rsidRPr="007C49BD">
        <w:t xml:space="preserve">: Cavendish Maxwell (+14.4% H1 2025) vs. CBRE (+11.6% Q3 </w:t>
      </w:r>
      <w:proofErr w:type="gramStart"/>
      <w:r w:rsidRPr="007C49BD">
        <w:t>2025) —</w:t>
      </w:r>
      <w:proofErr w:type="gramEnd"/>
      <w:r w:rsidRPr="007C49BD">
        <w:t xml:space="preserve"> ~3 pp gap.[2]</w:t>
      </w:r>
    </w:p>
    <w:p w14:paraId="179234D6" w14:textId="77777777" w:rsidR="007C49BD" w:rsidRPr="007C49BD" w:rsidRDefault="007C49BD" w:rsidP="007C49BD">
      <w:pPr>
        <w:numPr>
          <w:ilvl w:val="0"/>
          <w:numId w:val="9"/>
        </w:numPr>
      </w:pPr>
      <w:r w:rsidRPr="007C49BD">
        <w:rPr>
          <w:b/>
          <w:bCs/>
        </w:rPr>
        <w:t>National vs. city-level villa values</w:t>
      </w:r>
      <w:r w:rsidRPr="007C49BD">
        <w:t>: CBRE reports national villa values −9.7% in Q2 2026, while Cavendish Maxwell shows Riyadh villas still positive. The divergence suggests Riyadh outperforms the national average.[2]</w:t>
      </w:r>
    </w:p>
    <w:p w14:paraId="5F01AE76" w14:textId="77777777" w:rsidR="007C49BD" w:rsidRPr="007C49BD" w:rsidRDefault="007C49BD" w:rsidP="007C49BD">
      <w:pPr>
        <w:numPr>
          <w:ilvl w:val="0"/>
          <w:numId w:val="9"/>
        </w:numPr>
      </w:pPr>
      <w:r w:rsidRPr="007C49BD">
        <w:rPr>
          <w:b/>
          <w:bCs/>
        </w:rPr>
        <w:t>AC penetration data quality</w:t>
      </w:r>
      <w:r w:rsidRPr="007C49BD">
        <w:t xml:space="preserve">: The dataset shows only 51–64% of listings flagging AC, which is implausible given Saudi Arabia's climate. This is likely a listing-quality issue, not a real market signal. </w:t>
      </w:r>
      <w:r w:rsidRPr="007C49BD">
        <w:rPr>
          <w:b/>
          <w:bCs/>
        </w:rPr>
        <w:t>[DATASET caveat]</w:t>
      </w:r>
      <w:r w:rsidRPr="007C49BD">
        <w:t xml:space="preserve"> [12]</w:t>
      </w:r>
    </w:p>
    <w:p w14:paraId="5E8ED1F6" w14:textId="77777777" w:rsidR="007C49BD" w:rsidRPr="007C49BD" w:rsidRDefault="007C49BD" w:rsidP="007C49BD">
      <w:pPr>
        <w:rPr>
          <w:b/>
          <w:bCs/>
        </w:rPr>
      </w:pPr>
      <w:r w:rsidRPr="007C49BD">
        <w:rPr>
          <w:b/>
          <w:bCs/>
        </w:rPr>
        <w:t xml:space="preserve">What CANNOT be concluded </w:t>
      </w:r>
      <w:r w:rsidRPr="007C49BD">
        <w:rPr>
          <w:rFonts w:ascii="Segoe UI Emoji" w:hAnsi="Segoe UI Emoji" w:cs="Segoe UI Emoji"/>
          <w:b/>
          <w:bCs/>
        </w:rPr>
        <w:t>🚫</w:t>
      </w:r>
    </w:p>
    <w:p w14:paraId="2819B631" w14:textId="77777777" w:rsidR="007C49BD" w:rsidRPr="007C49BD" w:rsidRDefault="007C49BD" w:rsidP="007C49BD">
      <w:pPr>
        <w:numPr>
          <w:ilvl w:val="0"/>
          <w:numId w:val="10"/>
        </w:numPr>
      </w:pPr>
      <w:r w:rsidRPr="007C49BD">
        <w:rPr>
          <w:b/>
          <w:bCs/>
        </w:rPr>
        <w:t>Investment yield or ROI</w:t>
      </w:r>
      <w:r w:rsidRPr="007C49BD">
        <w:t xml:space="preserve">: The dataset contains rents only, not purchase prices. No yield calculations are possible from </w:t>
      </w:r>
      <w:proofErr w:type="gramStart"/>
      <w:r w:rsidRPr="007C49BD">
        <w:t>these</w:t>
      </w:r>
      <w:proofErr w:type="gramEnd"/>
      <w:r w:rsidRPr="007C49BD">
        <w:t xml:space="preserve"> data alone.</w:t>
      </w:r>
    </w:p>
    <w:p w14:paraId="7D6F37E2" w14:textId="77777777" w:rsidR="007C49BD" w:rsidRPr="007C49BD" w:rsidRDefault="007C49BD" w:rsidP="007C49BD">
      <w:pPr>
        <w:numPr>
          <w:ilvl w:val="0"/>
          <w:numId w:val="10"/>
        </w:numPr>
      </w:pPr>
      <w:r w:rsidRPr="007C49BD">
        <w:rPr>
          <w:b/>
          <w:bCs/>
        </w:rPr>
        <w:t>Current absolute rent levels</w:t>
      </w:r>
      <w:r w:rsidRPr="007C49BD">
        <w:t>: The 2021 dataset cannot tell us what rents are today; only the external research provides directional growth rates.</w:t>
      </w:r>
    </w:p>
    <w:p w14:paraId="2EBFE13F" w14:textId="77777777" w:rsidR="007C49BD" w:rsidRPr="007C49BD" w:rsidRDefault="007C49BD" w:rsidP="007C49BD">
      <w:pPr>
        <w:numPr>
          <w:ilvl w:val="0"/>
          <w:numId w:val="10"/>
        </w:numPr>
      </w:pPr>
      <w:r w:rsidRPr="007C49BD">
        <w:rPr>
          <w:b/>
          <w:bCs/>
        </w:rPr>
        <w:t>Al-Khobar-specific growth rates</w:t>
      </w:r>
      <w:r w:rsidRPr="007C49BD">
        <w:t>: The research generally groups Al-Khobar with Dammam ("similar to Dammam") without separate figures.</w:t>
      </w:r>
    </w:p>
    <w:p w14:paraId="12310961" w14:textId="77777777" w:rsidR="007C49BD" w:rsidRPr="007C49BD" w:rsidRDefault="007C49BD" w:rsidP="007C49BD">
      <w:r w:rsidRPr="007C49BD">
        <w:pict w14:anchorId="3CDA64A3">
          <v:rect id="_x0000_i1059" style="width:0;height:1.5pt" o:hralign="center" o:hrstd="t" o:hr="t" fillcolor="#a0a0a0" stroked="f"/>
        </w:pict>
      </w:r>
    </w:p>
    <w:p w14:paraId="7E417965" w14:textId="77777777" w:rsidR="007C49BD" w:rsidRPr="007C49BD" w:rsidRDefault="007C49BD" w:rsidP="007C49BD">
      <w:r w:rsidRPr="007C49BD">
        <w:t>This Market Analysis is ready to feed into the Market Intelligence Brief and Reliability Check deliverables.</w:t>
      </w:r>
    </w:p>
    <w:p w14:paraId="30DB0982" w14:textId="77777777" w:rsidR="007C49BD" w:rsidRPr="007C49BD" w:rsidRDefault="007C49BD" w:rsidP="007C49BD">
      <w:r w:rsidRPr="007C49BD">
        <w:t>Sources:</w:t>
      </w:r>
    </w:p>
    <w:p w14:paraId="5E0896C4" w14:textId="77777777" w:rsidR="007C49BD" w:rsidRPr="007C49BD" w:rsidRDefault="007C49BD" w:rsidP="007C49BD">
      <w:r w:rsidRPr="007C49BD">
        <w:lastRenderedPageBreak/>
        <w:t xml:space="preserve">[1] Saudi Arabia Residential Rental Market Analysis 2025-2026: City Comparison for Investment Priority.pdf </w:t>
      </w:r>
      <w:hyperlink r:id="rId5" w:history="1">
        <w:r w:rsidRPr="007C49BD">
          <w:rPr>
            <w:rStyle w:val="Hyperlink"/>
          </w:rPr>
          <w:t>https://us-west-2.quicksight.aws.amazon.com/sn/account/UdacityQuicksightLab/spaces/3664cf27-bb2f-433f-b632-ddc4a85d24ee?documentId=a5ac95dc-db82-4075-916d-92d093108d00</w:t>
        </w:r>
      </w:hyperlink>
      <w:r w:rsidRPr="007C49BD">
        <w:t xml:space="preserve"> File uploaded in Space</w:t>
      </w:r>
    </w:p>
    <w:p w14:paraId="0A8CD58B" w14:textId="77777777" w:rsidR="007C49BD" w:rsidRPr="007C49BD" w:rsidRDefault="007C49BD" w:rsidP="007C49BD">
      <w:r w:rsidRPr="007C49BD">
        <w:t>[2] Saudi Arabia Residential Rental Market Analysis 2025-2026: City Comparison for Investment Priority.pdf</w:t>
      </w:r>
    </w:p>
    <w:p w14:paraId="57E8DE08" w14:textId="77777777" w:rsidR="007C49BD" w:rsidRPr="007C49BD" w:rsidRDefault="007C49BD" w:rsidP="007C49BD">
      <w:r w:rsidRPr="007C49BD">
        <w:t>[3] Saudi Arabia Real Estate.csv Dataset</w:t>
      </w:r>
    </w:p>
    <w:p w14:paraId="1B9ABD03" w14:textId="77777777" w:rsidR="007C49BD" w:rsidRPr="007C49BD" w:rsidRDefault="007C49BD" w:rsidP="007C49BD">
      <w:r w:rsidRPr="007C49BD">
        <w:t>[4] Saudi Arabia Real Estate.csv Dataset</w:t>
      </w:r>
    </w:p>
    <w:p w14:paraId="1A51E958" w14:textId="77777777" w:rsidR="007C49BD" w:rsidRPr="007C49BD" w:rsidRDefault="007C49BD" w:rsidP="007C49BD">
      <w:r w:rsidRPr="007C49BD">
        <w:t>[5] Saudi Arabia Real Estate.csv Dataset</w:t>
      </w:r>
    </w:p>
    <w:p w14:paraId="537192DC" w14:textId="77777777" w:rsidR="007C49BD" w:rsidRPr="007C49BD" w:rsidRDefault="007C49BD" w:rsidP="007C49BD">
      <w:r w:rsidRPr="007C49BD">
        <w:t>[6] Saudi Arabia Real Estate.csv Dataset</w:t>
      </w:r>
    </w:p>
    <w:p w14:paraId="471BDD1C" w14:textId="77777777" w:rsidR="007C49BD" w:rsidRPr="007C49BD" w:rsidRDefault="007C49BD" w:rsidP="007C49BD">
      <w:r w:rsidRPr="007C49BD">
        <w:t>[7] Saudi Arabia Real Estate.csv Dataset</w:t>
      </w:r>
    </w:p>
    <w:p w14:paraId="12FE5730" w14:textId="77777777" w:rsidR="007C49BD" w:rsidRPr="007C49BD" w:rsidRDefault="007C49BD" w:rsidP="007C49BD">
      <w:r w:rsidRPr="007C49BD">
        <w:t>[8] Saudi Arabia Real Estate.csv Dataset</w:t>
      </w:r>
    </w:p>
    <w:p w14:paraId="42638203" w14:textId="77777777" w:rsidR="007C49BD" w:rsidRPr="007C49BD" w:rsidRDefault="007C49BD" w:rsidP="007C49BD">
      <w:r w:rsidRPr="007C49BD">
        <w:t>[9] Saudi Arabia Real Estate.csv Dataset</w:t>
      </w:r>
    </w:p>
    <w:p w14:paraId="7E7F820E" w14:textId="77777777" w:rsidR="007C49BD" w:rsidRPr="007C49BD" w:rsidRDefault="007C49BD" w:rsidP="007C49BD">
      <w:r w:rsidRPr="007C49BD">
        <w:t>[10] Saudi Arabia Real Estate.csv Dataset</w:t>
      </w:r>
    </w:p>
    <w:p w14:paraId="7CAD5289" w14:textId="77777777" w:rsidR="007C49BD" w:rsidRPr="007C49BD" w:rsidRDefault="007C49BD" w:rsidP="007C49BD">
      <w:r w:rsidRPr="007C49BD">
        <w:t>[11] Saudi Arabia Real Estate.csv Dataset</w:t>
      </w:r>
    </w:p>
    <w:p w14:paraId="204450ED" w14:textId="77777777" w:rsidR="007C49BD" w:rsidRPr="007C49BD" w:rsidRDefault="007C49BD" w:rsidP="007C49BD">
      <w:r w:rsidRPr="007C49BD">
        <w:t>[12] Saudi Arabia Real Estate.csv Dataset</w:t>
      </w:r>
    </w:p>
    <w:p w14:paraId="4EE82FB9" w14:textId="77777777" w:rsidR="00A34C46" w:rsidRDefault="00A34C46"/>
    <w:sectPr w:rsidR="00A34C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77D27"/>
    <w:multiLevelType w:val="multilevel"/>
    <w:tmpl w:val="13A6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6C7261"/>
    <w:multiLevelType w:val="multilevel"/>
    <w:tmpl w:val="8642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EA0CEF"/>
    <w:multiLevelType w:val="multilevel"/>
    <w:tmpl w:val="D754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5851D4"/>
    <w:multiLevelType w:val="multilevel"/>
    <w:tmpl w:val="E9F63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173805"/>
    <w:multiLevelType w:val="multilevel"/>
    <w:tmpl w:val="C656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8765C"/>
    <w:multiLevelType w:val="multilevel"/>
    <w:tmpl w:val="D0E6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F217A"/>
    <w:multiLevelType w:val="multilevel"/>
    <w:tmpl w:val="EB3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412E34"/>
    <w:multiLevelType w:val="multilevel"/>
    <w:tmpl w:val="557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A1260A"/>
    <w:multiLevelType w:val="multilevel"/>
    <w:tmpl w:val="F4BE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617E2"/>
    <w:multiLevelType w:val="multilevel"/>
    <w:tmpl w:val="C14A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301940">
    <w:abstractNumId w:val="1"/>
  </w:num>
  <w:num w:numId="2" w16cid:durableId="1501503445">
    <w:abstractNumId w:val="5"/>
  </w:num>
  <w:num w:numId="3" w16cid:durableId="1723747252">
    <w:abstractNumId w:val="4"/>
  </w:num>
  <w:num w:numId="4" w16cid:durableId="1805392083">
    <w:abstractNumId w:val="9"/>
  </w:num>
  <w:num w:numId="5" w16cid:durableId="766002062">
    <w:abstractNumId w:val="7"/>
  </w:num>
  <w:num w:numId="6" w16cid:durableId="1855193775">
    <w:abstractNumId w:val="3"/>
  </w:num>
  <w:num w:numId="7" w16cid:durableId="1132018702">
    <w:abstractNumId w:val="0"/>
  </w:num>
  <w:num w:numId="8" w16cid:durableId="1830712720">
    <w:abstractNumId w:val="2"/>
  </w:num>
  <w:num w:numId="9" w16cid:durableId="1542595375">
    <w:abstractNumId w:val="6"/>
  </w:num>
  <w:num w:numId="10" w16cid:durableId="10957092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C46"/>
    <w:rsid w:val="00434931"/>
    <w:rsid w:val="007C49BD"/>
    <w:rsid w:val="00A3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ABFACC"/>
  <w15:chartTrackingRefBased/>
  <w15:docId w15:val="{96A8D447-5994-48E8-BAB2-AB042EFFF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C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49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9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s-west-2.quicksight.aws.amazon.com/sn/account/UdacityQuicksightLab/spaces/3664cf27-bb2f-433f-b632-ddc4a85d24ee?documentId=a5ac95dc-db82-4075-916d-92d093108d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1612</Words>
  <Characters>9193</Characters>
  <Application>Microsoft Office Word</Application>
  <DocSecurity>0</DocSecurity>
  <Lines>76</Lines>
  <Paragraphs>21</Paragraphs>
  <ScaleCrop>false</ScaleCrop>
  <Company/>
  <LinksUpToDate>false</LinksUpToDate>
  <CharactersWithSpaces>10784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Raghad Almutairi</dc:creator>
  <cp:keywords/>
  <dc:description/>
  <cp:lastModifiedBy>Raghad Almutairi</cp:lastModifiedBy>
  <cp:revision>2</cp:revision>
  <dcterms:created xsi:type="dcterms:W3CDTF">2026-10-05T08:10:00Z</dcterms:created>
  <dcterms:modified xsi:type="dcterms:W3CDTF">2026-10-05T08:10:00Z</dcterms:modified>
</cp:coreProperties>
</file>