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8010" w14:textId="77777777" w:rsidR="005F0D74" w:rsidRPr="005F0D74" w:rsidRDefault="005F0D74" w:rsidP="005F0D74">
      <w:r w:rsidRPr="005F0D74">
        <w:t>Now I have all the precise source details needed. Let me produce the full Reliability &amp; Confidence Evaluation with the corrections you specified.</w:t>
      </w:r>
    </w:p>
    <w:p w14:paraId="14CBA834" w14:textId="77777777" w:rsidR="005F0D74" w:rsidRPr="005F0D74" w:rsidRDefault="005F0D74" w:rsidP="005F0D74">
      <w:r w:rsidRPr="005F0D74">
        <w:pict w14:anchorId="60A6BF60">
          <v:rect id="_x0000_i1073" style="width:0;height:1.5pt" o:hralign="center" o:hrstd="t" o:hr="t" fillcolor="#a0a0a0" stroked="f"/>
        </w:pict>
      </w:r>
    </w:p>
    <w:p w14:paraId="640083D1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Reliability &amp; Confidence Evaluation</w:t>
      </w:r>
    </w:p>
    <w:p w14:paraId="02CDDA39" w14:textId="77777777" w:rsidR="005F0D74" w:rsidRPr="005F0D74" w:rsidRDefault="005F0D74" w:rsidP="005F0D74">
      <w:r w:rsidRPr="005F0D74">
        <w:rPr>
          <w:i/>
          <w:iCs/>
        </w:rPr>
        <w:t>Market Analysis: Saudi Residential Rental Housing (Riyadh, Jeddah, Dammam, Al-Khobar)</w:t>
      </w:r>
    </w:p>
    <w:p w14:paraId="2E396266" w14:textId="77777777" w:rsidR="005F0D74" w:rsidRPr="005F0D74" w:rsidRDefault="005F0D74" w:rsidP="005F0D74">
      <w:r w:rsidRPr="005F0D74">
        <w:rPr>
          <w:b/>
          <w:bCs/>
        </w:rPr>
        <w:t>Methodological note on source independence:</w:t>
      </w:r>
      <w:r w:rsidRPr="005F0D74">
        <w:t xml:space="preserve"> The 2021 AQAR dataset medians were provided to the Quick Research report as a baseline input. Therefore, where the research report cites the same rent figures (SAR 95K / 80K / 75K / 60K), this is </w:t>
      </w:r>
      <w:r w:rsidRPr="005F0D74">
        <w:rPr>
          <w:b/>
          <w:bCs/>
        </w:rPr>
        <w:t>not independent confirmation</w:t>
      </w:r>
      <w:r w:rsidRPr="005F0D74">
        <w:t xml:space="preserve"> — it is the same data echoed back. True corroboration requires external sources citing independently derived figures.</w:t>
      </w:r>
    </w:p>
    <w:p w14:paraId="6A80A48B" w14:textId="77777777" w:rsidR="005F0D74" w:rsidRPr="005F0D74" w:rsidRDefault="005F0D74" w:rsidP="005F0D74">
      <w:r w:rsidRPr="005F0D74">
        <w:pict w14:anchorId="78089D50">
          <v:rect id="_x0000_i1074" style="width:0;height:1.5pt" o:hralign="center" o:hrstd="t" o:hr="t" fillcolor="#a0a0a0" stroked="f"/>
        </w:pict>
      </w:r>
    </w:p>
    <w:p w14:paraId="64354FE5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Insight 1: Riyadh Rent Freeze Limits Near-Term Income Upside</w:t>
      </w:r>
    </w:p>
    <w:p w14:paraId="6C46F781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(1) The Insight</w:t>
      </w:r>
    </w:p>
    <w:p w14:paraId="7991FE9B" w14:textId="77777777" w:rsidR="005F0D74" w:rsidRPr="005F0D74" w:rsidRDefault="005F0D74" w:rsidP="005F0D74">
      <w:r w:rsidRPr="005F0D74">
        <w:t>The five-year rent freeze effective September 25, 2025 prohibits any residential or commercial rent increases within Riyadh's urban boundaries through ~2030, capping landlord income growth at current levels. Violations carry fines of up to 12 months' rent. This is the single most consequential regulatory constraint for Riyadh rental investors.[1]</w:t>
      </w:r>
    </w:p>
    <w:p w14:paraId="70E16C21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(2) Evidence: DATASET vs. EXTERNAL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390"/>
        <w:gridCol w:w="5349"/>
      </w:tblGrid>
      <w:tr w:rsidR="005F0D74" w:rsidRPr="005F0D74" w14:paraId="03B0D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E1684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8B2886A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DATASET (2021 AQAR)</w:t>
            </w:r>
          </w:p>
        </w:tc>
        <w:tc>
          <w:tcPr>
            <w:tcW w:w="0" w:type="auto"/>
            <w:vAlign w:val="center"/>
            <w:hideMark/>
          </w:tcPr>
          <w:p w14:paraId="342828C5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EXTERNAL RESEARCH (2025–2026)</w:t>
            </w:r>
          </w:p>
        </w:tc>
      </w:tr>
      <w:tr w:rsidR="005F0D74" w:rsidRPr="005F0D74" w14:paraId="1E46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334E" w14:textId="77777777" w:rsidR="005F0D74" w:rsidRPr="005F0D74" w:rsidRDefault="005F0D74" w:rsidP="005F0D74">
            <w:r w:rsidRPr="005F0D74">
              <w:t>Riyadh median rent</w:t>
            </w:r>
          </w:p>
        </w:tc>
        <w:tc>
          <w:tcPr>
            <w:tcW w:w="0" w:type="auto"/>
            <w:vAlign w:val="center"/>
            <w:hideMark/>
          </w:tcPr>
          <w:p w14:paraId="1B4CF54E" w14:textId="77777777" w:rsidR="005F0D74" w:rsidRPr="005F0D74" w:rsidRDefault="005F0D74" w:rsidP="005F0D74">
            <w:r w:rsidRPr="005F0D74">
              <w:t>SAR 80,000/year (960 listings)</w:t>
            </w:r>
          </w:p>
        </w:tc>
        <w:tc>
          <w:tcPr>
            <w:tcW w:w="0" w:type="auto"/>
            <w:vAlign w:val="center"/>
            <w:hideMark/>
          </w:tcPr>
          <w:p w14:paraId="726B6D20" w14:textId="77777777" w:rsidR="005F0D74" w:rsidRPr="005F0D74" w:rsidRDefault="005F0D74" w:rsidP="005F0D74">
            <w:r w:rsidRPr="005F0D74">
              <w:t>Referenced as "~SAR 80,000" baseline — but this is the dataset figure echoed, not independent</w:t>
            </w:r>
          </w:p>
        </w:tc>
      </w:tr>
      <w:tr w:rsidR="005F0D74" w:rsidRPr="005F0D74" w14:paraId="65D45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2E21" w14:textId="77777777" w:rsidR="005F0D74" w:rsidRPr="005F0D74" w:rsidRDefault="005F0D74" w:rsidP="005F0D74">
            <w:r w:rsidRPr="005F0D74">
              <w:t>Pre-freeze growth</w:t>
            </w:r>
          </w:p>
        </w:tc>
        <w:tc>
          <w:tcPr>
            <w:tcW w:w="0" w:type="auto"/>
            <w:vAlign w:val="center"/>
            <w:hideMark/>
          </w:tcPr>
          <w:p w14:paraId="3E925A0A" w14:textId="77777777" w:rsidR="005F0D74" w:rsidRPr="005F0D74" w:rsidRDefault="005F0D74" w:rsidP="005F0D74">
            <w:r w:rsidRPr="005F0D74">
              <w:t>Not available (static 2021 snapshot)</w:t>
            </w:r>
          </w:p>
        </w:tc>
        <w:tc>
          <w:tcPr>
            <w:tcW w:w="0" w:type="auto"/>
            <w:vAlign w:val="center"/>
            <w:hideMark/>
          </w:tcPr>
          <w:p w14:paraId="0F95185D" w14:textId="77777777" w:rsidR="005F0D74" w:rsidRPr="005F0D74" w:rsidRDefault="005F0D74" w:rsidP="005F0D74">
            <w:r w:rsidRPr="005F0D74">
              <w:t>Apartments +10.3% YoY, Villas +14.4% YoY in H1 2025 (Cavendish Maxwell, Sep 2025)</w:t>
            </w:r>
          </w:p>
        </w:tc>
      </w:tr>
      <w:tr w:rsidR="005F0D74" w:rsidRPr="005F0D74" w14:paraId="68B76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0913" w14:textId="77777777" w:rsidR="005F0D74" w:rsidRPr="005F0D74" w:rsidRDefault="005F0D74" w:rsidP="005F0D74">
            <w:r w:rsidRPr="005F0D74">
              <w:t>Post-freeze impact</w:t>
            </w:r>
          </w:p>
        </w:tc>
        <w:tc>
          <w:tcPr>
            <w:tcW w:w="0" w:type="auto"/>
            <w:vAlign w:val="center"/>
            <w:hideMark/>
          </w:tcPr>
          <w:p w14:paraId="6D0DDFD6" w14:textId="77777777" w:rsidR="005F0D74" w:rsidRPr="005F0D74" w:rsidRDefault="005F0D74" w:rsidP="005F0D74">
            <w:r w:rsidRPr="005F0D74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48510EF3" w14:textId="77777777" w:rsidR="005F0D74" w:rsidRPr="005F0D74" w:rsidRDefault="005F0D74" w:rsidP="005F0D74">
            <w:r w:rsidRPr="005F0D74">
              <w:t>QoQ decline: apartments −2.8%, villas −1.2% in Q1 2026 (Gulf News / Cavendish Maxwell, Q1 2026)</w:t>
            </w:r>
          </w:p>
        </w:tc>
      </w:tr>
      <w:tr w:rsidR="005F0D74" w:rsidRPr="005F0D74" w14:paraId="70F5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717F" w14:textId="77777777" w:rsidR="005F0D74" w:rsidRPr="005F0D74" w:rsidRDefault="005F0D74" w:rsidP="005F0D74">
            <w:r w:rsidRPr="005F0D74">
              <w:t>Freeze legal basis</w:t>
            </w:r>
          </w:p>
        </w:tc>
        <w:tc>
          <w:tcPr>
            <w:tcW w:w="0" w:type="auto"/>
            <w:vAlign w:val="center"/>
            <w:hideMark/>
          </w:tcPr>
          <w:p w14:paraId="1A030E00" w14:textId="77777777" w:rsidR="005F0D74" w:rsidRPr="005F0D74" w:rsidRDefault="005F0D74" w:rsidP="005F0D74">
            <w:r w:rsidRPr="005F0D74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023CC8F5" w14:textId="77777777" w:rsidR="005F0D74" w:rsidRPr="005F0D74" w:rsidRDefault="005F0D74" w:rsidP="005F0D74">
            <w:r w:rsidRPr="005F0D74">
              <w:t>REGA decree, Sep 2025; K&amp;S Law analysis; Economy Middle East reporting</w:t>
            </w:r>
          </w:p>
        </w:tc>
      </w:tr>
    </w:tbl>
    <w:p w14:paraId="2866EA6F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(3) Source Quality, Consistency, and Timeliness</w:t>
      </w:r>
    </w:p>
    <w:p w14:paraId="0F3C60A5" w14:textId="77777777" w:rsidR="005F0D74" w:rsidRPr="005F0D74" w:rsidRDefault="005F0D74" w:rsidP="005F0D74">
      <w:pPr>
        <w:numPr>
          <w:ilvl w:val="0"/>
          <w:numId w:val="1"/>
        </w:numPr>
      </w:pPr>
      <w:r w:rsidRPr="005F0D74">
        <w:rPr>
          <w:b/>
          <w:bCs/>
        </w:rPr>
        <w:lastRenderedPageBreak/>
        <w:t>REGA (Sep 2025):</w:t>
      </w:r>
      <w:r w:rsidRPr="005F0D74">
        <w:t xml:space="preserve"> Primary regulatory authority — highest possible credibility for the freeze's existence and terms.[1]</w:t>
      </w:r>
    </w:p>
    <w:p w14:paraId="1A5455E3" w14:textId="77777777" w:rsidR="005F0D74" w:rsidRPr="005F0D74" w:rsidRDefault="005F0D74" w:rsidP="005F0D74">
      <w:pPr>
        <w:numPr>
          <w:ilvl w:val="0"/>
          <w:numId w:val="1"/>
        </w:numPr>
      </w:pPr>
      <w:r w:rsidRPr="005F0D74">
        <w:rPr>
          <w:b/>
          <w:bCs/>
        </w:rPr>
        <w:t>K&amp;S Law (2025):</w:t>
      </w:r>
      <w:r w:rsidRPr="005F0D74">
        <w:t xml:space="preserve"> Tier-1 international law firm analysis of the decree's legal mechanics (fines, renewal rules). High credibility.[1]</w:t>
      </w:r>
    </w:p>
    <w:p w14:paraId="306FA4EE" w14:textId="77777777" w:rsidR="005F0D74" w:rsidRPr="005F0D74" w:rsidRDefault="005F0D74" w:rsidP="005F0D74">
      <w:pPr>
        <w:numPr>
          <w:ilvl w:val="0"/>
          <w:numId w:val="1"/>
        </w:numPr>
      </w:pPr>
      <w:r w:rsidRPr="005F0D74">
        <w:rPr>
          <w:b/>
          <w:bCs/>
        </w:rPr>
        <w:t>Economy Middle East (Sep 2025):</w:t>
      </w:r>
      <w:r w:rsidRPr="005F0D74">
        <w:t xml:space="preserve"> Reputable regional business publication confirming the freeze and noting potential extension to other cities. [1]</w:t>
      </w:r>
    </w:p>
    <w:p w14:paraId="46171288" w14:textId="77777777" w:rsidR="005F0D74" w:rsidRPr="005F0D74" w:rsidRDefault="005F0D74" w:rsidP="005F0D74">
      <w:pPr>
        <w:numPr>
          <w:ilvl w:val="0"/>
          <w:numId w:val="1"/>
        </w:numPr>
      </w:pPr>
      <w:r w:rsidRPr="005F0D74">
        <w:rPr>
          <w:b/>
          <w:bCs/>
        </w:rPr>
        <w:t>Cavendish Maxwell (H1 2025, Q1 2026):</w:t>
      </w:r>
      <w:r w:rsidRPr="005F0D74">
        <w:t xml:space="preserve"> Established regional property consultancy. Provides pre- and post-freeze rent growth data.[1]</w:t>
      </w:r>
    </w:p>
    <w:p w14:paraId="7E2EBD99" w14:textId="77777777" w:rsidR="005F0D74" w:rsidRPr="005F0D74" w:rsidRDefault="005F0D74" w:rsidP="005F0D74">
      <w:pPr>
        <w:numPr>
          <w:ilvl w:val="0"/>
          <w:numId w:val="1"/>
        </w:numPr>
      </w:pPr>
      <w:r w:rsidRPr="005F0D74">
        <w:rPr>
          <w:b/>
          <w:bCs/>
        </w:rPr>
        <w:t>Consistency:</w:t>
      </w:r>
      <w:r w:rsidRPr="005F0D74">
        <w:t xml:space="preserve"> All external sources agree the freeze exists and caps increases. No source disputes it. The dataset is silent (predates the event by 4 years).</w:t>
      </w:r>
    </w:p>
    <w:p w14:paraId="622CA0BF" w14:textId="77777777" w:rsidR="005F0D74" w:rsidRPr="005F0D74" w:rsidRDefault="005F0D74" w:rsidP="005F0D74">
      <w:pPr>
        <w:numPr>
          <w:ilvl w:val="0"/>
          <w:numId w:val="1"/>
        </w:numPr>
      </w:pPr>
      <w:r w:rsidRPr="005F0D74">
        <w:rPr>
          <w:b/>
          <w:bCs/>
        </w:rPr>
        <w:t>Timeliness:</w:t>
      </w:r>
      <w:r w:rsidRPr="005F0D74">
        <w:t xml:space="preserve"> External sources are current (Sep 2025 – Q1 2026). The dataset (2021) cannot speak to this event.</w:t>
      </w:r>
    </w:p>
    <w:p w14:paraId="651FBD7D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(4) Gaps, Assumptions, and What Cannot Be Concluded</w:t>
      </w:r>
    </w:p>
    <w:p w14:paraId="0DB55927" w14:textId="77777777" w:rsidR="005F0D74" w:rsidRPr="005F0D74" w:rsidRDefault="005F0D74" w:rsidP="005F0D74">
      <w:pPr>
        <w:numPr>
          <w:ilvl w:val="0"/>
          <w:numId w:val="2"/>
        </w:numPr>
      </w:pPr>
      <w:r w:rsidRPr="005F0D74">
        <w:rPr>
          <w:b/>
          <w:bCs/>
        </w:rPr>
        <w:t>Gap:</w:t>
      </w:r>
      <w:r w:rsidRPr="005F0D74">
        <w:t xml:space="preserve"> No source provides data on how the freeze affects </w:t>
      </w:r>
      <w:r w:rsidRPr="005F0D74">
        <w:rPr>
          <w:i/>
          <w:iCs/>
        </w:rPr>
        <w:t>new</w:t>
      </w:r>
      <w:r w:rsidRPr="005F0D74">
        <w:t xml:space="preserve"> lease pricing (vs. renewals). The freeze prohibits </w:t>
      </w:r>
      <w:r w:rsidRPr="005F0D74">
        <w:rPr>
          <w:i/>
          <w:iCs/>
        </w:rPr>
        <w:t>increases</w:t>
      </w:r>
      <w:r w:rsidRPr="005F0D74">
        <w:t>, but it is unclear whether new leases to new tenants can be priced freely above the prior tenant's rate.</w:t>
      </w:r>
    </w:p>
    <w:p w14:paraId="0129E07F" w14:textId="77777777" w:rsidR="005F0D74" w:rsidRPr="005F0D74" w:rsidRDefault="005F0D74" w:rsidP="005F0D74">
      <w:pPr>
        <w:numPr>
          <w:ilvl w:val="0"/>
          <w:numId w:val="2"/>
        </w:numPr>
      </w:pPr>
      <w:r w:rsidRPr="005F0D74">
        <w:rPr>
          <w:b/>
          <w:bCs/>
        </w:rPr>
        <w:t>Gap:</w:t>
      </w:r>
      <w:r w:rsidRPr="005F0D74">
        <w:t xml:space="preserve"> The potential extension to other cities is described as contingent on Council of Economic and Development Affairs approval — no timeline or probability is given.[1]</w:t>
      </w:r>
    </w:p>
    <w:p w14:paraId="3E962BDF" w14:textId="77777777" w:rsidR="005F0D74" w:rsidRPr="005F0D74" w:rsidRDefault="005F0D74" w:rsidP="005F0D74">
      <w:pPr>
        <w:numPr>
          <w:ilvl w:val="0"/>
          <w:numId w:val="2"/>
        </w:numPr>
      </w:pPr>
      <w:r w:rsidRPr="005F0D74">
        <w:rPr>
          <w:b/>
          <w:bCs/>
        </w:rPr>
        <w:t>Assumption:</w:t>
      </w:r>
      <w:r w:rsidRPr="005F0D74">
        <w:t xml:space="preserve"> We assume the freeze will be enforced as written for the full five years. Early repeal or relaxation is possible but not evidenced.</w:t>
      </w:r>
    </w:p>
    <w:p w14:paraId="221DEBA6" w14:textId="77777777" w:rsidR="005F0D74" w:rsidRPr="005F0D74" w:rsidRDefault="005F0D74" w:rsidP="005F0D74">
      <w:pPr>
        <w:numPr>
          <w:ilvl w:val="0"/>
          <w:numId w:val="2"/>
        </w:numPr>
      </w:pPr>
      <w:r w:rsidRPr="005F0D74">
        <w:rPr>
          <w:b/>
          <w:bCs/>
        </w:rPr>
        <w:t>Cannot conclude:</w:t>
      </w:r>
      <w:r w:rsidRPr="005F0D74">
        <w:t xml:space="preserve"> Whether the freeze will cause Riyadh rents to </w:t>
      </w:r>
      <w:r w:rsidRPr="005F0D74">
        <w:rPr>
          <w:i/>
          <w:iCs/>
        </w:rPr>
        <w:t>decline</w:t>
      </w:r>
      <w:r w:rsidRPr="005F0D74">
        <w:t xml:space="preserve"> in absolute terms, or merely flatten. The Q1 2026 QoQ declines (−2.8%, −1.2%) are early signals but may not persist.</w:t>
      </w:r>
    </w:p>
    <w:p w14:paraId="70E5F1E1" w14:textId="77777777" w:rsidR="005F0D74" w:rsidRPr="005F0D74" w:rsidRDefault="005F0D74" w:rsidP="005F0D74">
      <w:pPr>
        <w:numPr>
          <w:ilvl w:val="0"/>
          <w:numId w:val="2"/>
        </w:numPr>
      </w:pPr>
      <w:r w:rsidRPr="005F0D74">
        <w:rPr>
          <w:b/>
          <w:bCs/>
        </w:rPr>
        <w:t>Cannot conclude:</w:t>
      </w:r>
      <w:r w:rsidRPr="005F0D74">
        <w:t xml:space="preserve"> Investment yield impact — the dataset contains rents only, not purchase prices.</w:t>
      </w:r>
    </w:p>
    <w:p w14:paraId="407D35E1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 xml:space="preserve">(5) Confidence Level: HIGH </w:t>
      </w:r>
      <w:r w:rsidRPr="005F0D74">
        <w:rPr>
          <w:rFonts w:ascii="Segoe UI Emoji" w:hAnsi="Segoe UI Emoji" w:cs="Segoe UI Emoji"/>
          <w:b/>
          <w:bCs/>
        </w:rPr>
        <w:t>✅</w:t>
      </w:r>
    </w:p>
    <w:p w14:paraId="1E88DD5F" w14:textId="77777777" w:rsidR="005F0D74" w:rsidRPr="005F0D74" w:rsidRDefault="005F0D74" w:rsidP="005F0D74">
      <w:r w:rsidRPr="005F0D74">
        <w:t>The freeze is a legally enacted regulation confirmed by the primary regulator (REGA) and corroborated by multiple independent legal and media sources. Its existence is not in question.</w:t>
      </w:r>
    </w:p>
    <w:p w14:paraId="03A136D2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(6) Data Point That Would Change Our Mind</w:t>
      </w:r>
    </w:p>
    <w:p w14:paraId="5AC0B755" w14:textId="77777777" w:rsidR="005F0D74" w:rsidRPr="005F0D74" w:rsidRDefault="005F0D74" w:rsidP="005F0D74">
      <w:r w:rsidRPr="005F0D74">
        <w:rPr>
          <w:i/>
          <w:iCs/>
        </w:rPr>
        <w:lastRenderedPageBreak/>
        <w:t>An official REGA announcement modifying, shortening, or exempting certain property types from the freeze</w:t>
      </w:r>
      <w:r w:rsidRPr="005F0D74">
        <w:t xml:space="preserve"> — this would materially alter the income-cap thesis for Riyadh.</w:t>
      </w:r>
    </w:p>
    <w:p w14:paraId="2E4615B1" w14:textId="77777777" w:rsidR="005F0D74" w:rsidRPr="005F0D74" w:rsidRDefault="005F0D74" w:rsidP="005F0D74">
      <w:r w:rsidRPr="005F0D74">
        <w:pict w14:anchorId="7D88054A">
          <v:rect id="_x0000_i1075" style="width:0;height:1.5pt" o:hralign="center" o:hrstd="t" o:hr="t" fillcolor="#a0a0a0" stroked="f"/>
        </w:pict>
      </w:r>
    </w:p>
    <w:p w14:paraId="51BAEAA9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Insight 2: Dammam/Al-Khobar Offer Steady Growth and Lower Competition</w:t>
      </w:r>
    </w:p>
    <w:p w14:paraId="0AC93A8D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(1) The Insight</w:t>
      </w:r>
    </w:p>
    <w:p w14:paraId="64D7EEF0" w14:textId="77777777" w:rsidR="005F0D74" w:rsidRPr="005F0D74" w:rsidRDefault="005F0D74" w:rsidP="005F0D74">
      <w:r w:rsidRPr="005F0D74">
        <w:t>The Eastern Province cities deliver the most consistent rental growth (2–3% YoY in Q1 2026), face no rent freeze, allow unrestricted foreign ownership, and have a fragmented competitive landscape with low institutional concentration — creating the most favorable risk-adjusted entry point for mid-scale investors.[1]</w:t>
      </w:r>
    </w:p>
    <w:p w14:paraId="4AF66479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(2) Evidence: DATASET vs. EXTERNAL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971"/>
        <w:gridCol w:w="3751"/>
      </w:tblGrid>
      <w:tr w:rsidR="005F0D74" w:rsidRPr="005F0D74" w14:paraId="2342B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95663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EF40B66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DATASET (2021 AQAR)</w:t>
            </w:r>
          </w:p>
        </w:tc>
        <w:tc>
          <w:tcPr>
            <w:tcW w:w="0" w:type="auto"/>
            <w:vAlign w:val="center"/>
            <w:hideMark/>
          </w:tcPr>
          <w:p w14:paraId="2366366D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EXTERNAL RESEARCH (2025–2026)</w:t>
            </w:r>
          </w:p>
        </w:tc>
      </w:tr>
      <w:tr w:rsidR="005F0D74" w:rsidRPr="005F0D74" w14:paraId="5687F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7096" w14:textId="77777777" w:rsidR="005F0D74" w:rsidRPr="005F0D74" w:rsidRDefault="005F0D74" w:rsidP="005F0D74">
            <w:r w:rsidRPr="005F0D74">
              <w:t>Median rent — Dammam</w:t>
            </w:r>
          </w:p>
        </w:tc>
        <w:tc>
          <w:tcPr>
            <w:tcW w:w="0" w:type="auto"/>
            <w:vAlign w:val="center"/>
            <w:hideMark/>
          </w:tcPr>
          <w:p w14:paraId="735A0E85" w14:textId="77777777" w:rsidR="005F0D74" w:rsidRPr="005F0D74" w:rsidRDefault="005F0D74" w:rsidP="005F0D74">
            <w:r w:rsidRPr="005F0D74">
              <w:t>SAR 60,000/year (894 listings)</w:t>
            </w:r>
          </w:p>
        </w:tc>
        <w:tc>
          <w:tcPr>
            <w:tcW w:w="0" w:type="auto"/>
            <w:vAlign w:val="center"/>
            <w:hideMark/>
          </w:tcPr>
          <w:p w14:paraId="60EBF0F6" w14:textId="77777777" w:rsidR="005F0D74" w:rsidRPr="005F0D74" w:rsidRDefault="005F0D74" w:rsidP="005F0D74">
            <w:r w:rsidRPr="005F0D74">
              <w:t>Referenced as "~SAR 60,000" — but this is the dataset figure echoed, not independent</w:t>
            </w:r>
          </w:p>
        </w:tc>
      </w:tr>
      <w:tr w:rsidR="005F0D74" w:rsidRPr="005F0D74" w14:paraId="7F934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1494" w14:textId="77777777" w:rsidR="005F0D74" w:rsidRPr="005F0D74" w:rsidRDefault="005F0D74" w:rsidP="005F0D74">
            <w:r w:rsidRPr="005F0D74">
              <w:t>Median rent — Al-Khobar</w:t>
            </w:r>
          </w:p>
        </w:tc>
        <w:tc>
          <w:tcPr>
            <w:tcW w:w="0" w:type="auto"/>
            <w:vAlign w:val="center"/>
            <w:hideMark/>
          </w:tcPr>
          <w:p w14:paraId="13AF490F" w14:textId="77777777" w:rsidR="005F0D74" w:rsidRPr="005F0D74" w:rsidRDefault="005F0D74" w:rsidP="005F0D74">
            <w:r w:rsidRPr="005F0D74">
              <w:t>SAR 75,000/year (976 listings)</w:t>
            </w:r>
          </w:p>
        </w:tc>
        <w:tc>
          <w:tcPr>
            <w:tcW w:w="0" w:type="auto"/>
            <w:vAlign w:val="center"/>
            <w:hideMark/>
          </w:tcPr>
          <w:p w14:paraId="46928F61" w14:textId="77777777" w:rsidR="005F0D74" w:rsidRPr="005F0D74" w:rsidRDefault="005F0D74" w:rsidP="005F0D74">
            <w:r w:rsidRPr="005F0D74">
              <w:t>Referenced as "~SAR 75,000" — same caveat</w:t>
            </w:r>
          </w:p>
        </w:tc>
      </w:tr>
      <w:tr w:rsidR="005F0D74" w:rsidRPr="005F0D74" w14:paraId="54B1A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26BC" w14:textId="77777777" w:rsidR="005F0D74" w:rsidRPr="005F0D74" w:rsidRDefault="005F0D74" w:rsidP="005F0D74">
            <w:r w:rsidRPr="005F0D74">
              <w:t>Rent growth</w:t>
            </w:r>
          </w:p>
        </w:tc>
        <w:tc>
          <w:tcPr>
            <w:tcW w:w="0" w:type="auto"/>
            <w:vAlign w:val="center"/>
            <w:hideMark/>
          </w:tcPr>
          <w:p w14:paraId="215FCAD9" w14:textId="77777777" w:rsidR="005F0D74" w:rsidRPr="005F0D74" w:rsidRDefault="005F0D74" w:rsidP="005F0D74">
            <w:r w:rsidRPr="005F0D74">
              <w:t>Not available (static snapshot)</w:t>
            </w:r>
          </w:p>
        </w:tc>
        <w:tc>
          <w:tcPr>
            <w:tcW w:w="0" w:type="auto"/>
            <w:vAlign w:val="center"/>
            <w:hideMark/>
          </w:tcPr>
          <w:p w14:paraId="72F5A46C" w14:textId="77777777" w:rsidR="005F0D74" w:rsidRPr="005F0D74" w:rsidRDefault="005F0D74" w:rsidP="005F0D74">
            <w:r w:rsidRPr="005F0D74">
              <w:t>Dammam: apartments +3.2%, villas +2.1% YoY Q1 2026 (Gulf News)</w:t>
            </w:r>
          </w:p>
        </w:tc>
      </w:tr>
      <w:tr w:rsidR="005F0D74" w:rsidRPr="005F0D74" w14:paraId="49F96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DF37" w14:textId="77777777" w:rsidR="005F0D74" w:rsidRPr="005F0D74" w:rsidRDefault="005F0D74" w:rsidP="005F0D74">
            <w:r w:rsidRPr="005F0D74">
              <w:t>Al-Khobar growth</w:t>
            </w:r>
          </w:p>
        </w:tc>
        <w:tc>
          <w:tcPr>
            <w:tcW w:w="0" w:type="auto"/>
            <w:vAlign w:val="center"/>
            <w:hideMark/>
          </w:tcPr>
          <w:p w14:paraId="15E52264" w14:textId="77777777" w:rsidR="005F0D74" w:rsidRPr="005F0D74" w:rsidRDefault="005F0D74" w:rsidP="005F0D74">
            <w:r w:rsidRPr="005F0D74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12650EE7" w14:textId="77777777" w:rsidR="005F0D74" w:rsidRPr="005F0D74" w:rsidRDefault="005F0D74" w:rsidP="005F0D74">
            <w:r w:rsidRPr="005F0D74">
              <w:t>Described as "similar to Dammam" — no separate figure provided</w:t>
            </w:r>
          </w:p>
        </w:tc>
      </w:tr>
      <w:tr w:rsidR="005F0D74" w:rsidRPr="005F0D74" w14:paraId="4B472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762F" w14:textId="77777777" w:rsidR="005F0D74" w:rsidRPr="005F0D74" w:rsidRDefault="005F0D74" w:rsidP="005F0D74">
            <w:r w:rsidRPr="005F0D74">
              <w:t>Competition level</w:t>
            </w:r>
          </w:p>
        </w:tc>
        <w:tc>
          <w:tcPr>
            <w:tcW w:w="0" w:type="auto"/>
            <w:vAlign w:val="center"/>
            <w:hideMark/>
          </w:tcPr>
          <w:p w14:paraId="3EDEAA69" w14:textId="77777777" w:rsidR="005F0D74" w:rsidRPr="005F0D74" w:rsidRDefault="005F0D74" w:rsidP="005F0D74">
            <w:r w:rsidRPr="005F0D74">
              <w:t xml:space="preserve">The dataset shows </w:t>
            </w:r>
            <w:r w:rsidRPr="005F0D74">
              <w:rPr>
                <w:b/>
                <w:bCs/>
              </w:rPr>
              <w:t>rents and property features only</w:t>
            </w:r>
            <w:r w:rsidRPr="005F0D74">
              <w:t xml:space="preserve"> — it contains no data on competition, developer activity, or institutional presence</w:t>
            </w:r>
          </w:p>
        </w:tc>
        <w:tc>
          <w:tcPr>
            <w:tcW w:w="0" w:type="auto"/>
            <w:vAlign w:val="center"/>
            <w:hideMark/>
          </w:tcPr>
          <w:p w14:paraId="7F3C66F8" w14:textId="77777777" w:rsidR="005F0D74" w:rsidRPr="005F0D74" w:rsidRDefault="005F0D74" w:rsidP="005F0D74">
            <w:r w:rsidRPr="005F0D74">
              <w:t>"Low-Moderate" and "fragmented" (JLL, KSA Living report; K&amp;S Law, 2025)</w:t>
            </w:r>
          </w:p>
        </w:tc>
      </w:tr>
      <w:tr w:rsidR="005F0D74" w:rsidRPr="005F0D74" w14:paraId="4B6FD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3428" w14:textId="77777777" w:rsidR="005F0D74" w:rsidRPr="005F0D74" w:rsidRDefault="005F0D74" w:rsidP="005F0D74">
            <w:r w:rsidRPr="005F0D74">
              <w:t>Foreign ownership</w:t>
            </w:r>
          </w:p>
        </w:tc>
        <w:tc>
          <w:tcPr>
            <w:tcW w:w="0" w:type="auto"/>
            <w:vAlign w:val="center"/>
            <w:hideMark/>
          </w:tcPr>
          <w:p w14:paraId="4782A538" w14:textId="77777777" w:rsidR="005F0D74" w:rsidRPr="005F0D74" w:rsidRDefault="005F0D74" w:rsidP="005F0D74">
            <w:r w:rsidRPr="005F0D74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7A092225" w14:textId="77777777" w:rsidR="005F0D74" w:rsidRPr="005F0D74" w:rsidRDefault="005F0D74" w:rsidP="005F0D74">
            <w:r w:rsidRPr="005F0D74">
              <w:t>Unrestricted outside 170 designated zones (JLL, Jan 2026; REGA, Jan 2026)</w:t>
            </w:r>
          </w:p>
        </w:tc>
      </w:tr>
      <w:tr w:rsidR="005F0D74" w:rsidRPr="005F0D74" w14:paraId="5822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CB2D" w14:textId="77777777" w:rsidR="005F0D74" w:rsidRPr="005F0D74" w:rsidRDefault="005F0D74" w:rsidP="005F0D74">
            <w:r w:rsidRPr="005F0D74">
              <w:lastRenderedPageBreak/>
              <w:t>Supply pipeline</w:t>
            </w:r>
          </w:p>
        </w:tc>
        <w:tc>
          <w:tcPr>
            <w:tcW w:w="0" w:type="auto"/>
            <w:vAlign w:val="center"/>
            <w:hideMark/>
          </w:tcPr>
          <w:p w14:paraId="7D8A388A" w14:textId="77777777" w:rsidR="005F0D74" w:rsidRPr="005F0D74" w:rsidRDefault="005F0D74" w:rsidP="005F0D74">
            <w:r w:rsidRPr="005F0D74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3AA7F301" w14:textId="77777777" w:rsidR="005F0D74" w:rsidRPr="005F0D74" w:rsidRDefault="005F0D74" w:rsidP="005F0D74">
            <w:r w:rsidRPr="005F0D74">
              <w:t>Eastern Province &amp; Other: 132,300 units by 2030 — smallest regional allocation at 15.5% of total (Fast Company ME, 2025)</w:t>
            </w:r>
          </w:p>
        </w:tc>
      </w:tr>
    </w:tbl>
    <w:p w14:paraId="35A52C7A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(3) Source Quality, Consistency, and Timeliness</w:t>
      </w:r>
    </w:p>
    <w:p w14:paraId="1CA820DC" w14:textId="77777777" w:rsidR="005F0D74" w:rsidRPr="005F0D74" w:rsidRDefault="005F0D74" w:rsidP="005F0D74">
      <w:pPr>
        <w:numPr>
          <w:ilvl w:val="0"/>
          <w:numId w:val="3"/>
        </w:numPr>
      </w:pPr>
      <w:r w:rsidRPr="005F0D74">
        <w:rPr>
          <w:b/>
          <w:bCs/>
        </w:rPr>
        <w:t>Gulf News (Q1 2026):</w:t>
      </w:r>
      <w:r w:rsidRPr="005F0D74">
        <w:t xml:space="preserve"> Citing Cavendish Maxwell data. Reputable, but Dammam growth figures appear in only this one source — no second independent confirmation of the specific 3.2%/2.1% figures.[1]</w:t>
      </w:r>
    </w:p>
    <w:p w14:paraId="790157E8" w14:textId="77777777" w:rsidR="005F0D74" w:rsidRPr="005F0D74" w:rsidRDefault="005F0D74" w:rsidP="005F0D74">
      <w:pPr>
        <w:numPr>
          <w:ilvl w:val="0"/>
          <w:numId w:val="3"/>
        </w:numPr>
      </w:pPr>
      <w:r w:rsidRPr="005F0D74">
        <w:rPr>
          <w:b/>
          <w:bCs/>
        </w:rPr>
        <w:t>JLL (2025–2026):</w:t>
      </w:r>
      <w:r w:rsidRPr="005F0D74">
        <w:t xml:space="preserve"> Tier-1 global real estate consultancy. Describes DMA as "fragmented" with "lower institutional concentration." Credible but qualitative — no market-share data provided.[1]</w:t>
      </w:r>
    </w:p>
    <w:p w14:paraId="43966421" w14:textId="77777777" w:rsidR="005F0D74" w:rsidRPr="005F0D74" w:rsidRDefault="005F0D74" w:rsidP="005F0D74">
      <w:pPr>
        <w:numPr>
          <w:ilvl w:val="0"/>
          <w:numId w:val="3"/>
        </w:numPr>
      </w:pPr>
      <w:r w:rsidRPr="005F0D74">
        <w:rPr>
          <w:b/>
          <w:bCs/>
        </w:rPr>
        <w:t>REGA / JLL (Jan 2026):</w:t>
      </w:r>
      <w:r w:rsidRPr="005F0D74">
        <w:t xml:space="preserve"> Foreign ownership rules are legally enacted — high credibility.[1]</w:t>
      </w:r>
    </w:p>
    <w:p w14:paraId="7B8C21C6" w14:textId="77777777" w:rsidR="005F0D74" w:rsidRPr="005F0D74" w:rsidRDefault="005F0D74" w:rsidP="005F0D74">
      <w:pPr>
        <w:numPr>
          <w:ilvl w:val="0"/>
          <w:numId w:val="3"/>
        </w:numPr>
      </w:pPr>
      <w:r w:rsidRPr="005F0D74">
        <w:rPr>
          <w:b/>
          <w:bCs/>
        </w:rPr>
        <w:t>Dataset (2021):</w:t>
      </w:r>
      <w:r w:rsidRPr="005F0D74">
        <w:t xml:space="preserve"> Confirms Dammam/Al-Khobar had the lowest and second-lowest median rents respectively. However, the dataset </w:t>
      </w:r>
      <w:r w:rsidRPr="005F0D74">
        <w:rPr>
          <w:b/>
          <w:bCs/>
        </w:rPr>
        <w:t>does not measure competition</w:t>
      </w:r>
      <w:r w:rsidRPr="005F0D74">
        <w:t xml:space="preserve"> — it only records listing prices and property features. The "low competition" claim rests entirely on external research.</w:t>
      </w:r>
    </w:p>
    <w:p w14:paraId="49F89653" w14:textId="77777777" w:rsidR="005F0D74" w:rsidRPr="005F0D74" w:rsidRDefault="005F0D74" w:rsidP="005F0D74">
      <w:pPr>
        <w:numPr>
          <w:ilvl w:val="0"/>
          <w:numId w:val="3"/>
        </w:numPr>
      </w:pPr>
      <w:r w:rsidRPr="005F0D74">
        <w:rPr>
          <w:b/>
          <w:bCs/>
        </w:rPr>
        <w:t>Consistency:</w:t>
      </w:r>
      <w:r w:rsidRPr="005F0D74">
        <w:t xml:space="preserve"> The dataset's rent-level ranking (Dammam lowest, Al-Khobar second-lowest) is directionally consistent with the research's characterization of "competitive pricing." But this is not independent confirmation — the research used the dataset as its baseline.</w:t>
      </w:r>
    </w:p>
    <w:p w14:paraId="60ABCF7C" w14:textId="77777777" w:rsidR="005F0D74" w:rsidRPr="005F0D74" w:rsidRDefault="005F0D74" w:rsidP="005F0D74">
      <w:pPr>
        <w:numPr>
          <w:ilvl w:val="0"/>
          <w:numId w:val="3"/>
        </w:numPr>
      </w:pPr>
      <w:r w:rsidRPr="005F0D74">
        <w:rPr>
          <w:b/>
          <w:bCs/>
        </w:rPr>
        <w:t>Timeliness:</w:t>
      </w:r>
      <w:r w:rsidRPr="005F0D74">
        <w:t xml:space="preserve"> Growth rates are from Q1 2026 (current). Dataset is from 2021 (stale for absolute levels).</w:t>
      </w:r>
    </w:p>
    <w:p w14:paraId="3A43A003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(4) Gaps, Assumptions, and What Cannot Be Concluded</w:t>
      </w:r>
    </w:p>
    <w:p w14:paraId="4F5E765F" w14:textId="77777777" w:rsidR="005F0D74" w:rsidRPr="005F0D74" w:rsidRDefault="005F0D74" w:rsidP="005F0D74">
      <w:pPr>
        <w:numPr>
          <w:ilvl w:val="0"/>
          <w:numId w:val="4"/>
        </w:numPr>
      </w:pPr>
      <w:r w:rsidRPr="005F0D74">
        <w:rPr>
          <w:b/>
          <w:bCs/>
        </w:rPr>
        <w:t>Gap:</w:t>
      </w:r>
      <w:r w:rsidRPr="005F0D74">
        <w:t xml:space="preserve"> Al-Khobar has no separately reported growth rate — "similar to Dammam" is an assumption in the research, not a measured figure.</w:t>
      </w:r>
    </w:p>
    <w:p w14:paraId="75EFE7D6" w14:textId="77777777" w:rsidR="005F0D74" w:rsidRPr="005F0D74" w:rsidRDefault="005F0D74" w:rsidP="005F0D74">
      <w:pPr>
        <w:numPr>
          <w:ilvl w:val="0"/>
          <w:numId w:val="4"/>
        </w:numPr>
      </w:pPr>
      <w:r w:rsidRPr="005F0D74">
        <w:rPr>
          <w:b/>
          <w:bCs/>
        </w:rPr>
        <w:t>Gap:</w:t>
      </w:r>
      <w:r w:rsidRPr="005F0D74">
        <w:t xml:space="preserve"> "Low institutional competition" is a qualitative assessment from JLL/K&amp;S Law. No market-share data, number of institutional landlords, or concentration metrics are provided for any city.</w:t>
      </w:r>
    </w:p>
    <w:p w14:paraId="0F9DE7F8" w14:textId="77777777" w:rsidR="005F0D74" w:rsidRPr="005F0D74" w:rsidRDefault="005F0D74" w:rsidP="005F0D74">
      <w:pPr>
        <w:numPr>
          <w:ilvl w:val="0"/>
          <w:numId w:val="4"/>
        </w:numPr>
      </w:pPr>
      <w:r w:rsidRPr="005F0D74">
        <w:rPr>
          <w:b/>
          <w:bCs/>
        </w:rPr>
        <w:lastRenderedPageBreak/>
        <w:t>Gap:</w:t>
      </w:r>
      <w:r w:rsidRPr="005F0D74">
        <w:t xml:space="preserve"> The dataset cannot tell us whether the 2021 rent levels still hold. With 2–3% annual growth over 5 years, Dammam rents may now be ~SAR 66K–69K and Al-Khobar ~SAR 82K–87K, but this is extrapolation, not measurement.</w:t>
      </w:r>
    </w:p>
    <w:p w14:paraId="37D8C5DF" w14:textId="77777777" w:rsidR="005F0D74" w:rsidRPr="005F0D74" w:rsidRDefault="005F0D74" w:rsidP="005F0D74">
      <w:pPr>
        <w:numPr>
          <w:ilvl w:val="0"/>
          <w:numId w:val="4"/>
        </w:numPr>
      </w:pPr>
      <w:r w:rsidRPr="005F0D74">
        <w:rPr>
          <w:b/>
          <w:bCs/>
        </w:rPr>
        <w:t>Assumption:</w:t>
      </w:r>
      <w:r w:rsidRPr="005F0D74">
        <w:t xml:space="preserve"> "Spillover demand from Riyadh" is asserted by the research but not quantified — no migration or relocation data is cited.</w:t>
      </w:r>
    </w:p>
    <w:p w14:paraId="122BDF5F" w14:textId="77777777" w:rsidR="005F0D74" w:rsidRPr="005F0D74" w:rsidRDefault="005F0D74" w:rsidP="005F0D74">
      <w:pPr>
        <w:numPr>
          <w:ilvl w:val="0"/>
          <w:numId w:val="4"/>
        </w:numPr>
      </w:pPr>
      <w:r w:rsidRPr="005F0D74">
        <w:rPr>
          <w:b/>
          <w:bCs/>
        </w:rPr>
        <w:t>Cannot conclude:</w:t>
      </w:r>
      <w:r w:rsidRPr="005F0D74">
        <w:t xml:space="preserve"> Whether low competition will persist as the foreign ownership law attracts new entrants.</w:t>
      </w:r>
    </w:p>
    <w:p w14:paraId="3824ED72" w14:textId="77777777" w:rsidR="005F0D74" w:rsidRPr="005F0D74" w:rsidRDefault="005F0D74" w:rsidP="005F0D74">
      <w:pPr>
        <w:numPr>
          <w:ilvl w:val="0"/>
          <w:numId w:val="4"/>
        </w:numPr>
      </w:pPr>
      <w:r w:rsidRPr="005F0D74">
        <w:rPr>
          <w:b/>
          <w:bCs/>
        </w:rPr>
        <w:t>Cannot conclude:</w:t>
      </w:r>
      <w:r w:rsidRPr="005F0D74">
        <w:t xml:space="preserve"> Investment yield — rents only, no purchase prices.</w:t>
      </w:r>
    </w:p>
    <w:p w14:paraId="7BB5EF26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 xml:space="preserve">(5) Confidence Level: MEDIUM </w:t>
      </w:r>
      <w:r w:rsidRPr="005F0D74">
        <w:rPr>
          <w:rFonts w:ascii="Segoe UI Emoji" w:hAnsi="Segoe UI Emoji" w:cs="Segoe UI Emoji"/>
          <w:b/>
          <w:bCs/>
        </w:rPr>
        <w:t>⚠️</w:t>
      </w:r>
    </w:p>
    <w:p w14:paraId="0DA4829D" w14:textId="77777777" w:rsidR="005F0D74" w:rsidRPr="005F0D74" w:rsidRDefault="005F0D74" w:rsidP="005F0D74">
      <w:r w:rsidRPr="005F0D74">
        <w:t>The growth trend is supported by credible but single-source data (Gulf News/Cavendish Maxwell). The "low competition" claim is qualitative only. Al-Khobar lacks its own growth figure.</w:t>
      </w:r>
    </w:p>
    <w:p w14:paraId="7B33739C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(6) Data Point That Would Change Our Mind</w:t>
      </w:r>
    </w:p>
    <w:p w14:paraId="7FE718CF" w14:textId="77777777" w:rsidR="005F0D74" w:rsidRPr="005F0D74" w:rsidRDefault="005F0D74" w:rsidP="005F0D74">
      <w:r w:rsidRPr="005F0D74">
        <w:rPr>
          <w:i/>
          <w:iCs/>
        </w:rPr>
        <w:t>A REGA announcement extending the rent freeze to Dammam or Al-Khobar</w:t>
      </w:r>
      <w:r w:rsidRPr="005F0D74">
        <w:t xml:space="preserve"> — this would eliminate the key regulatory advantage over Riyadh and fundamentally change the risk-adjusted ranking.</w:t>
      </w:r>
    </w:p>
    <w:p w14:paraId="5FAFC831" w14:textId="77777777" w:rsidR="005F0D74" w:rsidRPr="005F0D74" w:rsidRDefault="005F0D74" w:rsidP="005F0D74">
      <w:r w:rsidRPr="005F0D74">
        <w:pict w14:anchorId="663FD234">
          <v:rect id="_x0000_i1076" style="width:0;height:1.5pt" o:hralign="center" o:hrstd="t" o:hr="t" fillcolor="#a0a0a0" stroked="f"/>
        </w:pict>
      </w:r>
    </w:p>
    <w:p w14:paraId="759FD78A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Insight 3: Jeddah Commands High Rents but Faces Regional Supply Risk</w:t>
      </w:r>
    </w:p>
    <w:p w14:paraId="101CBDE0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(1) The Insight</w:t>
      </w:r>
    </w:p>
    <w:p w14:paraId="39ACEDDA" w14:textId="77777777" w:rsidR="005F0D74" w:rsidRPr="005F0D74" w:rsidRDefault="005F0D74" w:rsidP="005F0D74">
      <w:r w:rsidRPr="005F0D74">
        <w:t xml:space="preserve">Jeddah had the highest median rents in the 2021 dataset (SAR 95,000) and benefits from a massive western giga-project pipeline driving long-term employment. However, the 382,500-unit supply pipeline covers </w:t>
      </w:r>
      <w:r w:rsidRPr="005F0D74">
        <w:rPr>
          <w:b/>
          <w:bCs/>
        </w:rPr>
        <w:t>all of Western KSA (including NEOM, Red Sea Global, Qiddiya Coast)</w:t>
      </w:r>
      <w:r w:rsidRPr="005F0D74">
        <w:t xml:space="preserve"> — not Jeddah alone — and if regional absorption slows, Jeddah rents could soften.[1]</w:t>
      </w:r>
    </w:p>
    <w:p w14:paraId="3A2D95DE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(2) Evidence: DATASET vs. EXTERNAL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321"/>
        <w:gridCol w:w="5465"/>
      </w:tblGrid>
      <w:tr w:rsidR="005F0D74" w:rsidRPr="005F0D74" w14:paraId="454C5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B3F0B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30E30DB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DATASET (2021 AQAR)</w:t>
            </w:r>
          </w:p>
        </w:tc>
        <w:tc>
          <w:tcPr>
            <w:tcW w:w="0" w:type="auto"/>
            <w:vAlign w:val="center"/>
            <w:hideMark/>
          </w:tcPr>
          <w:p w14:paraId="627533AD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EXTERNAL RESEARCH (2025–2026)</w:t>
            </w:r>
          </w:p>
        </w:tc>
      </w:tr>
      <w:tr w:rsidR="005F0D74" w:rsidRPr="005F0D74" w14:paraId="1D88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DAD6" w14:textId="77777777" w:rsidR="005F0D74" w:rsidRPr="005F0D74" w:rsidRDefault="005F0D74" w:rsidP="005F0D74">
            <w:r w:rsidRPr="005F0D74">
              <w:t>Median rent — Jeddah</w:t>
            </w:r>
          </w:p>
        </w:tc>
        <w:tc>
          <w:tcPr>
            <w:tcW w:w="0" w:type="auto"/>
            <w:vAlign w:val="center"/>
            <w:hideMark/>
          </w:tcPr>
          <w:p w14:paraId="07F6F2BA" w14:textId="77777777" w:rsidR="005F0D74" w:rsidRPr="005F0D74" w:rsidRDefault="005F0D74" w:rsidP="005F0D74">
            <w:r w:rsidRPr="005F0D74">
              <w:t>SAR 95,000/year (888 listings) — highest of four cities</w:t>
            </w:r>
          </w:p>
        </w:tc>
        <w:tc>
          <w:tcPr>
            <w:tcW w:w="0" w:type="auto"/>
            <w:vAlign w:val="center"/>
            <w:hideMark/>
          </w:tcPr>
          <w:p w14:paraId="27CA78C7" w14:textId="77777777" w:rsidR="005F0D74" w:rsidRPr="005F0D74" w:rsidRDefault="005F0D74" w:rsidP="005F0D74">
            <w:r w:rsidRPr="005F0D74">
              <w:t>Referenced as "~SAR 95,000" — dataset figure echoed</w:t>
            </w:r>
          </w:p>
        </w:tc>
      </w:tr>
      <w:tr w:rsidR="005F0D74" w:rsidRPr="005F0D74" w14:paraId="5309A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0388" w14:textId="77777777" w:rsidR="005F0D74" w:rsidRPr="005F0D74" w:rsidRDefault="005F0D74" w:rsidP="005F0D74">
            <w:r w:rsidRPr="005F0D74">
              <w:lastRenderedPageBreak/>
              <w:t>Rent growth</w:t>
            </w:r>
          </w:p>
        </w:tc>
        <w:tc>
          <w:tcPr>
            <w:tcW w:w="0" w:type="auto"/>
            <w:vAlign w:val="center"/>
            <w:hideMark/>
          </w:tcPr>
          <w:p w14:paraId="33B93147" w14:textId="77777777" w:rsidR="005F0D74" w:rsidRPr="005F0D74" w:rsidRDefault="005F0D74" w:rsidP="005F0D74">
            <w:r w:rsidRPr="005F0D74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62A44576" w14:textId="77777777" w:rsidR="005F0D74" w:rsidRPr="005F0D74" w:rsidRDefault="005F0D74" w:rsidP="005F0D74">
            <w:r w:rsidRPr="005F0D74">
              <w:t>Apartments +4.7% YoY H1 2025, Villas −2.7% H1 2025 (Cavendish Maxwell); Apartments +2.7%, Villas ~+1% Q1 2026 (Gulf News)</w:t>
            </w:r>
          </w:p>
        </w:tc>
      </w:tr>
      <w:tr w:rsidR="005F0D74" w:rsidRPr="005F0D74" w14:paraId="2ECF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359D" w14:textId="77777777" w:rsidR="005F0D74" w:rsidRPr="005F0D74" w:rsidRDefault="005F0D74" w:rsidP="005F0D74">
            <w:r w:rsidRPr="005F0D74">
              <w:t>Supply pipeline</w:t>
            </w:r>
          </w:p>
        </w:tc>
        <w:tc>
          <w:tcPr>
            <w:tcW w:w="0" w:type="auto"/>
            <w:vAlign w:val="center"/>
            <w:hideMark/>
          </w:tcPr>
          <w:p w14:paraId="55A5A2C6" w14:textId="77777777" w:rsidR="005F0D74" w:rsidRPr="005F0D74" w:rsidRDefault="005F0D74" w:rsidP="005F0D74">
            <w:r w:rsidRPr="005F0D74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4E625E7F" w14:textId="77777777" w:rsidR="005F0D74" w:rsidRPr="005F0D74" w:rsidRDefault="005F0D74" w:rsidP="005F0D74">
            <w:r w:rsidRPr="005F0D74">
              <w:t xml:space="preserve">382,500 units across </w:t>
            </w:r>
            <w:r w:rsidRPr="005F0D74">
              <w:rPr>
                <w:b/>
                <w:bCs/>
              </w:rPr>
              <w:t>Western KSA</w:t>
            </w:r>
            <w:r w:rsidRPr="005F0D74">
              <w:t xml:space="preserve"> (Jeddah + NEOM + Red Sea + Qiddiya Coast) by 2030 (Fast Company ME, 2025). Jeddah-specific: ~12,700 units in H2 2025 (Cavendish Maxwell)</w:t>
            </w:r>
          </w:p>
        </w:tc>
      </w:tr>
      <w:tr w:rsidR="005F0D74" w:rsidRPr="005F0D74" w14:paraId="7AE1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2768" w14:textId="77777777" w:rsidR="005F0D74" w:rsidRPr="005F0D74" w:rsidRDefault="005F0D74" w:rsidP="005F0D74">
            <w:r w:rsidRPr="005F0D74">
              <w:t>Amenity profile</w:t>
            </w:r>
          </w:p>
        </w:tc>
        <w:tc>
          <w:tcPr>
            <w:tcW w:w="0" w:type="auto"/>
            <w:vAlign w:val="center"/>
            <w:hideMark/>
          </w:tcPr>
          <w:p w14:paraId="2C38AF01" w14:textId="77777777" w:rsidR="005F0D74" w:rsidRPr="005F0D74" w:rsidRDefault="005F0D74" w:rsidP="005F0D74">
            <w:r w:rsidRPr="005F0D74">
              <w:t>39.3% pool, 17.1% furnished (888 listings)</w:t>
            </w:r>
          </w:p>
        </w:tc>
        <w:tc>
          <w:tcPr>
            <w:tcW w:w="0" w:type="auto"/>
            <w:vAlign w:val="center"/>
            <w:hideMark/>
          </w:tcPr>
          <w:p w14:paraId="159E7456" w14:textId="77777777" w:rsidR="005F0D74" w:rsidRPr="005F0D74" w:rsidRDefault="005F0D74" w:rsidP="005F0D74">
            <w:r w:rsidRPr="005F0D74">
              <w:t>Not separately reported</w:t>
            </w:r>
          </w:p>
        </w:tc>
      </w:tr>
      <w:tr w:rsidR="005F0D74" w:rsidRPr="005F0D74" w14:paraId="004F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19C0" w14:textId="77777777" w:rsidR="005F0D74" w:rsidRPr="005F0D74" w:rsidRDefault="005F0D74" w:rsidP="005F0D74">
            <w:r w:rsidRPr="005F0D74">
              <w:t>Villa segment weakness</w:t>
            </w:r>
          </w:p>
        </w:tc>
        <w:tc>
          <w:tcPr>
            <w:tcW w:w="0" w:type="auto"/>
            <w:vAlign w:val="center"/>
            <w:hideMark/>
          </w:tcPr>
          <w:p w14:paraId="1A51A827" w14:textId="77777777" w:rsidR="005F0D74" w:rsidRPr="005F0D74" w:rsidRDefault="005F0D74" w:rsidP="005F0D74">
            <w:r w:rsidRPr="005F0D74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49ACABFF" w14:textId="77777777" w:rsidR="005F0D74" w:rsidRPr="005F0D74" w:rsidRDefault="005F0D74" w:rsidP="005F0D74">
            <w:r w:rsidRPr="005F0D74">
              <w:t>Villas −2.7% in H1 2025, recovering to ~+1% by Q1 2026 — bifurcated market</w:t>
            </w:r>
          </w:p>
        </w:tc>
      </w:tr>
    </w:tbl>
    <w:p w14:paraId="77D4B8E3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(3) Source Quality, Consistency, and Timeliness</w:t>
      </w:r>
    </w:p>
    <w:p w14:paraId="36C5D7B9" w14:textId="77777777" w:rsidR="005F0D74" w:rsidRPr="005F0D74" w:rsidRDefault="005F0D74" w:rsidP="005F0D74">
      <w:pPr>
        <w:numPr>
          <w:ilvl w:val="0"/>
          <w:numId w:val="5"/>
        </w:numPr>
      </w:pPr>
      <w:r w:rsidRPr="005F0D74">
        <w:rPr>
          <w:b/>
          <w:bCs/>
        </w:rPr>
        <w:t>Fast Company ME (2025):</w:t>
      </w:r>
      <w:r w:rsidRPr="005F0D74">
        <w:t xml:space="preserve"> Citing JLL data on giga-project contracts. The 382,500 figure covers 17 projects across all of western KSA — </w:t>
      </w:r>
      <w:r w:rsidRPr="005F0D74">
        <w:rPr>
          <w:b/>
          <w:bCs/>
        </w:rPr>
        <w:t>not Jeddah alone</w:t>
      </w:r>
      <w:r w:rsidRPr="005F0D74">
        <w:t>. This is a critical precision point: the supply risk is regional, and much of this pipeline (NEOM, Red Sea) is geographically distant from Jeddah's urban rental market.[1]</w:t>
      </w:r>
    </w:p>
    <w:p w14:paraId="5EF1B4CA" w14:textId="77777777" w:rsidR="005F0D74" w:rsidRPr="005F0D74" w:rsidRDefault="005F0D74" w:rsidP="005F0D74">
      <w:pPr>
        <w:numPr>
          <w:ilvl w:val="0"/>
          <w:numId w:val="5"/>
        </w:numPr>
      </w:pPr>
      <w:r w:rsidRPr="005F0D74">
        <w:rPr>
          <w:b/>
          <w:bCs/>
        </w:rPr>
        <w:t>Cavendish Maxwell (H1 2025):</w:t>
      </w:r>
      <w:r w:rsidRPr="005F0D74">
        <w:t xml:space="preserve"> Provides Jeddah-specific growth data. Credible consultancy with Saudi market presence.[1]</w:t>
      </w:r>
    </w:p>
    <w:p w14:paraId="79B18864" w14:textId="77777777" w:rsidR="005F0D74" w:rsidRPr="005F0D74" w:rsidRDefault="005F0D74" w:rsidP="005F0D74">
      <w:pPr>
        <w:numPr>
          <w:ilvl w:val="0"/>
          <w:numId w:val="5"/>
        </w:numPr>
      </w:pPr>
      <w:r w:rsidRPr="005F0D74">
        <w:rPr>
          <w:b/>
          <w:bCs/>
        </w:rPr>
        <w:t>JLL (2025):</w:t>
      </w:r>
      <w:r w:rsidRPr="005F0D74">
        <w:t xml:space="preserve"> Notes developers are "strategically phasing delivery" to mitigate oversupply — a qualitative mitigant.[1]</w:t>
      </w:r>
    </w:p>
    <w:p w14:paraId="2ACA4A75" w14:textId="77777777" w:rsidR="005F0D74" w:rsidRPr="005F0D74" w:rsidRDefault="005F0D74" w:rsidP="005F0D74">
      <w:pPr>
        <w:numPr>
          <w:ilvl w:val="0"/>
          <w:numId w:val="5"/>
        </w:numPr>
      </w:pPr>
      <w:r w:rsidRPr="005F0D74">
        <w:rPr>
          <w:b/>
          <w:bCs/>
        </w:rPr>
        <w:t>Dataset (2021):</w:t>
      </w:r>
      <w:r w:rsidRPr="005F0D74">
        <w:t xml:space="preserve"> Confirms Jeddah's rent premium and richer amenity profile. However, the dataset cannot tell us whether this premium has widened or narrowed since 2021.</w:t>
      </w:r>
    </w:p>
    <w:p w14:paraId="2D973429" w14:textId="77777777" w:rsidR="005F0D74" w:rsidRPr="005F0D74" w:rsidRDefault="005F0D74" w:rsidP="005F0D74">
      <w:pPr>
        <w:numPr>
          <w:ilvl w:val="0"/>
          <w:numId w:val="5"/>
        </w:numPr>
      </w:pPr>
      <w:r w:rsidRPr="005F0D74">
        <w:rPr>
          <w:b/>
          <w:bCs/>
        </w:rPr>
        <w:t>Consistency:</w:t>
      </w:r>
      <w:r w:rsidRPr="005F0D74">
        <w:t xml:space="preserve"> Both sources agree Jeddah is the highest-rent market. The villa weakness in H1 2025 (−2.7%) is a new signal not visible in the 2021 dataset.</w:t>
      </w:r>
    </w:p>
    <w:p w14:paraId="1CB8D194" w14:textId="77777777" w:rsidR="005F0D74" w:rsidRPr="005F0D74" w:rsidRDefault="005F0D74" w:rsidP="005F0D74">
      <w:pPr>
        <w:numPr>
          <w:ilvl w:val="0"/>
          <w:numId w:val="5"/>
        </w:numPr>
      </w:pPr>
      <w:r w:rsidRPr="005F0D74">
        <w:rPr>
          <w:b/>
          <w:bCs/>
        </w:rPr>
        <w:t>Timeliness:</w:t>
      </w:r>
      <w:r w:rsidRPr="005F0D74">
        <w:t xml:space="preserve"> Growth data is current (H1 2025 – Q1 2026). Dataset is stale for absolute levels.</w:t>
      </w:r>
    </w:p>
    <w:p w14:paraId="794CD595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(4) Gaps, Assumptions, and What Cannot Be Concluded</w:t>
      </w:r>
    </w:p>
    <w:p w14:paraId="13AAA586" w14:textId="77777777" w:rsidR="005F0D74" w:rsidRPr="005F0D74" w:rsidRDefault="005F0D74" w:rsidP="005F0D74">
      <w:pPr>
        <w:numPr>
          <w:ilvl w:val="0"/>
          <w:numId w:val="6"/>
        </w:numPr>
      </w:pPr>
      <w:r w:rsidRPr="005F0D74">
        <w:rPr>
          <w:b/>
          <w:bCs/>
        </w:rPr>
        <w:lastRenderedPageBreak/>
        <w:t>Critical correction:</w:t>
      </w:r>
      <w:r w:rsidRPr="005F0D74">
        <w:t xml:space="preserve"> The 382,500-unit pipeline is for </w:t>
      </w:r>
      <w:r w:rsidRPr="005F0D74">
        <w:rPr>
          <w:b/>
          <w:bCs/>
        </w:rPr>
        <w:t>Western KSA including NEOM</w:t>
      </w:r>
      <w:r w:rsidRPr="005F0D74">
        <w:t>, not Jeddah alone. The Jeddah-specific near-term pipeline is ~12,700 units (H2 2025) — a much smaller and more manageable figure. The regional pipeline overstates Jeddah-specific supply risk.</w:t>
      </w:r>
    </w:p>
    <w:p w14:paraId="149CCAD7" w14:textId="77777777" w:rsidR="005F0D74" w:rsidRPr="005F0D74" w:rsidRDefault="005F0D74" w:rsidP="005F0D74">
      <w:pPr>
        <w:numPr>
          <w:ilvl w:val="0"/>
          <w:numId w:val="6"/>
        </w:numPr>
      </w:pPr>
      <w:r w:rsidRPr="005F0D74">
        <w:rPr>
          <w:b/>
          <w:bCs/>
        </w:rPr>
        <w:t>Gap:</w:t>
      </w:r>
      <w:r w:rsidRPr="005F0D74">
        <w:t xml:space="preserve"> No Jeddah-specific absorption rate or vacancy data is available. Saudi Arabia does not publicly report residential vacancy by city.[1]</w:t>
      </w:r>
    </w:p>
    <w:p w14:paraId="5E1E66AE" w14:textId="77777777" w:rsidR="005F0D74" w:rsidRPr="005F0D74" w:rsidRDefault="005F0D74" w:rsidP="005F0D74">
      <w:pPr>
        <w:numPr>
          <w:ilvl w:val="0"/>
          <w:numId w:val="6"/>
        </w:numPr>
      </w:pPr>
      <w:r w:rsidRPr="005F0D74">
        <w:rPr>
          <w:b/>
          <w:bCs/>
        </w:rPr>
        <w:t>Gap:</w:t>
      </w:r>
      <w:r w:rsidRPr="005F0D74">
        <w:t xml:space="preserve"> The villa segment weakness (−2.7% in H1 2025) is attributed to "affordability pressures" by the research, but no income or affordability data is cited to support this interpretation.</w:t>
      </w:r>
    </w:p>
    <w:p w14:paraId="4F56137A" w14:textId="77777777" w:rsidR="005F0D74" w:rsidRPr="005F0D74" w:rsidRDefault="005F0D74" w:rsidP="005F0D74">
      <w:pPr>
        <w:numPr>
          <w:ilvl w:val="0"/>
          <w:numId w:val="6"/>
        </w:numPr>
      </w:pPr>
      <w:r w:rsidRPr="005F0D74">
        <w:rPr>
          <w:b/>
          <w:bCs/>
        </w:rPr>
        <w:t>Assumption:</w:t>
      </w:r>
      <w:r w:rsidRPr="005F0D74">
        <w:t xml:space="preserve"> That giga-project employment will translate into Jeddah rental demand. Many giga-projects (NEOM, Red Sea) are remote and may house workers on-site rather than in Jeddah.</w:t>
      </w:r>
    </w:p>
    <w:p w14:paraId="3436093C" w14:textId="77777777" w:rsidR="005F0D74" w:rsidRPr="005F0D74" w:rsidRDefault="005F0D74" w:rsidP="005F0D74">
      <w:pPr>
        <w:numPr>
          <w:ilvl w:val="0"/>
          <w:numId w:val="6"/>
        </w:numPr>
      </w:pPr>
      <w:r w:rsidRPr="005F0D74">
        <w:rPr>
          <w:b/>
          <w:bCs/>
        </w:rPr>
        <w:t>Cannot conclude:</w:t>
      </w:r>
      <w:r w:rsidRPr="005F0D74">
        <w:t xml:space="preserve"> Whether Jeddah's rent premium over other cities has grown or shrunk since 2021.</w:t>
      </w:r>
    </w:p>
    <w:p w14:paraId="180D1B71" w14:textId="77777777" w:rsidR="005F0D74" w:rsidRPr="005F0D74" w:rsidRDefault="005F0D74" w:rsidP="005F0D74">
      <w:pPr>
        <w:numPr>
          <w:ilvl w:val="0"/>
          <w:numId w:val="6"/>
        </w:numPr>
      </w:pPr>
      <w:r w:rsidRPr="005F0D74">
        <w:rPr>
          <w:b/>
          <w:bCs/>
        </w:rPr>
        <w:t>Cannot conclude:</w:t>
      </w:r>
      <w:r w:rsidRPr="005F0D74">
        <w:t xml:space="preserve"> Investment yield — rents only, no purchase prices.</w:t>
      </w:r>
    </w:p>
    <w:p w14:paraId="49E26CF5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 xml:space="preserve">(5) Confidence Level: MEDIUM </w:t>
      </w:r>
      <w:r w:rsidRPr="005F0D74">
        <w:rPr>
          <w:rFonts w:ascii="Segoe UI Emoji" w:hAnsi="Segoe UI Emoji" w:cs="Segoe UI Emoji"/>
          <w:b/>
          <w:bCs/>
        </w:rPr>
        <w:t>⚠️</w:t>
      </w:r>
    </w:p>
    <w:p w14:paraId="0E7AC19B" w14:textId="77777777" w:rsidR="005F0D74" w:rsidRPr="005F0D74" w:rsidRDefault="005F0D74" w:rsidP="005F0D74">
      <w:r w:rsidRPr="005F0D74">
        <w:t>Jeddah's rent premium is well-established but the supply-risk assessment requires careful scoping (Western KSA ≠ Jeddah). The villa weakness is a real signal but based on a single consultancy's data.</w:t>
      </w:r>
    </w:p>
    <w:p w14:paraId="16621F8B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(6) Data Point That Would Change Our Mind</w:t>
      </w:r>
    </w:p>
    <w:p w14:paraId="4D60CEDE" w14:textId="77777777" w:rsidR="005F0D74" w:rsidRPr="005F0D74" w:rsidRDefault="005F0D74" w:rsidP="005F0D74">
      <w:r w:rsidRPr="005F0D74">
        <w:rPr>
          <w:i/>
          <w:iCs/>
        </w:rPr>
        <w:t>Jeddah-specific residential vacancy data exceeding 15%</w:t>
      </w:r>
      <w:r w:rsidRPr="005F0D74">
        <w:t xml:space="preserve"> — this would confirm oversupply is materializing locally, not just regionally, and would downgrade Jeddah's attractiveness significantly.</w:t>
      </w:r>
    </w:p>
    <w:p w14:paraId="15ECFD68" w14:textId="77777777" w:rsidR="005F0D74" w:rsidRPr="005F0D74" w:rsidRDefault="005F0D74" w:rsidP="005F0D74">
      <w:r w:rsidRPr="005F0D74">
        <w:pict w14:anchorId="39700B81">
          <v:rect id="_x0000_i1077" style="width:0;height:1.5pt" o:hralign="center" o:hrstd="t" o:hr="t" fillcolor="#a0a0a0" stroked="f"/>
        </w:pict>
      </w:r>
    </w:p>
    <w:p w14:paraId="3FC241B1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Insight 4: Institutional Competition Is Concentrated in Riyadh</w:t>
      </w:r>
    </w:p>
    <w:p w14:paraId="1A5F0503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(1) The Insight</w:t>
      </w:r>
    </w:p>
    <w:p w14:paraId="4A4FF22C" w14:textId="77777777" w:rsidR="005F0D74" w:rsidRPr="005F0D74" w:rsidRDefault="005F0D74" w:rsidP="005F0D74">
      <w:r w:rsidRPr="005F0D74">
        <w:t>PIF-backed developers (ROSHN, NHC, Diriyah Company) dominate Riyadh's residential development landscape, benefiting from sovereign capital, land access, and regulatory alignment. Jeddah sees moderate institutional activity; Dammam/Al-Khobar remain fragmented. This concentration creates significant barriers for private entrants in Riyadh but leaves more room in other cities. [1]</w:t>
      </w:r>
    </w:p>
    <w:p w14:paraId="780A50A8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lastRenderedPageBreak/>
        <w:t>(2) Evidence: DATASET vs. EXTERNAL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538"/>
        <w:gridCol w:w="4342"/>
      </w:tblGrid>
      <w:tr w:rsidR="005F0D74" w:rsidRPr="005F0D74" w14:paraId="0A443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53298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E32CAE9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DATASET (2021 AQAR)</w:t>
            </w:r>
          </w:p>
        </w:tc>
        <w:tc>
          <w:tcPr>
            <w:tcW w:w="0" w:type="auto"/>
            <w:vAlign w:val="center"/>
            <w:hideMark/>
          </w:tcPr>
          <w:p w14:paraId="6D9F1061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EXTERNAL RESEARCH (2025–2026)</w:t>
            </w:r>
          </w:p>
        </w:tc>
      </w:tr>
      <w:tr w:rsidR="005F0D74" w:rsidRPr="005F0D74" w14:paraId="73B89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4A8F" w14:textId="77777777" w:rsidR="005F0D74" w:rsidRPr="005F0D74" w:rsidRDefault="005F0D74" w:rsidP="005F0D74">
            <w:r w:rsidRPr="005F0D74">
              <w:t>Competition data</w:t>
            </w:r>
          </w:p>
        </w:tc>
        <w:tc>
          <w:tcPr>
            <w:tcW w:w="0" w:type="auto"/>
            <w:vAlign w:val="center"/>
            <w:hideMark/>
          </w:tcPr>
          <w:p w14:paraId="0BA05015" w14:textId="77777777" w:rsidR="005F0D74" w:rsidRPr="005F0D74" w:rsidRDefault="005F0D74" w:rsidP="005F0D74">
            <w:r w:rsidRPr="005F0D74">
              <w:rPr>
                <w:b/>
                <w:bCs/>
              </w:rPr>
              <w:t>None.</w:t>
            </w:r>
            <w:r w:rsidRPr="005F0D74">
              <w:t xml:space="preserve"> The dataset contains rental listing prices and property features only. It has no information on developers, landlords, institutional presence, or market share.</w:t>
            </w:r>
          </w:p>
        </w:tc>
        <w:tc>
          <w:tcPr>
            <w:tcW w:w="0" w:type="auto"/>
            <w:vAlign w:val="center"/>
            <w:hideMark/>
          </w:tcPr>
          <w:p w14:paraId="202CDA1F" w14:textId="77777777" w:rsidR="005F0D74" w:rsidRPr="005F0D74" w:rsidRDefault="005F0D74" w:rsidP="005F0D74">
            <w:r w:rsidRPr="005F0D74">
              <w:t>ROSHN: 30,000-unit Sedra project in Riyadh (PIF, 2025); Dar Al Arkan: 5M m² Shams Ar Riyadh (CB Insights); NHC: Al Fursan communities; ~17+ REITs on Tadawul, mostly commercial (Argaam, 2025)</w:t>
            </w:r>
          </w:p>
        </w:tc>
      </w:tr>
      <w:tr w:rsidR="005F0D74" w:rsidRPr="005F0D74" w14:paraId="4BDBB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C7F2" w14:textId="77777777" w:rsidR="005F0D74" w:rsidRPr="005F0D74" w:rsidRDefault="005F0D74" w:rsidP="005F0D74">
            <w:r w:rsidRPr="005F0D74">
              <w:t>Listing counts</w:t>
            </w:r>
          </w:p>
        </w:tc>
        <w:tc>
          <w:tcPr>
            <w:tcW w:w="0" w:type="auto"/>
            <w:vAlign w:val="center"/>
            <w:hideMark/>
          </w:tcPr>
          <w:p w14:paraId="5ECD38A6" w14:textId="77777777" w:rsidR="005F0D74" w:rsidRPr="005F0D74" w:rsidRDefault="005F0D74" w:rsidP="005F0D74">
            <w:r w:rsidRPr="005F0D74">
              <w:t>Riyadh: 960; Jeddah: 888; Dammam: 894; Al-Khobar: 976</w:t>
            </w:r>
          </w:p>
        </w:tc>
        <w:tc>
          <w:tcPr>
            <w:tcW w:w="0" w:type="auto"/>
            <w:vAlign w:val="center"/>
            <w:hideMark/>
          </w:tcPr>
          <w:p w14:paraId="020318D1" w14:textId="77777777" w:rsidR="005F0D74" w:rsidRPr="005F0D74" w:rsidRDefault="005F0D74" w:rsidP="005F0D74">
            <w:r w:rsidRPr="005F0D74">
              <w:t>Not separately reported</w:t>
            </w:r>
          </w:p>
        </w:tc>
      </w:tr>
      <w:tr w:rsidR="005F0D74" w:rsidRPr="005F0D74" w14:paraId="1FAB2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ED32" w14:textId="77777777" w:rsidR="005F0D74" w:rsidRPr="005F0D74" w:rsidRDefault="005F0D74" w:rsidP="005F0D74">
            <w:r w:rsidRPr="005F0D74">
              <w:t>BTR market size</w:t>
            </w:r>
          </w:p>
        </w:tc>
        <w:tc>
          <w:tcPr>
            <w:tcW w:w="0" w:type="auto"/>
            <w:vAlign w:val="center"/>
            <w:hideMark/>
          </w:tcPr>
          <w:p w14:paraId="1C707760" w14:textId="77777777" w:rsidR="005F0D74" w:rsidRPr="005F0D74" w:rsidRDefault="005F0D74" w:rsidP="005F0D74">
            <w:r w:rsidRPr="005F0D74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21A05A0B" w14:textId="77777777" w:rsidR="005F0D74" w:rsidRPr="005F0D74" w:rsidRDefault="005F0D74" w:rsidP="005F0D74">
            <w:r w:rsidRPr="005F0D74">
              <w:t>~$0.33B in 2025, projected $0.87B by 2031 at 16.24% CAGR (Mordor Intelligence, 2025)</w:t>
            </w:r>
          </w:p>
        </w:tc>
      </w:tr>
      <w:tr w:rsidR="005F0D74" w:rsidRPr="005F0D74" w14:paraId="2E07A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D9DC" w14:textId="77777777" w:rsidR="005F0D74" w:rsidRPr="005F0D74" w:rsidRDefault="005F0D74" w:rsidP="005F0D74">
            <w:r w:rsidRPr="005F0D74">
              <w:t>City-level dynamics</w:t>
            </w:r>
          </w:p>
        </w:tc>
        <w:tc>
          <w:tcPr>
            <w:tcW w:w="0" w:type="auto"/>
            <w:vAlign w:val="center"/>
            <w:hideMark/>
          </w:tcPr>
          <w:p w14:paraId="019F79E2" w14:textId="77777777" w:rsidR="005F0D74" w:rsidRPr="005F0D74" w:rsidRDefault="005F0D74" w:rsidP="005F0D74">
            <w:r w:rsidRPr="005F0D74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5E1385FA" w14:textId="77777777" w:rsidR="005F0D74" w:rsidRPr="005F0D74" w:rsidRDefault="005F0D74" w:rsidP="005F0D74">
            <w:r w:rsidRPr="005F0D74">
              <w:t>Riyadh: "Very High" institutional concentration (K&amp;S Law, 2025); Jeddah/DMA: "lower institutional concentration" (JLL, 2025)</w:t>
            </w:r>
          </w:p>
        </w:tc>
      </w:tr>
    </w:tbl>
    <w:p w14:paraId="77BD376A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(3) Source Quality, Consistency, and Timeliness</w:t>
      </w:r>
    </w:p>
    <w:p w14:paraId="3103C715" w14:textId="77777777" w:rsidR="005F0D74" w:rsidRPr="005F0D74" w:rsidRDefault="005F0D74" w:rsidP="005F0D74">
      <w:pPr>
        <w:numPr>
          <w:ilvl w:val="0"/>
          <w:numId w:val="7"/>
        </w:numPr>
      </w:pPr>
      <w:r w:rsidRPr="005F0D74">
        <w:rPr>
          <w:b/>
          <w:bCs/>
        </w:rPr>
        <w:t>K&amp;S Law (2025):</w:t>
      </w:r>
      <w:r w:rsidRPr="005F0D74">
        <w:t xml:space="preserve"> Tier-1 international law firm. Describes PIF-backed entities' "sovereign capital, land access, and regulatory alignment" advantages. Credible but qualitative — no market-share percentages.[1]</w:t>
      </w:r>
    </w:p>
    <w:p w14:paraId="78F947EB" w14:textId="77777777" w:rsidR="005F0D74" w:rsidRPr="005F0D74" w:rsidRDefault="005F0D74" w:rsidP="005F0D74">
      <w:pPr>
        <w:numPr>
          <w:ilvl w:val="0"/>
          <w:numId w:val="7"/>
        </w:numPr>
      </w:pPr>
      <w:r w:rsidRPr="005F0D74">
        <w:rPr>
          <w:b/>
          <w:bCs/>
        </w:rPr>
        <w:t>JLL (2025):</w:t>
      </w:r>
      <w:r w:rsidRPr="005F0D74">
        <w:t xml:space="preserve"> Tier-1 global consultancy. Characterizes Jeddah/DMA as having "lower institutional concentration." Again qualitative.[1]</w:t>
      </w:r>
    </w:p>
    <w:p w14:paraId="0E48F3AB" w14:textId="77777777" w:rsidR="005F0D74" w:rsidRPr="005F0D74" w:rsidRDefault="005F0D74" w:rsidP="005F0D74">
      <w:pPr>
        <w:numPr>
          <w:ilvl w:val="0"/>
          <w:numId w:val="7"/>
        </w:numPr>
      </w:pPr>
      <w:r w:rsidRPr="005F0D74">
        <w:rPr>
          <w:b/>
          <w:bCs/>
        </w:rPr>
        <w:t>PIF / ROSHN (2025):</w:t>
      </w:r>
      <w:r w:rsidRPr="005F0D74">
        <w:t xml:space="preserve"> Primary source for ROSHN's project scale. Highest credibility for their own pipeline.[1]</w:t>
      </w:r>
    </w:p>
    <w:p w14:paraId="1FB88CD0" w14:textId="77777777" w:rsidR="005F0D74" w:rsidRPr="005F0D74" w:rsidRDefault="005F0D74" w:rsidP="005F0D74">
      <w:pPr>
        <w:numPr>
          <w:ilvl w:val="0"/>
          <w:numId w:val="7"/>
        </w:numPr>
      </w:pPr>
      <w:r w:rsidRPr="005F0D74">
        <w:rPr>
          <w:b/>
          <w:bCs/>
        </w:rPr>
        <w:t>Mordor Intelligence (2025):</w:t>
      </w:r>
      <w:r w:rsidRPr="005F0D74">
        <w:t xml:space="preserve"> Commercial market research firm. BTR market sizing ($0.33B) is a single-source estimate with no disclosed methodology. Treat with caution.[1]</w:t>
      </w:r>
    </w:p>
    <w:p w14:paraId="05FEC90E" w14:textId="77777777" w:rsidR="005F0D74" w:rsidRPr="005F0D74" w:rsidRDefault="005F0D74" w:rsidP="005F0D74">
      <w:pPr>
        <w:numPr>
          <w:ilvl w:val="0"/>
          <w:numId w:val="7"/>
        </w:numPr>
      </w:pPr>
      <w:r w:rsidRPr="005F0D74">
        <w:rPr>
          <w:b/>
          <w:bCs/>
        </w:rPr>
        <w:t>Dataset (2021):</w:t>
      </w:r>
      <w:r w:rsidRPr="005F0D74">
        <w:t xml:space="preserve"> </w:t>
      </w:r>
      <w:r w:rsidRPr="005F0D74">
        <w:rPr>
          <w:b/>
          <w:bCs/>
        </w:rPr>
        <w:t>The dataset provides zero evidence on competition.</w:t>
      </w:r>
      <w:r w:rsidRPr="005F0D74">
        <w:t xml:space="preserve"> Listing counts (roughly equal across cities at 888–976) tell us about the </w:t>
      </w:r>
      <w:r w:rsidRPr="005F0D74">
        <w:rPr>
          <w:i/>
          <w:iCs/>
        </w:rPr>
        <w:t>dataset's sample</w:t>
      </w:r>
      <w:r w:rsidRPr="005F0D74">
        <w:t>, not about market concentration or institutional presence.</w:t>
      </w:r>
    </w:p>
    <w:p w14:paraId="1A73C820" w14:textId="77777777" w:rsidR="005F0D74" w:rsidRPr="005F0D74" w:rsidRDefault="005F0D74" w:rsidP="005F0D74">
      <w:pPr>
        <w:numPr>
          <w:ilvl w:val="0"/>
          <w:numId w:val="7"/>
        </w:numPr>
      </w:pPr>
      <w:r w:rsidRPr="005F0D74">
        <w:rPr>
          <w:b/>
          <w:bCs/>
        </w:rPr>
        <w:lastRenderedPageBreak/>
        <w:t>Consistency:</w:t>
      </w:r>
      <w:r w:rsidRPr="005F0D74">
        <w:t xml:space="preserve"> All external sources agree Riyadh has the highest institutional concentration. No source disputes this. But no source provides quantitative market-share data.</w:t>
      </w:r>
    </w:p>
    <w:p w14:paraId="66D12347" w14:textId="77777777" w:rsidR="005F0D74" w:rsidRPr="005F0D74" w:rsidRDefault="005F0D74" w:rsidP="005F0D74">
      <w:pPr>
        <w:numPr>
          <w:ilvl w:val="0"/>
          <w:numId w:val="7"/>
        </w:numPr>
      </w:pPr>
      <w:r w:rsidRPr="005F0D74">
        <w:rPr>
          <w:b/>
          <w:bCs/>
        </w:rPr>
        <w:t>Timeliness:</w:t>
      </w:r>
      <w:r w:rsidRPr="005F0D74">
        <w:t xml:space="preserve"> External sources are current (2025). Dataset is irrelevant to this insight.</w:t>
      </w:r>
    </w:p>
    <w:p w14:paraId="004348B8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(4) Gaps, Assumptions, and What Cannot Be Concluded</w:t>
      </w:r>
    </w:p>
    <w:p w14:paraId="304959DE" w14:textId="77777777" w:rsidR="005F0D74" w:rsidRPr="005F0D74" w:rsidRDefault="005F0D74" w:rsidP="005F0D74">
      <w:pPr>
        <w:numPr>
          <w:ilvl w:val="0"/>
          <w:numId w:val="8"/>
        </w:numPr>
      </w:pPr>
      <w:r w:rsidRPr="005F0D74">
        <w:rPr>
          <w:b/>
          <w:bCs/>
        </w:rPr>
        <w:t>Critical correction:</w:t>
      </w:r>
      <w:r w:rsidRPr="005F0D74">
        <w:t xml:space="preserve"> The dataset shows rents and property features only — it cannot be used as evidence for or against competition levels in any city. The roughly equal listing counts across cities reflect the dataset's scraping methodology, not market structure.</w:t>
      </w:r>
    </w:p>
    <w:p w14:paraId="090954C6" w14:textId="77777777" w:rsidR="005F0D74" w:rsidRPr="005F0D74" w:rsidRDefault="005F0D74" w:rsidP="005F0D74">
      <w:pPr>
        <w:numPr>
          <w:ilvl w:val="0"/>
          <w:numId w:val="8"/>
        </w:numPr>
      </w:pPr>
      <w:r w:rsidRPr="005F0D74">
        <w:rPr>
          <w:b/>
          <w:bCs/>
        </w:rPr>
        <w:t>Gap:</w:t>
      </w:r>
      <w:r w:rsidRPr="005F0D74">
        <w:t xml:space="preserve"> No source provides quantitative market-share data (e.g., "ROSHN controls X% of Riyadh rental stock"). All competition assessments are qualitative.</w:t>
      </w:r>
    </w:p>
    <w:p w14:paraId="4605D77E" w14:textId="77777777" w:rsidR="005F0D74" w:rsidRPr="005F0D74" w:rsidRDefault="005F0D74" w:rsidP="005F0D74">
      <w:pPr>
        <w:numPr>
          <w:ilvl w:val="0"/>
          <w:numId w:val="8"/>
        </w:numPr>
      </w:pPr>
      <w:r w:rsidRPr="005F0D74">
        <w:rPr>
          <w:b/>
          <w:bCs/>
        </w:rPr>
        <w:t>Gap:</w:t>
      </w:r>
      <w:r w:rsidRPr="005F0D74">
        <w:t xml:space="preserve"> The BTR market size ($0.33B) from Mordor Intelligence is a single-source estimate. No competing estimate exists for cross-validation.</w:t>
      </w:r>
    </w:p>
    <w:p w14:paraId="6928D304" w14:textId="77777777" w:rsidR="005F0D74" w:rsidRPr="005F0D74" w:rsidRDefault="005F0D74" w:rsidP="005F0D74">
      <w:pPr>
        <w:numPr>
          <w:ilvl w:val="0"/>
          <w:numId w:val="8"/>
        </w:numPr>
      </w:pPr>
      <w:r w:rsidRPr="005F0D74">
        <w:rPr>
          <w:b/>
          <w:bCs/>
        </w:rPr>
        <w:t>Assumption:</w:t>
      </w:r>
      <w:r w:rsidRPr="005F0D74">
        <w:t xml:space="preserve"> That PIF-backed developers' dominance in </w:t>
      </w:r>
      <w:r w:rsidRPr="005F0D74">
        <w:rPr>
          <w:i/>
          <w:iCs/>
        </w:rPr>
        <w:t>development</w:t>
      </w:r>
      <w:r w:rsidRPr="005F0D74">
        <w:t xml:space="preserve"> translates to dominance in </w:t>
      </w:r>
      <w:r w:rsidRPr="005F0D74">
        <w:rPr>
          <w:i/>
          <w:iCs/>
        </w:rPr>
        <w:t>rental operations</w:t>
      </w:r>
      <w:r w:rsidRPr="005F0D74">
        <w:t>. Many PIF projects target homeownership, not rental.</w:t>
      </w:r>
    </w:p>
    <w:p w14:paraId="5E341CEA" w14:textId="77777777" w:rsidR="005F0D74" w:rsidRPr="005F0D74" w:rsidRDefault="005F0D74" w:rsidP="005F0D74">
      <w:pPr>
        <w:numPr>
          <w:ilvl w:val="0"/>
          <w:numId w:val="8"/>
        </w:numPr>
      </w:pPr>
      <w:r w:rsidRPr="005F0D74">
        <w:rPr>
          <w:b/>
          <w:bCs/>
        </w:rPr>
        <w:t>Cannot conclude:</w:t>
      </w:r>
      <w:r w:rsidRPr="005F0D74">
        <w:t xml:space="preserve"> Whether institutional concentration in Riyadh is increasing or stabilizing.</w:t>
      </w:r>
    </w:p>
    <w:p w14:paraId="10461C65" w14:textId="77777777" w:rsidR="005F0D74" w:rsidRPr="005F0D74" w:rsidRDefault="005F0D74" w:rsidP="005F0D74">
      <w:pPr>
        <w:numPr>
          <w:ilvl w:val="0"/>
          <w:numId w:val="8"/>
        </w:numPr>
      </w:pPr>
      <w:r w:rsidRPr="005F0D74">
        <w:rPr>
          <w:b/>
          <w:bCs/>
        </w:rPr>
        <w:t>Cannot conclude:</w:t>
      </w:r>
      <w:r w:rsidRPr="005F0D74">
        <w:t xml:space="preserve"> The actual number of institutional rental landlords in any city.</w:t>
      </w:r>
    </w:p>
    <w:p w14:paraId="6CBC0AEE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 xml:space="preserve">(5) Confidence Level: MEDIUM </w:t>
      </w:r>
      <w:r w:rsidRPr="005F0D74">
        <w:rPr>
          <w:rFonts w:ascii="Segoe UI Emoji" w:hAnsi="Segoe UI Emoji" w:cs="Segoe UI Emoji"/>
          <w:b/>
          <w:bCs/>
        </w:rPr>
        <w:t>⚠️</w:t>
      </w:r>
    </w:p>
    <w:p w14:paraId="04FC4E2A" w14:textId="77777777" w:rsidR="005F0D74" w:rsidRPr="005F0D74" w:rsidRDefault="005F0D74" w:rsidP="005F0D74">
      <w:r w:rsidRPr="005F0D74">
        <w:t xml:space="preserve">The directional claim (Riyadh most concentrated, Eastern Province least) is supported by multiple credible qualitative sources. But the absence of quantitative market-share data means the </w:t>
      </w:r>
      <w:r w:rsidRPr="005F0D74">
        <w:rPr>
          <w:i/>
          <w:iCs/>
        </w:rPr>
        <w:t>degree</w:t>
      </w:r>
      <w:r w:rsidRPr="005F0D74">
        <w:t xml:space="preserve"> of concentration is uncertain.</w:t>
      </w:r>
    </w:p>
    <w:p w14:paraId="5E4F64EB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(6) Data Point That Would Change Our Mind</w:t>
      </w:r>
    </w:p>
    <w:p w14:paraId="26DF6609" w14:textId="77777777" w:rsidR="005F0D74" w:rsidRPr="005F0D74" w:rsidRDefault="005F0D74" w:rsidP="005F0D74">
      <w:r w:rsidRPr="005F0D74">
        <w:rPr>
          <w:i/>
          <w:iCs/>
        </w:rPr>
        <w:t>A major institutional developer (e.g., ROSHN, Dar Al Arkan) announcing a large-scale BTR project in Dammam or Al-Khobar</w:t>
      </w:r>
      <w:r w:rsidRPr="005F0D74">
        <w:t xml:space="preserve"> — this would erode the "low competition" advantage that underpins the Eastern Province's top ranking.</w:t>
      </w:r>
    </w:p>
    <w:p w14:paraId="635A38DD" w14:textId="77777777" w:rsidR="005F0D74" w:rsidRPr="005F0D74" w:rsidRDefault="005F0D74" w:rsidP="005F0D74">
      <w:r w:rsidRPr="005F0D74">
        <w:pict w14:anchorId="1A761BF2">
          <v:rect id="_x0000_i1078" style="width:0;height:1.5pt" o:hralign="center" o:hrstd="t" o:hr="t" fillcolor="#a0a0a0" stroked="f"/>
        </w:pict>
      </w:r>
    </w:p>
    <w:p w14:paraId="17446F13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Overall Limitations and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  <w:gridCol w:w="3767"/>
        <w:gridCol w:w="1072"/>
      </w:tblGrid>
      <w:tr w:rsidR="005F0D74" w:rsidRPr="005F0D74" w14:paraId="60D20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5D7E3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lastRenderedPageBreak/>
              <w:t>Limitation / Risk</w:t>
            </w:r>
          </w:p>
        </w:tc>
        <w:tc>
          <w:tcPr>
            <w:tcW w:w="0" w:type="auto"/>
            <w:vAlign w:val="center"/>
            <w:hideMark/>
          </w:tcPr>
          <w:p w14:paraId="5917EAD7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Impact on Analysis</w:t>
            </w:r>
          </w:p>
        </w:tc>
        <w:tc>
          <w:tcPr>
            <w:tcW w:w="0" w:type="auto"/>
            <w:vAlign w:val="center"/>
            <w:hideMark/>
          </w:tcPr>
          <w:p w14:paraId="05992FF9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Severity</w:t>
            </w:r>
          </w:p>
        </w:tc>
      </w:tr>
      <w:tr w:rsidR="005F0D74" w:rsidRPr="005F0D74" w14:paraId="3CA0A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92FD" w14:textId="77777777" w:rsidR="005F0D74" w:rsidRPr="005F0D74" w:rsidRDefault="005F0D74" w:rsidP="005F0D74">
            <w:r w:rsidRPr="005F0D74">
              <w:rPr>
                <w:b/>
                <w:bCs/>
              </w:rPr>
              <w:t>Dataset is from 2021</w:t>
            </w:r>
            <w:r w:rsidRPr="005F0D74">
              <w:t xml:space="preserve"> — predates rent freeze, foreign ownership law, Ejar mandate, White Land Tax overhaul</w:t>
            </w:r>
          </w:p>
        </w:tc>
        <w:tc>
          <w:tcPr>
            <w:tcW w:w="0" w:type="auto"/>
            <w:vAlign w:val="center"/>
            <w:hideMark/>
          </w:tcPr>
          <w:p w14:paraId="23B2DB2A" w14:textId="77777777" w:rsidR="005F0D74" w:rsidRPr="005F0D74" w:rsidRDefault="005F0D74" w:rsidP="005F0D74">
            <w:r w:rsidRPr="005F0D74">
              <w:t>All absolute rent levels are stale; cannot reflect current market dynamics</w:t>
            </w:r>
          </w:p>
        </w:tc>
        <w:tc>
          <w:tcPr>
            <w:tcW w:w="0" w:type="auto"/>
            <w:vAlign w:val="center"/>
            <w:hideMark/>
          </w:tcPr>
          <w:p w14:paraId="1F8E996D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🔴</w:t>
            </w:r>
            <w:r w:rsidRPr="005F0D74">
              <w:t xml:space="preserve"> High</w:t>
            </w:r>
          </w:p>
        </w:tc>
      </w:tr>
      <w:tr w:rsidR="005F0D74" w:rsidRPr="005F0D74" w14:paraId="74840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286C" w14:textId="77777777" w:rsidR="005F0D74" w:rsidRPr="005F0D74" w:rsidRDefault="005F0D74" w:rsidP="005F0D74">
            <w:r w:rsidRPr="005F0D74">
              <w:rPr>
                <w:b/>
                <w:bCs/>
              </w:rPr>
              <w:t>Dataset medians were fed to the research as a baseline</w:t>
            </w:r>
            <w:r w:rsidRPr="005F0D74">
              <w:t xml:space="preserve"> — agreement between sources on rent levels (SAR 95K/80K/75K/60K) is NOT independent confirmation</w:t>
            </w:r>
          </w:p>
        </w:tc>
        <w:tc>
          <w:tcPr>
            <w:tcW w:w="0" w:type="auto"/>
            <w:vAlign w:val="center"/>
            <w:hideMark/>
          </w:tcPr>
          <w:p w14:paraId="7725BFE7" w14:textId="77777777" w:rsidR="005F0D74" w:rsidRPr="005F0D74" w:rsidRDefault="005F0D74" w:rsidP="005F0D74">
            <w:r w:rsidRPr="005F0D74">
              <w:t>Overstates apparent corroboration; the same data appears in both sources</w:t>
            </w:r>
          </w:p>
        </w:tc>
        <w:tc>
          <w:tcPr>
            <w:tcW w:w="0" w:type="auto"/>
            <w:vAlign w:val="center"/>
            <w:hideMark/>
          </w:tcPr>
          <w:p w14:paraId="7E3FE6BE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🔴</w:t>
            </w:r>
            <w:r w:rsidRPr="005F0D74">
              <w:t xml:space="preserve"> High</w:t>
            </w:r>
          </w:p>
        </w:tc>
      </w:tr>
      <w:tr w:rsidR="005F0D74" w:rsidRPr="005F0D74" w14:paraId="4D195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97A6" w14:textId="77777777" w:rsidR="005F0D74" w:rsidRPr="005F0D74" w:rsidRDefault="005F0D74" w:rsidP="005F0D74">
            <w:r w:rsidRPr="005F0D74">
              <w:rPr>
                <w:b/>
                <w:bCs/>
              </w:rPr>
              <w:t>Dataset contains rents only, not purchase prices</w:t>
            </w:r>
            <w:r w:rsidRPr="005F0D74">
              <w:t xml:space="preserve"> — no yield, ROI, or cap-rate calculations are possible</w:t>
            </w:r>
          </w:p>
        </w:tc>
        <w:tc>
          <w:tcPr>
            <w:tcW w:w="0" w:type="auto"/>
            <w:vAlign w:val="center"/>
            <w:hideMark/>
          </w:tcPr>
          <w:p w14:paraId="14357BAC" w14:textId="77777777" w:rsidR="005F0D74" w:rsidRPr="005F0D74" w:rsidRDefault="005F0D74" w:rsidP="005F0D74">
            <w:r w:rsidRPr="005F0D74">
              <w:t>Cannot assess investment returns; only rental income side is visible</w:t>
            </w:r>
          </w:p>
        </w:tc>
        <w:tc>
          <w:tcPr>
            <w:tcW w:w="0" w:type="auto"/>
            <w:vAlign w:val="center"/>
            <w:hideMark/>
          </w:tcPr>
          <w:p w14:paraId="62D62A15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🔴</w:t>
            </w:r>
            <w:r w:rsidRPr="005F0D74">
              <w:t xml:space="preserve"> High</w:t>
            </w:r>
          </w:p>
        </w:tc>
      </w:tr>
      <w:tr w:rsidR="005F0D74" w:rsidRPr="005F0D74" w14:paraId="2EE67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8861" w14:textId="77777777" w:rsidR="005F0D74" w:rsidRPr="005F0D74" w:rsidRDefault="005F0D74" w:rsidP="005F0D74">
            <w:r w:rsidRPr="005F0D74">
              <w:rPr>
                <w:b/>
                <w:bCs/>
              </w:rPr>
              <w:t>Dataset does not measure competition</w:t>
            </w:r>
            <w:r w:rsidRPr="005F0D74">
              <w:t xml:space="preserve"> — it records listing prices and property features, not developer identity, market share, or institutional presence</w:t>
            </w:r>
          </w:p>
        </w:tc>
        <w:tc>
          <w:tcPr>
            <w:tcW w:w="0" w:type="auto"/>
            <w:vAlign w:val="center"/>
            <w:hideMark/>
          </w:tcPr>
          <w:p w14:paraId="1096EB73" w14:textId="77777777" w:rsidR="005F0D74" w:rsidRPr="005F0D74" w:rsidRDefault="005F0D74" w:rsidP="005F0D74">
            <w:r w:rsidRPr="005F0D74">
              <w:t>All competition claims rest entirely on external research (qualitative only)</w:t>
            </w:r>
          </w:p>
        </w:tc>
        <w:tc>
          <w:tcPr>
            <w:tcW w:w="0" w:type="auto"/>
            <w:vAlign w:val="center"/>
            <w:hideMark/>
          </w:tcPr>
          <w:p w14:paraId="08D35813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🟡</w:t>
            </w:r>
            <w:r w:rsidRPr="005F0D74">
              <w:t xml:space="preserve"> Medium</w:t>
            </w:r>
          </w:p>
        </w:tc>
      </w:tr>
      <w:tr w:rsidR="005F0D74" w:rsidRPr="005F0D74" w14:paraId="73F55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2A96" w14:textId="77777777" w:rsidR="005F0D74" w:rsidRPr="005F0D74" w:rsidRDefault="005F0D74" w:rsidP="005F0D74">
            <w:r w:rsidRPr="005F0D74">
              <w:rPr>
                <w:b/>
                <w:bCs/>
              </w:rPr>
              <w:t>Al-Khobar lacks its own growth rate</w:t>
            </w:r>
            <w:r w:rsidRPr="005F0D74">
              <w:t xml:space="preserve"> — research says "similar to Dammam" without separate measurement</w:t>
            </w:r>
          </w:p>
        </w:tc>
        <w:tc>
          <w:tcPr>
            <w:tcW w:w="0" w:type="auto"/>
            <w:vAlign w:val="center"/>
            <w:hideMark/>
          </w:tcPr>
          <w:p w14:paraId="5310956E" w14:textId="77777777" w:rsidR="005F0D74" w:rsidRPr="005F0D74" w:rsidRDefault="005F0D74" w:rsidP="005F0D74">
            <w:r w:rsidRPr="005F0D74">
              <w:t>Eastern Province thesis partially rests on an assumption, not a measured figure</w:t>
            </w:r>
          </w:p>
        </w:tc>
        <w:tc>
          <w:tcPr>
            <w:tcW w:w="0" w:type="auto"/>
            <w:vAlign w:val="center"/>
            <w:hideMark/>
          </w:tcPr>
          <w:p w14:paraId="3E418E1A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🟡</w:t>
            </w:r>
            <w:r w:rsidRPr="005F0D74">
              <w:t xml:space="preserve"> Medium</w:t>
            </w:r>
          </w:p>
        </w:tc>
      </w:tr>
      <w:tr w:rsidR="005F0D74" w:rsidRPr="005F0D74" w14:paraId="53C6C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D0D4" w14:textId="77777777" w:rsidR="005F0D74" w:rsidRPr="005F0D74" w:rsidRDefault="005F0D74" w:rsidP="005F0D74">
            <w:r w:rsidRPr="005F0D74">
              <w:rPr>
                <w:b/>
                <w:bCs/>
              </w:rPr>
              <w:t>382,500-unit pipeline covers Western KSA (incl. NEOM), not Jeddah alone</w:t>
            </w:r>
            <w:r w:rsidRPr="005F0D74">
              <w:t xml:space="preserve"> — conflating regional and city-level supply overstates Jeddah-specific risk</w:t>
            </w:r>
          </w:p>
        </w:tc>
        <w:tc>
          <w:tcPr>
            <w:tcW w:w="0" w:type="auto"/>
            <w:vAlign w:val="center"/>
            <w:hideMark/>
          </w:tcPr>
          <w:p w14:paraId="3AF124AA" w14:textId="77777777" w:rsidR="005F0D74" w:rsidRPr="005F0D74" w:rsidRDefault="005F0D74" w:rsidP="005F0D74">
            <w:r w:rsidRPr="005F0D74">
              <w:t>Jeddah's near-term pipeline (~12,700 units H2 2025) is much smaller than the regional figure implies</w:t>
            </w:r>
          </w:p>
        </w:tc>
        <w:tc>
          <w:tcPr>
            <w:tcW w:w="0" w:type="auto"/>
            <w:vAlign w:val="center"/>
            <w:hideMark/>
          </w:tcPr>
          <w:p w14:paraId="50186AD1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🟡</w:t>
            </w:r>
            <w:r w:rsidRPr="005F0D74">
              <w:t xml:space="preserve"> Medium</w:t>
            </w:r>
          </w:p>
        </w:tc>
      </w:tr>
      <w:tr w:rsidR="005F0D74" w:rsidRPr="005F0D74" w14:paraId="5C337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A24E" w14:textId="77777777" w:rsidR="005F0D74" w:rsidRPr="005F0D74" w:rsidRDefault="005F0D74" w:rsidP="005F0D74">
            <w:r w:rsidRPr="005F0D74">
              <w:rPr>
                <w:b/>
                <w:bCs/>
              </w:rPr>
              <w:t>Riyadh villa growth conflict between sources</w:t>
            </w:r>
            <w:r w:rsidRPr="005F0D74">
              <w:t xml:space="preserve"> — Cavendish Maxwell: +14.4% H1 2025 vs. CBRE: +11.6% Q3 2025 (~3 pp gap); by Q2 2026, CBRE national villas −9.7% vs. Cavendish Maxwell Riyadh villas ~+7%</w:t>
            </w:r>
          </w:p>
        </w:tc>
        <w:tc>
          <w:tcPr>
            <w:tcW w:w="0" w:type="auto"/>
            <w:vAlign w:val="center"/>
            <w:hideMark/>
          </w:tcPr>
          <w:p w14:paraId="1483424F" w14:textId="77777777" w:rsidR="005F0D74" w:rsidRPr="005F0D74" w:rsidRDefault="005F0D74" w:rsidP="005F0D74">
            <w:r w:rsidRPr="005F0D74">
              <w:t>Comparing these figures like-for-like is misleading: different time periods, different geographies (Riyadh vs. national), and potentially different metrics (rental rates vs. capital values)</w:t>
            </w:r>
          </w:p>
        </w:tc>
        <w:tc>
          <w:tcPr>
            <w:tcW w:w="0" w:type="auto"/>
            <w:vAlign w:val="center"/>
            <w:hideMark/>
          </w:tcPr>
          <w:p w14:paraId="0A939E7A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🟡</w:t>
            </w:r>
            <w:r w:rsidRPr="005F0D74">
              <w:t xml:space="preserve"> Medium</w:t>
            </w:r>
          </w:p>
        </w:tc>
      </w:tr>
      <w:tr w:rsidR="005F0D74" w:rsidRPr="005F0D74" w14:paraId="04CA1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BCD4" w14:textId="77777777" w:rsidR="005F0D74" w:rsidRPr="005F0D74" w:rsidRDefault="005F0D74" w:rsidP="005F0D74">
            <w:r w:rsidRPr="005F0D74">
              <w:rPr>
                <w:b/>
                <w:bCs/>
              </w:rPr>
              <w:t>No residential vacancy data exists for Saudi cities</w:t>
            </w:r>
            <w:r w:rsidRPr="005F0D74">
              <w:t xml:space="preserve"> — market tightness is inferred </w:t>
            </w:r>
            <w:r w:rsidRPr="005F0D74">
              <w:lastRenderedPageBreak/>
              <w:t>from proxy indicators (office vacancy, Ejar contract volumes, price trends)</w:t>
            </w:r>
          </w:p>
        </w:tc>
        <w:tc>
          <w:tcPr>
            <w:tcW w:w="0" w:type="auto"/>
            <w:vAlign w:val="center"/>
            <w:hideMark/>
          </w:tcPr>
          <w:p w14:paraId="5D0AEFA6" w14:textId="77777777" w:rsidR="005F0D74" w:rsidRPr="005F0D74" w:rsidRDefault="005F0D74" w:rsidP="005F0D74">
            <w:r w:rsidRPr="005F0D74">
              <w:lastRenderedPageBreak/>
              <w:t>Demand-supply balance assessments are directional, not precise</w:t>
            </w:r>
          </w:p>
        </w:tc>
        <w:tc>
          <w:tcPr>
            <w:tcW w:w="0" w:type="auto"/>
            <w:vAlign w:val="center"/>
            <w:hideMark/>
          </w:tcPr>
          <w:p w14:paraId="07989CF5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🟡</w:t>
            </w:r>
            <w:r w:rsidRPr="005F0D74">
              <w:t xml:space="preserve"> Medium</w:t>
            </w:r>
          </w:p>
        </w:tc>
      </w:tr>
      <w:tr w:rsidR="005F0D74" w:rsidRPr="005F0D74" w14:paraId="6DACF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F6DA" w14:textId="77777777" w:rsidR="005F0D74" w:rsidRPr="005F0D74" w:rsidRDefault="005F0D74" w:rsidP="005F0D74">
            <w:r w:rsidRPr="005F0D74">
              <w:rPr>
                <w:b/>
                <w:bCs/>
              </w:rPr>
              <w:t>Rent freeze extension risk</w:t>
            </w:r>
            <w:r w:rsidRPr="005F0D74">
              <w:t xml:space="preserve"> — the freeze may extend to other cities pending Council approval; no timeline or probability given</w:t>
            </w:r>
          </w:p>
        </w:tc>
        <w:tc>
          <w:tcPr>
            <w:tcW w:w="0" w:type="auto"/>
            <w:vAlign w:val="center"/>
            <w:hideMark/>
          </w:tcPr>
          <w:p w14:paraId="73D2001B" w14:textId="77777777" w:rsidR="005F0D74" w:rsidRPr="005F0D74" w:rsidRDefault="005F0D74" w:rsidP="005F0D74">
            <w:r w:rsidRPr="005F0D74">
              <w:t>Could invalidate the Dammam/Al-Khobar regulatory advantage overnight</w:t>
            </w:r>
          </w:p>
        </w:tc>
        <w:tc>
          <w:tcPr>
            <w:tcW w:w="0" w:type="auto"/>
            <w:vAlign w:val="center"/>
            <w:hideMark/>
          </w:tcPr>
          <w:p w14:paraId="5A5AEFC3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🟡</w:t>
            </w:r>
            <w:r w:rsidRPr="005F0D74">
              <w:t xml:space="preserve"> Medium</w:t>
            </w:r>
          </w:p>
        </w:tc>
      </w:tr>
      <w:tr w:rsidR="005F0D74" w:rsidRPr="005F0D74" w14:paraId="18B84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0131" w14:textId="77777777" w:rsidR="005F0D74" w:rsidRPr="005F0D74" w:rsidRDefault="005F0D74" w:rsidP="005F0D74">
            <w:r w:rsidRPr="005F0D74">
              <w:rPr>
                <w:b/>
                <w:bCs/>
              </w:rPr>
              <w:t>BTR market size is single-source</w:t>
            </w:r>
            <w:r w:rsidRPr="005F0D74">
              <w:t xml:space="preserve"> — Mordor Intelligence's $0.33B estimate has no disclosed methodology and no competing estimate for validation</w:t>
            </w:r>
          </w:p>
        </w:tc>
        <w:tc>
          <w:tcPr>
            <w:tcW w:w="0" w:type="auto"/>
            <w:vAlign w:val="center"/>
            <w:hideMark/>
          </w:tcPr>
          <w:p w14:paraId="46FA8726" w14:textId="77777777" w:rsidR="005F0D74" w:rsidRPr="005F0D74" w:rsidRDefault="005F0D74" w:rsidP="005F0D74">
            <w:r w:rsidRPr="005F0D74">
              <w:t>The "nascent BTR" narrative rests on one commercial research firm's figure</w:t>
            </w:r>
          </w:p>
        </w:tc>
        <w:tc>
          <w:tcPr>
            <w:tcW w:w="0" w:type="auto"/>
            <w:vAlign w:val="center"/>
            <w:hideMark/>
          </w:tcPr>
          <w:p w14:paraId="141F8830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🟠</w:t>
            </w:r>
            <w:r w:rsidRPr="005F0D74">
              <w:t xml:space="preserve"> Low-Medium</w:t>
            </w:r>
          </w:p>
        </w:tc>
      </w:tr>
      <w:tr w:rsidR="005F0D74" w:rsidRPr="005F0D74" w14:paraId="654C0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D086" w14:textId="77777777" w:rsidR="005F0D74" w:rsidRPr="005F0D74" w:rsidRDefault="005F0D74" w:rsidP="005F0D74">
            <w:r w:rsidRPr="005F0D74">
              <w:rPr>
                <w:b/>
                <w:bCs/>
              </w:rPr>
              <w:t>Dataset listing quality issues</w:t>
            </w:r>
            <w:r w:rsidRPr="005F0D74">
              <w:t xml:space="preserve"> — AC penetration at 51–64% is implausible for Saudi Arabia's climate; likely reflects incomplete listing data, not actual market conditions</w:t>
            </w:r>
          </w:p>
        </w:tc>
        <w:tc>
          <w:tcPr>
            <w:tcW w:w="0" w:type="auto"/>
            <w:vAlign w:val="center"/>
            <w:hideMark/>
          </w:tcPr>
          <w:p w14:paraId="51F29DB0" w14:textId="77777777" w:rsidR="005F0D74" w:rsidRPr="005F0D74" w:rsidRDefault="005F0D74" w:rsidP="005F0D74">
            <w:r w:rsidRPr="005F0D74">
              <w:t>Amenity-based analysis (AC, furnished %) may undercount true prevalence</w:t>
            </w:r>
          </w:p>
        </w:tc>
        <w:tc>
          <w:tcPr>
            <w:tcW w:w="0" w:type="auto"/>
            <w:vAlign w:val="center"/>
            <w:hideMark/>
          </w:tcPr>
          <w:p w14:paraId="63985043" w14:textId="77777777" w:rsidR="005F0D74" w:rsidRPr="005F0D74" w:rsidRDefault="005F0D74" w:rsidP="005F0D74">
            <w:r w:rsidRPr="005F0D74">
              <w:rPr>
                <w:rFonts w:ascii="Segoe UI Emoji" w:hAnsi="Segoe UI Emoji" w:cs="Segoe UI Emoji"/>
              </w:rPr>
              <w:t>🟠</w:t>
            </w:r>
            <w:r w:rsidRPr="005F0D74">
              <w:t xml:space="preserve"> Low-Medium</w:t>
            </w:r>
          </w:p>
        </w:tc>
      </w:tr>
    </w:tbl>
    <w:p w14:paraId="30A95A71" w14:textId="77777777" w:rsidR="005F0D74" w:rsidRPr="005F0D74" w:rsidRDefault="005F0D74" w:rsidP="005F0D74">
      <w:r w:rsidRPr="005F0D74">
        <w:pict w14:anchorId="401AE2B7">
          <v:rect id="_x0000_i1079" style="width:0;height:1.5pt" o:hralign="center" o:hrstd="t" o:hr="t" fillcolor="#a0a0a0" stroked="f"/>
        </w:pict>
      </w:r>
    </w:p>
    <w:p w14:paraId="6BFF65FC" w14:textId="77777777" w:rsidR="005F0D74" w:rsidRPr="005F0D74" w:rsidRDefault="005F0D74" w:rsidP="005F0D74">
      <w:pPr>
        <w:rPr>
          <w:b/>
          <w:bCs/>
        </w:rPr>
      </w:pPr>
      <w:r w:rsidRPr="005F0D74">
        <w:rPr>
          <w:b/>
          <w:bCs/>
        </w:rPr>
        <w:t>Confidence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3100"/>
        <w:gridCol w:w="1345"/>
        <w:gridCol w:w="4710"/>
      </w:tblGrid>
      <w:tr w:rsidR="005F0D74" w:rsidRPr="005F0D74" w14:paraId="7DF18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85295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84F678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6BF0395A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9D510C7" w14:textId="77777777" w:rsidR="005F0D74" w:rsidRPr="005F0D74" w:rsidRDefault="005F0D74" w:rsidP="005F0D74">
            <w:pPr>
              <w:rPr>
                <w:b/>
                <w:bCs/>
              </w:rPr>
            </w:pPr>
            <w:r w:rsidRPr="005F0D74">
              <w:rPr>
                <w:b/>
                <w:bCs/>
              </w:rPr>
              <w:t>One-Line Reason</w:t>
            </w:r>
          </w:p>
        </w:tc>
      </w:tr>
      <w:tr w:rsidR="005F0D74" w:rsidRPr="005F0D74" w14:paraId="4F2D6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94BC" w14:textId="77777777" w:rsidR="005F0D74" w:rsidRPr="005F0D74" w:rsidRDefault="005F0D74" w:rsidP="005F0D74">
            <w:r w:rsidRPr="005F0D74">
              <w:t>1</w:t>
            </w:r>
          </w:p>
        </w:tc>
        <w:tc>
          <w:tcPr>
            <w:tcW w:w="0" w:type="auto"/>
            <w:vAlign w:val="center"/>
            <w:hideMark/>
          </w:tcPr>
          <w:p w14:paraId="6B6BB54E" w14:textId="77777777" w:rsidR="005F0D74" w:rsidRPr="005F0D74" w:rsidRDefault="005F0D74" w:rsidP="005F0D74">
            <w:r w:rsidRPr="005F0D74">
              <w:t>Riyadh rent freeze limits near-term income upside</w:t>
            </w:r>
          </w:p>
        </w:tc>
        <w:tc>
          <w:tcPr>
            <w:tcW w:w="0" w:type="auto"/>
            <w:vAlign w:val="center"/>
            <w:hideMark/>
          </w:tcPr>
          <w:p w14:paraId="1E175657" w14:textId="77777777" w:rsidR="005F0D74" w:rsidRPr="005F0D74" w:rsidRDefault="005F0D74" w:rsidP="005F0D74">
            <w:r w:rsidRPr="005F0D74">
              <w:rPr>
                <w:b/>
                <w:bCs/>
              </w:rPr>
              <w:t>HIGH</w:t>
            </w:r>
            <w:r w:rsidRPr="005F0D74">
              <w:t xml:space="preserve"> </w:t>
            </w:r>
            <w:r w:rsidRPr="005F0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581BC1" w14:textId="77777777" w:rsidR="005F0D74" w:rsidRPr="005F0D74" w:rsidRDefault="005F0D74" w:rsidP="005F0D74">
            <w:r w:rsidRPr="005F0D74">
              <w:t>Legally enacted regulation confirmed by primary regulator (REGA) and multiple independent legal/media sources</w:t>
            </w:r>
          </w:p>
        </w:tc>
      </w:tr>
      <w:tr w:rsidR="005F0D74" w:rsidRPr="005F0D74" w14:paraId="76E80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89B2" w14:textId="77777777" w:rsidR="005F0D74" w:rsidRPr="005F0D74" w:rsidRDefault="005F0D74" w:rsidP="005F0D74">
            <w:r w:rsidRPr="005F0D74">
              <w:t>2</w:t>
            </w:r>
          </w:p>
        </w:tc>
        <w:tc>
          <w:tcPr>
            <w:tcW w:w="0" w:type="auto"/>
            <w:vAlign w:val="center"/>
            <w:hideMark/>
          </w:tcPr>
          <w:p w14:paraId="205531CE" w14:textId="77777777" w:rsidR="005F0D74" w:rsidRPr="005F0D74" w:rsidRDefault="005F0D74" w:rsidP="005F0D74">
            <w:r w:rsidRPr="005F0D74">
              <w:t>Dammam/Al-Khobar offer steady growth and lower competition</w:t>
            </w:r>
          </w:p>
        </w:tc>
        <w:tc>
          <w:tcPr>
            <w:tcW w:w="0" w:type="auto"/>
            <w:vAlign w:val="center"/>
            <w:hideMark/>
          </w:tcPr>
          <w:p w14:paraId="7F6471E4" w14:textId="77777777" w:rsidR="005F0D74" w:rsidRPr="005F0D74" w:rsidRDefault="005F0D74" w:rsidP="005F0D74">
            <w:r w:rsidRPr="005F0D74">
              <w:rPr>
                <w:b/>
                <w:bCs/>
              </w:rPr>
              <w:t>MEDIUM</w:t>
            </w:r>
            <w:r w:rsidRPr="005F0D74">
              <w:t xml:space="preserve"> </w:t>
            </w:r>
            <w:r w:rsidRPr="005F0D7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B7231A9" w14:textId="77777777" w:rsidR="005F0D74" w:rsidRPr="005F0D74" w:rsidRDefault="005F0D74" w:rsidP="005F0D74">
            <w:r w:rsidRPr="005F0D74">
              <w:t>Growth data is single-source; "low competition" is qualitative only; Al-Khobar lacks its own growth figure</w:t>
            </w:r>
          </w:p>
        </w:tc>
      </w:tr>
      <w:tr w:rsidR="005F0D74" w:rsidRPr="005F0D74" w14:paraId="0D2A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0A31" w14:textId="77777777" w:rsidR="005F0D74" w:rsidRPr="005F0D74" w:rsidRDefault="005F0D74" w:rsidP="005F0D74">
            <w:r w:rsidRPr="005F0D74">
              <w:t>3</w:t>
            </w:r>
          </w:p>
        </w:tc>
        <w:tc>
          <w:tcPr>
            <w:tcW w:w="0" w:type="auto"/>
            <w:vAlign w:val="center"/>
            <w:hideMark/>
          </w:tcPr>
          <w:p w14:paraId="5DFCC673" w14:textId="77777777" w:rsidR="005F0D74" w:rsidRPr="005F0D74" w:rsidRDefault="005F0D74" w:rsidP="005F0D74">
            <w:r w:rsidRPr="005F0D74">
              <w:t>Jeddah commands high rents but faces regional supply risk</w:t>
            </w:r>
          </w:p>
        </w:tc>
        <w:tc>
          <w:tcPr>
            <w:tcW w:w="0" w:type="auto"/>
            <w:vAlign w:val="center"/>
            <w:hideMark/>
          </w:tcPr>
          <w:p w14:paraId="45562303" w14:textId="77777777" w:rsidR="005F0D74" w:rsidRPr="005F0D74" w:rsidRDefault="005F0D74" w:rsidP="005F0D74">
            <w:r w:rsidRPr="005F0D74">
              <w:rPr>
                <w:b/>
                <w:bCs/>
              </w:rPr>
              <w:t>MEDIUM</w:t>
            </w:r>
            <w:r w:rsidRPr="005F0D74">
              <w:t xml:space="preserve"> </w:t>
            </w:r>
            <w:r w:rsidRPr="005F0D7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489FFE3" w14:textId="77777777" w:rsidR="005F0D74" w:rsidRPr="005F0D74" w:rsidRDefault="005F0D74" w:rsidP="005F0D74">
            <w:r w:rsidRPr="005F0D74">
              <w:t>Rent premium is well-established but supply risk requires careful scoping (Western KSA ≠ Jeddah)</w:t>
            </w:r>
          </w:p>
        </w:tc>
      </w:tr>
      <w:tr w:rsidR="005F0D74" w:rsidRPr="005F0D74" w14:paraId="0CC44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02A6" w14:textId="77777777" w:rsidR="005F0D74" w:rsidRPr="005F0D74" w:rsidRDefault="005F0D74" w:rsidP="005F0D74">
            <w:r w:rsidRPr="005F0D74">
              <w:t>4</w:t>
            </w:r>
          </w:p>
        </w:tc>
        <w:tc>
          <w:tcPr>
            <w:tcW w:w="0" w:type="auto"/>
            <w:vAlign w:val="center"/>
            <w:hideMark/>
          </w:tcPr>
          <w:p w14:paraId="4302544D" w14:textId="77777777" w:rsidR="005F0D74" w:rsidRPr="005F0D74" w:rsidRDefault="005F0D74" w:rsidP="005F0D74">
            <w:r w:rsidRPr="005F0D74">
              <w:t>Institutional competition is concentrated in Riyadh</w:t>
            </w:r>
          </w:p>
        </w:tc>
        <w:tc>
          <w:tcPr>
            <w:tcW w:w="0" w:type="auto"/>
            <w:vAlign w:val="center"/>
            <w:hideMark/>
          </w:tcPr>
          <w:p w14:paraId="4B68D814" w14:textId="77777777" w:rsidR="005F0D74" w:rsidRPr="005F0D74" w:rsidRDefault="005F0D74" w:rsidP="005F0D74">
            <w:r w:rsidRPr="005F0D74">
              <w:rPr>
                <w:b/>
                <w:bCs/>
              </w:rPr>
              <w:t>MEDIUM</w:t>
            </w:r>
            <w:r w:rsidRPr="005F0D74">
              <w:t xml:space="preserve"> </w:t>
            </w:r>
            <w:r w:rsidRPr="005F0D7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0364365" w14:textId="77777777" w:rsidR="005F0D74" w:rsidRPr="005F0D74" w:rsidRDefault="005F0D74" w:rsidP="005F0D74">
            <w:r w:rsidRPr="005F0D74">
              <w:t>Directionally supported by multiple credible qualitative sources but no quantitative market-share data exists</w:t>
            </w:r>
          </w:p>
        </w:tc>
      </w:tr>
    </w:tbl>
    <w:p w14:paraId="602A7814" w14:textId="77777777" w:rsidR="005F0D74" w:rsidRPr="005F0D74" w:rsidRDefault="005F0D74" w:rsidP="005F0D74">
      <w:r w:rsidRPr="005F0D74">
        <w:lastRenderedPageBreak/>
        <w:pict w14:anchorId="62784B1D">
          <v:rect id="_x0000_i1080" style="width:0;height:1.5pt" o:hralign="center" o:hrstd="t" o:hr="t" fillcolor="#a0a0a0" stroked="f"/>
        </w:pict>
      </w:r>
    </w:p>
    <w:p w14:paraId="584D9405" w14:textId="77777777" w:rsidR="005F0D74" w:rsidRPr="005F0D74" w:rsidRDefault="005F0D74" w:rsidP="005F0D74">
      <w:r w:rsidRPr="005F0D74">
        <w:t>Would you like me to proceed with the next deliverable?</w:t>
      </w:r>
    </w:p>
    <w:p w14:paraId="33346E37" w14:textId="77777777" w:rsidR="005F0D74" w:rsidRPr="005F0D74" w:rsidRDefault="005F0D74" w:rsidP="005F0D74">
      <w:r w:rsidRPr="005F0D74">
        <w:t>Sources:</w:t>
      </w:r>
    </w:p>
    <w:p w14:paraId="7D750B1E" w14:textId="77777777" w:rsidR="005F0D74" w:rsidRPr="005F0D74" w:rsidRDefault="005F0D74" w:rsidP="005F0D74">
      <w:r w:rsidRPr="005F0D74">
        <w:t xml:space="preserve">[1] Saudi Arabia Residential Rental Market Analysis 2025-2026: City Comparison for Investment Priority.pdf </w:t>
      </w:r>
      <w:hyperlink r:id="rId5" w:history="1">
        <w:r w:rsidRPr="005F0D74">
          <w:rPr>
            <w:rStyle w:val="Hyperlink"/>
          </w:rPr>
          <w:t>https://us-west-2.quicksight.aws.amazon.com/sn/account/UdacityQuicksightLab/spaces/3664cf27-bb2f-433f-b632-ddc4a85d24ee?documentId=a5ac95dc-db82-4075-916d-92d093108d00</w:t>
        </w:r>
      </w:hyperlink>
      <w:r w:rsidRPr="005F0D74">
        <w:t xml:space="preserve"> File uploaded in Space</w:t>
      </w:r>
    </w:p>
    <w:p w14:paraId="14CA1EC3" w14:textId="77777777" w:rsidR="000E3C11" w:rsidRDefault="000E3C11"/>
    <w:sectPr w:rsidR="000E3C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669"/>
    <w:multiLevelType w:val="multilevel"/>
    <w:tmpl w:val="2E2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7924"/>
    <w:multiLevelType w:val="multilevel"/>
    <w:tmpl w:val="5CF4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564AB"/>
    <w:multiLevelType w:val="multilevel"/>
    <w:tmpl w:val="A48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A58F3"/>
    <w:multiLevelType w:val="multilevel"/>
    <w:tmpl w:val="561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316AC"/>
    <w:multiLevelType w:val="multilevel"/>
    <w:tmpl w:val="ED5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61CC5"/>
    <w:multiLevelType w:val="multilevel"/>
    <w:tmpl w:val="C12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C6159"/>
    <w:multiLevelType w:val="multilevel"/>
    <w:tmpl w:val="A41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336A9"/>
    <w:multiLevelType w:val="multilevel"/>
    <w:tmpl w:val="409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80301">
    <w:abstractNumId w:val="4"/>
  </w:num>
  <w:num w:numId="2" w16cid:durableId="588196113">
    <w:abstractNumId w:val="5"/>
  </w:num>
  <w:num w:numId="3" w16cid:durableId="817654701">
    <w:abstractNumId w:val="2"/>
  </w:num>
  <w:num w:numId="4" w16cid:durableId="1616790882">
    <w:abstractNumId w:val="1"/>
  </w:num>
  <w:num w:numId="5" w16cid:durableId="851073276">
    <w:abstractNumId w:val="7"/>
  </w:num>
  <w:num w:numId="6" w16cid:durableId="1998336410">
    <w:abstractNumId w:val="0"/>
  </w:num>
  <w:num w:numId="7" w16cid:durableId="1352102930">
    <w:abstractNumId w:val="6"/>
  </w:num>
  <w:num w:numId="8" w16cid:durableId="414015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11"/>
    <w:rsid w:val="000E3C11"/>
    <w:rsid w:val="00434931"/>
    <w:rsid w:val="005F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2196B4"/>
  <w15:chartTrackingRefBased/>
  <w15:docId w15:val="{6C879296-D5C9-4D32-A305-8EC7CB7E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D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D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-west-2.quicksight.aws.amazon.com/sn/account/UdacityQuicksightLab/spaces/3664cf27-bb2f-433f-b632-ddc4a85d24ee?documentId=a5ac95dc-db82-4075-916d-92d093108d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2902</Words>
  <Characters>16545</Characters>
  <Application>Microsoft Office Word</Application>
  <DocSecurity>0</DocSecurity>
  <Lines>137</Lines>
  <Paragraphs>38</Paragraphs>
  <ScaleCrop>false</ScaleCrop>
  <Company/>
  <LinksUpToDate>false</LinksUpToDate>
  <CharactersWithSpaces>19409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Almutairi</dc:creator>
  <cp:keywords/>
  <dc:description/>
  <cp:lastModifiedBy>Raghad Almutairi</cp:lastModifiedBy>
  <cp:revision>2</cp:revision>
  <dcterms:created xsi:type="dcterms:W3CDTF">2026-10-05T08:11:00Z</dcterms:created>
  <dcterms:modified xsi:type="dcterms:W3CDTF">2026-10-05T08:11:00Z</dcterms:modified>
</cp:coreProperties>
</file>