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4748B"/>
          <w:sz w:val="24"/>
          <w:szCs w:val="24"/>
        </w:rPr>
        <w:t xml:space="preserve">Freight Chartering Intelligence Platform</w:t>
      </w:r>
    </w:p>
    <w:p>
      <w:pPr>
        <w:spacing w:after="80"/>
      </w:pPr>
      <w:r>
        <w:rPr>
          <w:rFonts w:ascii="Calibri" w:cs="Calibri" w:eastAsia="Calibri" w:hAnsi="Calibri"/>
          <w:b/>
          <w:bCs/>
          <w:color w:val="1F3A5F"/>
          <w:sz w:val="48"/>
          <w:szCs w:val="48"/>
        </w:rPr>
        <w:t xml:space="preserve">Optional External Audit Anchoring</w:t>
      </w:r>
    </w:p>
    <w:p>
      <w:pPr>
        <w:pBdr>
          <w:bottom w:val="single" w:color="2E5C8A" w:sz="8" w:space="6"/>
        </w:pBdr>
        <w:spacing w:after="240"/>
      </w:pPr>
      <w:r>
        <w:rPr>
          <w:rFonts w:ascii="Calibri" w:cs="Calibri" w:eastAsia="Calibri" w:hAnsi="Calibri"/>
          <w:color w:val="475569"/>
          <w:sz w:val="22"/>
          <w:szCs w:val="22"/>
        </w:rPr>
        <w:t xml:space="preserve">Implementation guide - Polygon Amoy testnet  |  SIH26006, Ministry of Steel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6"/>
              <w:left w:val="single" w:color="D97706" w:sz="24"/>
              <w:bottom w:val="single" w:color="D97706" w:sz="6"/>
              <w:right w:val="single" w:color="D97706" w:sz="6"/>
            </w:tcBorders>
            <w:shd w:fill="FEF3C7" w:color="auto" w:val="clear"/>
            <w:tcMar>
              <w:top w:type="dxa" w:w="120"/>
              <w:left w:type="dxa" w:w="180"/>
              <w:bottom w:type="dxa" w:w="120"/>
              <w:right w:type="dxa" w:w="180"/>
            </w:tcMar>
          </w:tcPr>
          <w:p>
            <w:pPr>
              <w:spacing w:after="80"/>
            </w:pPr>
            <w:r>
              <w:rPr>
                <w:rFonts w:ascii="Calibri" w:cs="Calibri" w:eastAsia="Calibri" w:hAnsi="Calibri"/>
                <w:b/>
                <w:bCs/>
                <w:sz w:val="22"/>
                <w:szCs w:val="22"/>
              </w:rPr>
              <w:t xml:space="preserve">SCOPE - READ THIS FIRST</w:t>
            </w:r>
          </w:p>
          <w:p>
            <w:pPr>
              <w:spacing w:after="60"/>
            </w:pPr>
            <w:r>
              <w:rPr>
                <w:rFonts w:ascii="Calibri" w:cs="Calibri" w:eastAsia="Calibri" w:hAnsi="Calibri"/>
                <w:sz w:val="22"/>
                <w:szCs w:val="22"/>
              </w:rPr>
              <w:t xml:space="preserve">Anchoring covers </w:t>
            </w:r>
            <w:r>
              <w:rPr>
                <w:rFonts w:ascii="Calibri" w:cs="Calibri" w:eastAsia="Calibri" w:hAnsi="Calibri"/>
                <w:b/>
                <w:bCs/>
                <w:sz w:val="22"/>
                <w:szCs w:val="22"/>
              </w:rPr>
              <w:t xml:space="preserve">only the hash-chained decision_events</w:t>
            </w:r>
            <w:r>
              <w:rPr>
                <w:rFonts w:ascii="Calibri" w:cs="Calibri" w:eastAsia="Calibri" w:hAnsi="Calibri"/>
                <w:sz w:val="22"/>
                <w:szCs w:val="22"/>
              </w:rPr>
              <w:t xml:space="preserve"> (the Pillar 3 decision timeline in backend/app/services/audit.py).</w:t>
            </w:r>
          </w:p>
          <w:p>
            <w:pPr>
              <w:spacing w:after="60"/>
            </w:pPr>
            <w:r>
              <w:rPr>
                <w:rFonts w:ascii="Calibri" w:cs="Calibri" w:eastAsia="Calibri" w:hAnsi="Calibri"/>
                <w:sz w:val="22"/>
                <w:szCs w:val="22"/>
              </w:rPr>
              <w:t xml:space="preserve">It does </w:t>
            </w:r>
            <w:r>
              <w:rPr>
                <w:rFonts w:ascii="Calibri" w:cs="Calibri" w:eastAsia="Calibri" w:hAnsi="Calibri"/>
                <w:b/>
                <w:bCs/>
                <w:sz w:val="22"/>
                <w:szCs w:val="22"/>
              </w:rPr>
              <w:t xml:space="preserve">not</w:t>
            </w:r>
            <w:r>
              <w:rPr>
                <w:rFonts w:ascii="Calibri" w:cs="Calibri" w:eastAsia="Calibri" w:hAnsi="Calibri"/>
                <w:sz w:val="22"/>
                <w:szCs w:val="22"/>
              </w:rPr>
              <w:t xml:space="preserve"> cover the legacy </w:t>
            </w:r>
            <w:r>
              <w:rPr>
                <w:rFonts w:ascii="Calibri" w:cs="Calibri" w:eastAsia="Calibri" w:hAnsi="Calibri"/>
                <w:b/>
                <w:bCs/>
                <w:sz w:val="22"/>
                <w:szCs w:val="22"/>
              </w:rPr>
              <w:t xml:space="preserve">AuditLogRecord</w:t>
            </w:r>
            <w:r>
              <w:rPr>
                <w:rFonts w:ascii="Calibri" w:cs="Calibri" w:eastAsia="Calibri" w:hAnsi="Calibri"/>
                <w:sz w:val="22"/>
                <w:szCs w:val="22"/>
              </w:rPr>
              <w:t xml:space="preserve"> table (the "Immutable Audit Trail" table on the CVC Governance tab, served by /audit/logs and written by /audit/review). That table is not hash-chained and is not anchored.</w:t>
            </w:r>
          </w:p>
          <w:p>
            <w:pPr>
              <w:spacing w:after="60"/>
            </w:pPr>
            <w:r>
              <w:rPr>
                <w:rFonts w:ascii="Calibri" w:cs="Calibri" w:eastAsia="Calibri" w:hAnsi="Calibri"/>
                <w:sz w:val="22"/>
                <w:szCs w:val="22"/>
              </w:rPr>
              <w:t xml:space="preserve">Say this out loud in the demo and keep it in the README, so nobody can accuse the project of overclaiming.</w:t>
            </w:r>
          </w:p>
        </w:tc>
      </w:tr>
    </w:tbl>
    <w:p>
      <w:pPr>
        <w:spacing w:after="120"/>
      </w:pPr>
    </w:p>
    <w:p>
      <w:pPr>
        <w:pStyle w:val="Heading1"/>
        <w:spacing w:after="160" w:before="360"/>
      </w:pPr>
      <w:r>
        <w:rPr>
          <w:rFonts w:ascii="Calibri" w:cs="Calibri" w:eastAsia="Calibri" w:hAnsi="Calibri"/>
          <w:b/>
          <w:bCs/>
          <w:color w:val="1F3A5F"/>
          <w:sz w:val="32"/>
          <w:szCs w:val="32"/>
        </w:rPr>
        <w:t xml:space="preserve">1. What this feature does</w:t>
      </w:r>
    </w:p>
    <w:p>
      <w:pPr>
        <w:spacing w:after="120" w:line="276"/>
      </w:pPr>
      <w:r>
        <w:rPr>
          <w:rFonts w:ascii="Calibri" w:cs="Calibri" w:eastAsia="Calibri" w:hAnsi="Calibri"/>
          <w:sz w:val="22"/>
          <w:szCs w:val="22"/>
        </w:rPr>
        <w:t xml:space="preserve">The existing local hash chain proves tampering internally. Anchoring makes it externally verifiable:</w:t>
      </w:r>
    </w:p>
    <w:p>
      <w:pPr>
        <w:pStyle w:val="ListParagraph"/>
        <w:numPr>
          <w:ilvl w:val="0"/>
          <w:numId w:val="2"/>
        </w:numPr>
        <w:spacing w:after="80"/>
      </w:pPr>
      <w:r>
        <w:rPr>
          <w:rFonts w:ascii="Calibri" w:cs="Calibri" w:eastAsia="Calibri" w:hAnsi="Calibri"/>
          <w:sz w:val="22"/>
          <w:szCs w:val="22"/>
        </w:rPr>
        <w:t xml:space="preserve">Collect every decision_events row created since the last anchor (across all decisions).</w:t>
      </w:r>
    </w:p>
    <w:p>
      <w:pPr>
        <w:pStyle w:val="ListParagraph"/>
        <w:numPr>
          <w:ilvl w:val="0"/>
          <w:numId w:val="2"/>
        </w:numPr>
        <w:spacing w:after="80"/>
      </w:pPr>
      <w:r>
        <w:rPr>
          <w:rFonts w:ascii="Calibri" w:cs="Calibri" w:eastAsia="Calibri" w:hAnsi="Calibri"/>
          <w:sz w:val="22"/>
          <w:szCs w:val="22"/>
        </w:rPr>
        <w:t xml:space="preserve">Build a SHA-256 Merkle tree over their existing current_hash values. The result is one 32-byte Merkle root.</w:t>
      </w:r>
    </w:p>
    <w:p>
      <w:pPr>
        <w:pStyle w:val="ListParagraph"/>
        <w:numPr>
          <w:ilvl w:val="0"/>
          <w:numId w:val="2"/>
        </w:numPr>
        <w:spacing w:after="80"/>
      </w:pPr>
      <w:r>
        <w:rPr>
          <w:rFonts w:ascii="Calibri" w:cs="Calibri" w:eastAsia="Calibri" w:hAnsi="Calibri"/>
          <w:sz w:val="22"/>
          <w:szCs w:val="22"/>
        </w:rPr>
        <w:t xml:space="preserve">Send one 0-value transaction on the Polygon Amoy testnet with that root as the transaction data. No smart contract is needed.</w:t>
      </w:r>
    </w:p>
    <w:p>
      <w:pPr>
        <w:pStyle w:val="ListParagraph"/>
        <w:numPr>
          <w:ilvl w:val="0"/>
          <w:numId w:val="2"/>
        </w:numPr>
        <w:spacing w:after="80"/>
      </w:pPr>
      <w:r>
        <w:rPr>
          <w:rFonts w:ascii="Calibri" w:cs="Calibri" w:eastAsia="Calibri" w:hAnsi="Calibri"/>
          <w:sz w:val="22"/>
          <w:szCs w:val="22"/>
        </w:rPr>
        <w:t xml:space="preserve">Save the transaction hash, block number, timestamp and covered event range in a new local table, audit_anchors.</w:t>
      </w:r>
    </w:p>
    <w:p>
      <w:pPr>
        <w:pStyle w:val="ListParagraph"/>
        <w:numPr>
          <w:ilvl w:val="0"/>
          <w:numId w:val="2"/>
        </w:numPr>
        <w:spacing w:after="80"/>
      </w:pPr>
      <w:r>
        <w:rPr>
          <w:rFonts w:ascii="Calibri" w:cs="Calibri" w:eastAsia="Calibri" w:hAnsi="Calibri"/>
          <w:sz w:val="22"/>
          <w:szCs w:val="22"/>
        </w:rPr>
        <w:t xml:space="preserve">Show "Last anchored externally: [time] - View on-chain" plus an Anchor now button in the CVC Governance tab.</w:t>
      </w:r>
    </w:p>
    <w:p>
      <w:pPr>
        <w:spacing w:after="120" w:line="276"/>
      </w:pPr>
      <w:r>
        <w:rPr>
          <w:rFonts w:ascii="Calibri" w:cs="Calibri" w:eastAsia="Calibri" w:hAnsi="Calibri"/>
          <w:sz w:val="22"/>
          <w:szCs w:val="22"/>
        </w:rPr>
        <w:t xml:space="preserve">Anyone can later recompute the root from the local events and compare it with the root shown in the Input Data field of the transaction on Amoy PolygonScan. If a covered event was altered or deleted, the two roots no longer match.</w:t>
      </w:r>
    </w:p>
    <w:p>
      <w:pPr>
        <w:pStyle w:val="Heading2"/>
        <w:spacing w:after="100" w:before="240"/>
      </w:pPr>
      <w:r>
        <w:rPr>
          <w:rFonts w:ascii="Calibri" w:cs="Calibri" w:eastAsia="Calibri" w:hAnsi="Calibri"/>
          <w:b/>
          <w:bCs/>
          <w:color w:val="2E5C8A"/>
          <w:sz w:val="26"/>
          <w:szCs w:val="26"/>
        </w:rPr>
        <w:t xml:space="preserve">Why it is optional</w:t>
      </w:r>
    </w:p>
    <w:p>
      <w:pPr>
        <w:spacing w:after="120" w:line="276"/>
      </w:pPr>
      <w:r>
        <w:rPr>
          <w:rFonts w:ascii="Calibri" w:cs="Calibri" w:eastAsia="Calibri" w:hAnsi="Calibri"/>
          <w:sz w:val="22"/>
          <w:szCs w:val="22"/>
        </w:rPr>
        <w:t xml:space="preserve">The platform is designed to run fully offline. Anchoring is the only feature that needs internet, and nothing else depends on it. Forecasting, recommendations and audit logging never import or wait for it. Without a key, without the web3 library, or without internet, the rest of the system behaves exactly as before and the UI shows a clear "Not anchored / offline" state.</w:t>
      </w:r>
    </w:p>
    <w:p>
      <w:pPr>
        <w:pStyle w:val="Heading1"/>
        <w:spacing w:after="160" w:before="360"/>
      </w:pPr>
      <w:r>
        <w:rPr>
          <w:rFonts w:ascii="Calibri" w:cs="Calibri" w:eastAsia="Calibri" w:hAnsi="Calibri"/>
          <w:b/>
          <w:bCs/>
          <w:color w:val="1F3A5F"/>
          <w:sz w:val="32"/>
          <w:szCs w:val="32"/>
        </w:rPr>
        <w:t xml:space="preserve">2. What changes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File</w:t>
            </w:r>
          </w:p>
        </w:tc>
        <w:tc>
          <w:tcPr>
            <w:tcW w:type="dxa" w:w="5126"/>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Change</w:t>
            </w:r>
          </w:p>
        </w:tc>
      </w:tr>
      <w:t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backend/app/services/anchoring.py</w:t>
            </w:r>
          </w:p>
        </w:tc>
        <w:tc>
          <w:tcPr>
            <w:tcW w:type="dxa" w:w="5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NEW. Merkle root, Amoy transaction, local storage, status, verify, optional scheduler.</w:t>
            </w:r>
          </w:p>
        </w:tc>
      </w:tr>
      <w:t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backend/app/api/anchoring.py</w:t>
            </w:r>
          </w:p>
        </w:tc>
        <w:tc>
          <w:tcPr>
            <w:tcW w:type="dxa" w:w="5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NEW. Endpoints (below).</w:t>
            </w:r>
          </w:p>
        </w:tc>
      </w:tr>
      <w:t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frontend/src/components/AnchorStatus.tsx</w:t>
            </w:r>
          </w:p>
        </w:tc>
        <w:tc>
          <w:tcPr>
            <w:tcW w:type="dxa" w:w="5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NEW. The UI box with badge, link, button and offline state.</w:t>
            </w:r>
          </w:p>
        </w:tc>
      </w:tr>
      <w:t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tests/test_anchoring.py</w:t>
            </w:r>
          </w:p>
        </w:tc>
        <w:tc>
          <w:tcPr>
            <w:tcW w:type="dxa" w:w="5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NEW. 9 tests, no network needed.</w:t>
            </w:r>
          </w:p>
        </w:tc>
      </w:tr>
      <w:t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docs/AUDIT_ANCHORING.md</w:t>
            </w:r>
          </w:p>
        </w:tc>
        <w:tc>
          <w:tcPr>
            <w:tcW w:type="dxa" w:w="5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NEW. Feature documentation and the demo script.</w:t>
            </w:r>
          </w:p>
        </w:tc>
      </w:tr>
      <w:t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backend/app/main.py</w:t>
            </w:r>
          </w:p>
        </w:tc>
        <w:tc>
          <w:tcPr>
            <w:tcW w:type="dxa" w:w="5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EDIT. 2 lines: import and include the new router.</w:t>
            </w:r>
          </w:p>
        </w:tc>
      </w:tr>
      <w:t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frontend/src/main.tsx</w:t>
            </w:r>
          </w:p>
        </w:tc>
        <w:tc>
          <w:tcPr>
            <w:tcW w:type="dxa" w:w="5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EDIT. 2 lines: import and render &lt;AnchorStatus /&gt; in the governance tab.</w:t>
            </w:r>
          </w:p>
        </w:tc>
      </w:tr>
      <w:t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backend/requirements.txt, .env.example, backend/.env.example, README.md</w:t>
            </w:r>
          </w:p>
        </w:tc>
        <w:tc>
          <w:tcPr>
            <w:tcW w:type="dxa" w:w="5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EDIT. Additive only (web3 dependency, placeholder settings, README section).</w:t>
            </w:r>
          </w:p>
        </w:tc>
      </w:tr>
      <w:t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audit.py, database/decisions.py, api/audit.py, all ML/forecast code</w:t>
            </w:r>
          </w:p>
        </w:tc>
        <w:tc>
          <w:tcPr>
            <w:tcW w:type="dxa" w:w="5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UNTOUCHED.</w:t>
            </w:r>
          </w:p>
        </w:tc>
      </w:tr>
    </w:tbl>
    <w:p>
      <w:pPr>
        <w:spacing w:after="120"/>
      </w:pPr>
    </w:p>
    <w:p>
      <w:pPr>
        <w:pStyle w:val="Heading1"/>
        <w:spacing w:after="160" w:before="360"/>
      </w:pPr>
      <w:r>
        <w:rPr>
          <w:rFonts w:ascii="Calibri" w:cs="Calibri" w:eastAsia="Calibri" w:hAnsi="Calibri"/>
          <w:b/>
          <w:bCs/>
          <w:color w:val="1F3A5F"/>
          <w:sz w:val="32"/>
          <w:szCs w:val="32"/>
        </w:rPr>
        <w:t xml:space="preserve">3. Step-by-step implementation</w:t>
      </w:r>
    </w:p>
    <w:p>
      <w:pPr>
        <w:spacing w:after="120" w:line="276"/>
      </w:pPr>
      <w:r>
        <w:rPr>
          <w:rFonts w:ascii="Calibri" w:cs="Calibri" w:eastAsia="Calibri" w:hAnsi="Calibri"/>
          <w:sz w:val="22"/>
          <w:szCs w:val="22"/>
        </w:rPr>
        <w:t xml:space="preserve">You need Python, Node.js and Git already installed, and the repo cloned. All commands run from the repository root unless stated.</w:t>
      </w:r>
    </w:p>
    <w:p>
      <w:pPr>
        <w:pStyle w:val="Heading2"/>
        <w:spacing w:after="100" w:before="240"/>
      </w:pPr>
      <w:r>
        <w:rPr>
          <w:rFonts w:ascii="Calibri" w:cs="Calibri" w:eastAsia="Calibri" w:hAnsi="Calibri"/>
          <w:b/>
          <w:bCs/>
          <w:color w:val="2E5C8A"/>
          <w:sz w:val="26"/>
          <w:szCs w:val="26"/>
        </w:rPr>
        <w:t xml:space="preserve">Step 1: Add the feature to your repo (pick ONE option)</w:t>
      </w:r>
    </w:p>
    <w:p>
      <w:pPr>
        <w:spacing w:after="120" w:line="276"/>
      </w:pPr>
      <w:r>
        <w:rPr>
          <w:rFonts w:ascii="Calibri" w:cs="Calibri" w:eastAsia="Calibri" w:hAnsi="Calibri"/>
          <w:b/>
          <w:bCs/>
          <w:sz w:val="22"/>
          <w:szCs w:val="22"/>
        </w:rPr>
        <w:t xml:space="preserve">Option A - one-command installer (recommended, easiest). </w:t>
      </w:r>
      <w:r>
        <w:rPr>
          <w:rFonts w:ascii="Calibri" w:cs="Calibri" w:eastAsia="Calibri" w:hAnsi="Calibri"/>
          <w:sz w:val="22"/>
          <w:szCs w:val="22"/>
        </w:rPr>
        <w:t xml:space="preserve">Put install_anchoring.py in the repo root, then run:</w:t>
      </w:r>
    </w:p>
    <w:p>
      <w:pPr>
        <w:pBdr>
          <w:top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git checkout -b feature/audit-anchoring</w:t>
      </w:r>
    </w:p>
    <w:p>
      <w:pPr>
        <w:pBdr>
          <w:bottom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python install_anchoring.py</w:t>
      </w:r>
    </w:p>
    <w:p>
      <w:pPr>
        <w:spacing w:after="120"/>
      </w:pPr>
    </w:p>
    <w:p>
      <w:pPr>
        <w:spacing w:after="120" w:line="276"/>
      </w:pPr>
      <w:r>
        <w:rPr>
          <w:rFonts w:ascii="Calibri" w:cs="Calibri" w:eastAsia="Calibri" w:hAnsi="Calibri"/>
          <w:sz w:val="22"/>
          <w:szCs w:val="22"/>
        </w:rPr>
        <w:t xml:space="preserve">On Windows use: py install_anchoring.py (or python). The installer creates the 5 new files, adds the 2 lines to main.py and the 2 lines to main.tsx, and appends the web3 dependency, the .env placeholders and the README section. It is safe to run twice (it skips what already exists, use --force to overwrite the 5 new files) and it handles Windows line endings. If it cannot find an edit spot it prints a [MANUAL] message with the exact lines to paste.</w:t>
      </w:r>
    </w:p>
    <w:p>
      <w:pPr>
        <w:spacing w:after="120" w:line="276"/>
      </w:pPr>
      <w:r>
        <w:rPr>
          <w:rFonts w:ascii="Calibri" w:cs="Calibri" w:eastAsia="Calibri" w:hAnsi="Calibri"/>
          <w:b/>
          <w:bCs/>
          <w:sz w:val="22"/>
          <w:szCs w:val="22"/>
        </w:rPr>
        <w:t xml:space="preserve">Option B - git patch. </w:t>
      </w:r>
      <w:r>
        <w:rPr>
          <w:rFonts w:ascii="Calibri" w:cs="Calibri" w:eastAsia="Calibri" w:hAnsi="Calibri"/>
          <w:sz w:val="22"/>
          <w:szCs w:val="22"/>
        </w:rPr>
        <w:t xml:space="preserve">Put anchoring.patch in the repo root:</w:t>
      </w:r>
    </w:p>
    <w:p>
      <w:pPr>
        <w:pBdr>
          <w:top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git checkout -b feature/audit-anchoring</w:t>
      </w:r>
    </w:p>
    <w:p>
      <w:pPr>
        <w:pBdr>
          <w:left w:val="single" w:color="2E5C8A" w:sz="12" w:space="6"/>
        </w:pBdr>
        <w:shd w:fill="F1F5F9" w:color="auto" w:val="clear"/>
        <w:spacing w:after="0" w:line="252"/>
        <w:ind w:left="120" w:right="120"/>
      </w:pPr>
      <w:r>
        <w:rPr>
          <w:rFonts w:ascii="Consolas" w:cs="Consolas" w:eastAsia="Consolas" w:hAnsi="Consolas"/>
          <w:sz w:val="19"/>
          <w:szCs w:val="19"/>
        </w:rPr>
        <w:t xml:space="preserve">git apply anchoring.patch</w:t>
      </w:r>
    </w:p>
    <w:p>
      <w:pPr>
        <w:pBdr>
          <w:left w:val="single" w:color="2E5C8A" w:sz="12" w:space="6"/>
        </w:pBdr>
        <w:shd w:fill="F1F5F9" w:color="auto" w:val="clear"/>
        <w:spacing w:after="0" w:line="252"/>
        <w:ind w:left="120" w:right="120"/>
      </w:pPr>
      <w:r>
        <w:rPr>
          <w:rFonts w:ascii="Consolas" w:cs="Consolas" w:eastAsia="Consolas" w:hAnsi="Consolas"/>
          <w:sz w:val="19"/>
          <w:szCs w:val="19"/>
        </w:rPr>
        <w:t xml:space="preserve"> </w:t>
      </w:r>
    </w:p>
    <w:p>
      <w:pPr>
        <w:pBdr>
          <w:left w:val="single" w:color="2E5C8A" w:sz="12" w:space="6"/>
        </w:pBdr>
        <w:shd w:fill="F1F5F9" w:color="auto" w:val="clear"/>
        <w:spacing w:after="0" w:line="252"/>
        <w:ind w:left="120" w:right="120"/>
      </w:pPr>
      <w:r>
        <w:rPr>
          <w:rFonts w:ascii="Consolas" w:cs="Consolas" w:eastAsia="Consolas" w:hAnsi="Consolas"/>
          <w:sz w:val="19"/>
          <w:szCs w:val="19"/>
        </w:rPr>
        <w:t xml:space="preserve"># if Windows line endings cause an error:</w:t>
      </w:r>
    </w:p>
    <w:p>
      <w:pPr>
        <w:pBdr>
          <w:bottom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git apply --ignore-whitespace anchoring.patch</w:t>
      </w:r>
    </w:p>
    <w:p>
      <w:pPr>
        <w:spacing w:after="120"/>
      </w:pPr>
    </w:p>
    <w:p>
      <w:pPr>
        <w:spacing w:after="120" w:line="276"/>
      </w:pPr>
      <w:r>
        <w:rPr>
          <w:rFonts w:ascii="Calibri" w:cs="Calibri" w:eastAsia="Calibri" w:hAnsi="Calibri"/>
          <w:b/>
          <w:bCs/>
          <w:sz w:val="22"/>
          <w:szCs w:val="22"/>
        </w:rPr>
        <w:t xml:space="preserve">Option C - copy the files. </w:t>
      </w:r>
      <w:r>
        <w:rPr>
          <w:rFonts w:ascii="Calibri" w:cs="Calibri" w:eastAsia="Calibri" w:hAnsi="Calibri"/>
          <w:sz w:val="22"/>
          <w:szCs w:val="22"/>
        </w:rPr>
        <w:t xml:space="preserve">Unzip anchoring-complete-files.zip into the repo root and choose "Replace" when asked. It contains all 11 finished files at their exact repo paths. Warning: this overwrites main.py, main.tsx, requirements.txt, both .env.example files and README.md, so use it only if you have not changed those files yourself. Otherwise use Option A.</w:t>
      </w:r>
    </w:p>
    <w:p>
      <w:pPr>
        <w:spacing w:after="120" w:line="276"/>
      </w:pPr>
      <w:r>
        <w:rPr>
          <w:rFonts w:ascii="Calibri" w:cs="Calibri" w:eastAsia="Calibri" w:hAnsi="Calibri"/>
          <w:sz w:val="22"/>
          <w:szCs w:val="22"/>
        </w:rPr>
        <w:t xml:space="preserve">After any option, check with git status. You should see 5 new files and 6 modified files, and nothing else.</w:t>
      </w:r>
    </w:p>
    <w:p>
      <w:pPr>
        <w:pStyle w:val="Heading2"/>
        <w:spacing w:after="100" w:before="240"/>
      </w:pPr>
      <w:r>
        <w:rPr>
          <w:rFonts w:ascii="Calibri" w:cs="Calibri" w:eastAsia="Calibri" w:hAnsi="Calibri"/>
          <w:b/>
          <w:bCs/>
          <w:color w:val="2E5C8A"/>
          <w:sz w:val="26"/>
          <w:szCs w:val="26"/>
        </w:rPr>
        <w:t xml:space="preserve">Step 2: Install the new dependency</w:t>
      </w:r>
    </w:p>
    <w:p>
      <w:pPr>
        <w:pBdr>
          <w:top w:val="single" w:color="F1F5F9" w:sz="2" w:space="4"/>
          <w:bottom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pip install -r backend/requirements.txt</w:t>
      </w:r>
    </w:p>
    <w:p>
      <w:pPr>
        <w:spacing w:after="120"/>
      </w:pPr>
    </w:p>
    <w:p>
      <w:pPr>
        <w:spacing w:after="120" w:line="276"/>
      </w:pPr>
      <w:r>
        <w:rPr>
          <w:rFonts w:ascii="Calibri" w:cs="Calibri" w:eastAsia="Calibri" w:hAnsi="Calibri"/>
          <w:sz w:val="22"/>
          <w:szCs w:val="22"/>
        </w:rPr>
        <w:t xml:space="preserve">This adds web3 (version 7 or 8). If you never run anchoring, the backend still starts without it.</w:t>
      </w:r>
    </w:p>
    <w:p>
      <w:pPr>
        <w:pStyle w:val="Heading2"/>
        <w:spacing w:after="100" w:before="240"/>
      </w:pPr>
      <w:r>
        <w:rPr>
          <w:rFonts w:ascii="Calibri" w:cs="Calibri" w:eastAsia="Calibri" w:hAnsi="Calibri"/>
          <w:b/>
          <w:bCs/>
          <w:color w:val="2E5C8A"/>
          <w:sz w:val="26"/>
          <w:szCs w:val="26"/>
        </w:rPr>
        <w:t xml:space="preserve">Step 3: Run the tests (no internet needed)</w:t>
      </w:r>
    </w:p>
    <w:p>
      <w:pPr>
        <w:pBdr>
          <w:top w:val="single" w:color="F1F5F9" w:sz="2" w:space="4"/>
          <w:bottom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pytest tests/test_anchoring.py tests/test_audit.py -q</w:t>
      </w:r>
    </w:p>
    <w:p>
      <w:pPr>
        <w:spacing w:after="120"/>
      </w:pPr>
    </w:p>
    <w:p>
      <w:pPr>
        <w:spacing w:after="120" w:line="276"/>
      </w:pPr>
      <w:r>
        <w:rPr>
          <w:rFonts w:ascii="Calibri" w:cs="Calibri" w:eastAsia="Calibri" w:hAnsi="Calibri"/>
          <w:sz w:val="22"/>
          <w:szCs w:val="22"/>
        </w:rPr>
        <w:t xml:space="preserve">Expected: all tests pass. They cover Merkle determinism, batch selection, offline handling, error handling, tamper detection and the API.</w:t>
      </w:r>
    </w:p>
    <w:p>
      <w:pPr>
        <w:pStyle w:val="Heading2"/>
        <w:spacing w:after="100" w:before="240"/>
      </w:pPr>
      <w:r>
        <w:rPr>
          <w:rFonts w:ascii="Calibri" w:cs="Calibri" w:eastAsia="Calibri" w:hAnsi="Calibri"/>
          <w:b/>
          <w:bCs/>
          <w:color w:val="2E5C8A"/>
          <w:sz w:val="26"/>
          <w:szCs w:val="26"/>
        </w:rPr>
        <w:t xml:space="preserve">Step 4: Create a throwaway test wallet</w:t>
      </w:r>
    </w:p>
    <w:p>
      <w:pPr>
        <w:pBdr>
          <w:top w:val="single" w:color="F1F5F9" w:sz="2" w:space="4"/>
          <w:bottom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python -c "from eth_account import Account; a=Account.create(); print(a.address); print(a.key.hex())"</w:t>
      </w:r>
    </w:p>
    <w:p>
      <w:pPr>
        <w:spacing w:after="120"/>
      </w:pPr>
    </w:p>
    <w:p>
      <w:pPr>
        <w:spacing w:after="120" w:line="276"/>
      </w:pPr>
      <w:r>
        <w:rPr>
          <w:rFonts w:ascii="Calibri" w:cs="Calibri" w:eastAsia="Calibri" w:hAnsi="Calibri"/>
          <w:sz w:val="22"/>
          <w:szCs w:val="22"/>
        </w:rPr>
        <w:t xml:space="preserve">Save the address and the private key. Use this wallet only for the testnet and never put real funds in it.</w:t>
      </w:r>
    </w:p>
    <w:p>
      <w:pPr>
        <w:pStyle w:val="Heading2"/>
        <w:spacing w:after="100" w:before="240"/>
      </w:pPr>
      <w:r>
        <w:rPr>
          <w:rFonts w:ascii="Calibri" w:cs="Calibri" w:eastAsia="Calibri" w:hAnsi="Calibri"/>
          <w:b/>
          <w:bCs/>
          <w:color w:val="2E5C8A"/>
          <w:sz w:val="26"/>
          <w:szCs w:val="26"/>
        </w:rPr>
        <w:t xml:space="preserve">Step 5: Get free test POL from the Amoy faucet</w:t>
      </w:r>
    </w:p>
    <w:p>
      <w:pPr>
        <w:pStyle w:val="ListParagraph"/>
        <w:numPr>
          <w:ilvl w:val="0"/>
          <w:numId w:val="2"/>
        </w:numPr>
        <w:spacing w:after="80"/>
      </w:pPr>
      <w:r>
        <w:rPr>
          <w:rFonts w:ascii="Calibri" w:cs="Calibri" w:eastAsia="Calibri" w:hAnsi="Calibri"/>
          <w:sz w:val="22"/>
          <w:szCs w:val="22"/>
        </w:rPr>
        <w:t xml:space="preserve">Open </w:t>
      </w:r>
      <w:r>
        <w:rPr>
          <w:rFonts w:ascii="Calibri" w:cs="Calibri" w:eastAsia="Calibri" w:hAnsi="Calibri"/>
          <w:b/>
          <w:bCs/>
          <w:sz w:val="22"/>
          <w:szCs w:val="22"/>
        </w:rPr>
        <w:t xml:space="preserve">https://faucet.polygon.technology/</w:t>
      </w:r>
      <w:r>
        <w:rPr>
          <w:rFonts w:ascii="Calibri" w:cs="Calibri" w:eastAsia="Calibri" w:hAnsi="Calibri"/>
          <w:sz w:val="22"/>
          <w:szCs w:val="22"/>
        </w:rPr>
        <w:t xml:space="preserve">, choose Polygon Amoy, and paste your wallet address.</w:t>
      </w:r>
    </w:p>
    <w:p>
      <w:pPr>
        <w:pStyle w:val="ListParagraph"/>
        <w:numPr>
          <w:ilvl w:val="0"/>
          <w:numId w:val="2"/>
        </w:numPr>
        <w:spacing w:after="80"/>
      </w:pPr>
      <w:r>
        <w:rPr>
          <w:rFonts w:ascii="Calibri" w:cs="Calibri" w:eastAsia="Calibri" w:hAnsi="Calibri"/>
          <w:sz w:val="22"/>
          <w:szCs w:val="22"/>
        </w:rPr>
        <w:t xml:space="preserve">The faucet is rate limited (roughly one request per 24 hours), so do this at least a day before the demo.</w:t>
      </w:r>
    </w:p>
    <w:p>
      <w:pPr>
        <w:pStyle w:val="ListParagraph"/>
        <w:numPr>
          <w:ilvl w:val="0"/>
          <w:numId w:val="2"/>
        </w:numPr>
        <w:spacing w:after="80"/>
      </w:pPr>
      <w:r>
        <w:rPr>
          <w:rFonts w:ascii="Calibri" w:cs="Calibri" w:eastAsia="Calibri" w:hAnsi="Calibri"/>
          <w:sz w:val="22"/>
          <w:szCs w:val="22"/>
        </w:rPr>
        <w:t xml:space="preserve">Backups: the Alchemy or Chainlink Amoy faucets.</w:t>
      </w:r>
    </w:p>
    <w:p>
      <w:pPr>
        <w:pStyle w:val="ListParagraph"/>
        <w:numPr>
          <w:ilvl w:val="0"/>
          <w:numId w:val="2"/>
        </w:numPr>
        <w:spacing w:after="80"/>
      </w:pPr>
      <w:r>
        <w:rPr>
          <w:rFonts w:ascii="Calibri" w:cs="Calibri" w:eastAsia="Calibri" w:hAnsi="Calibri"/>
          <w:sz w:val="22"/>
          <w:szCs w:val="22"/>
        </w:rPr>
        <w:t xml:space="preserve">One anchor costs only a tiny fraction of a POL.</w:t>
      </w:r>
    </w:p>
    <w:p>
      <w:pPr>
        <w:pStyle w:val="Heading2"/>
        <w:spacing w:after="100" w:before="240"/>
      </w:pPr>
      <w:r>
        <w:rPr>
          <w:rFonts w:ascii="Calibri" w:cs="Calibri" w:eastAsia="Calibri" w:hAnsi="Calibri"/>
          <w:b/>
          <w:bCs/>
          <w:color w:val="2E5C8A"/>
          <w:sz w:val="26"/>
          <w:szCs w:val="26"/>
        </w:rPr>
        <w:t xml:space="preserve">Step 6: Add the settings to .env</w:t>
      </w:r>
    </w:p>
    <w:p>
      <w:pPr>
        <w:spacing w:after="120" w:line="276"/>
      </w:pPr>
      <w:r>
        <w:rPr>
          <w:rFonts w:ascii="Calibri" w:cs="Calibri" w:eastAsia="Calibri" w:hAnsi="Calibri"/>
          <w:sz w:val="22"/>
          <w:szCs w:val="22"/>
        </w:rPr>
        <w:t xml:space="preserve">Copy .env.example to .env if you do not have one yet. .env is git-ignored. Then add:</w:t>
      </w:r>
    </w:p>
    <w:p>
      <w:pPr>
        <w:pBdr>
          <w:top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AMOY_PRIVATE_KEY=0xYOUR_TEST_WALLET_KEY</w:t>
      </w:r>
    </w:p>
    <w:p>
      <w:pPr>
        <w:pBdr>
          <w:left w:val="single" w:color="2E5C8A" w:sz="12" w:space="6"/>
        </w:pBdr>
        <w:shd w:fill="F1F5F9" w:color="auto" w:val="clear"/>
        <w:spacing w:after="0" w:line="252"/>
        <w:ind w:left="120" w:right="120"/>
      </w:pPr>
      <w:r>
        <w:rPr>
          <w:rFonts w:ascii="Consolas" w:cs="Consolas" w:eastAsia="Consolas" w:hAnsi="Consolas"/>
          <w:sz w:val="19"/>
          <w:szCs w:val="19"/>
        </w:rPr>
        <w:t xml:space="preserve">AMOY_RPC_URL=https://rpc-amoy.polygon.technology</w:t>
      </w:r>
    </w:p>
    <w:p>
      <w:pPr>
        <w:pBdr>
          <w:bottom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ANCHOR_INTERVAL_MINUTES=0</w:t>
      </w:r>
    </w:p>
    <w:p>
      <w:pPr>
        <w:spacing w:after="120"/>
      </w:pPr>
    </w:p>
    <w:p>
      <w:pPr>
        <w:pStyle w:val="ListParagraph"/>
        <w:numPr>
          <w:ilvl w:val="0"/>
          <w:numId w:val="2"/>
        </w:numPr>
        <w:spacing w:after="80"/>
      </w:pPr>
      <w:r>
        <w:rPr>
          <w:rFonts w:ascii="Calibri" w:cs="Calibri" w:eastAsia="Calibri" w:hAnsi="Calibri"/>
          <w:sz w:val="22"/>
          <w:szCs w:val="22"/>
        </w:rPr>
        <w:t xml:space="preserve">ANCHOR_INTERVAL_MINUTES=0 means manual button only. Set 30 to also anchor automatically every 30 minutes.</w:t>
      </w:r>
    </w:p>
    <w:p>
      <w:pPr>
        <w:pStyle w:val="ListParagraph"/>
        <w:numPr>
          <w:ilvl w:val="0"/>
          <w:numId w:val="2"/>
        </w:numPr>
        <w:spacing w:after="80"/>
      </w:pPr>
      <w:r>
        <w:rPr>
          <w:rFonts w:ascii="Calibri" w:cs="Calibri" w:eastAsia="Calibri" w:hAnsi="Calibri"/>
          <w:sz w:val="22"/>
          <w:szCs w:val="22"/>
        </w:rPr>
        <w:t xml:space="preserve">The public RPC can be rate limited. If it misbehaves, put another Amoy RPC URL in AMOY_RPC_URL.</w:t>
      </w:r>
    </w:p>
    <w:p>
      <w:pPr>
        <w:pStyle w:val="ListParagraph"/>
        <w:numPr>
          <w:ilvl w:val="0"/>
          <w:numId w:val="2"/>
        </w:numPr>
        <w:spacing w:after="80"/>
      </w:pPr>
      <w:r>
        <w:rPr>
          <w:rFonts w:ascii="Calibri" w:cs="Calibri" w:eastAsia="Calibri" w:hAnsi="Calibri"/>
          <w:sz w:val="22"/>
          <w:szCs w:val="22"/>
        </w:rPr>
        <w:t xml:space="preserve">The key is read only from the environment. The API never returns it and it is never written to the database or logs.</w:t>
      </w:r>
    </w:p>
    <w:p>
      <w:pPr>
        <w:pStyle w:val="Heading2"/>
        <w:spacing w:after="100" w:before="240"/>
      </w:pPr>
      <w:r>
        <w:rPr>
          <w:rFonts w:ascii="Calibri" w:cs="Calibri" w:eastAsia="Calibri" w:hAnsi="Calibri"/>
          <w:b/>
          <w:bCs/>
          <w:color w:val="2E5C8A"/>
          <w:sz w:val="26"/>
          <w:szCs w:val="26"/>
        </w:rPr>
        <w:t xml:space="preserve">Step 7: Start the backend and frontend</w:t>
      </w:r>
    </w:p>
    <w:p>
      <w:pPr>
        <w:pBdr>
          <w:top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uvicorn backend.app.main:app --host 127.0.0.1 --port 8000</w:t>
      </w:r>
    </w:p>
    <w:p>
      <w:pPr>
        <w:pBdr>
          <w:left w:val="single" w:color="2E5C8A" w:sz="12" w:space="6"/>
        </w:pBdr>
        <w:shd w:fill="F1F5F9" w:color="auto" w:val="clear"/>
        <w:spacing w:after="0" w:line="252"/>
        <w:ind w:left="120" w:right="120"/>
      </w:pPr>
      <w:r>
        <w:rPr>
          <w:rFonts w:ascii="Consolas" w:cs="Consolas" w:eastAsia="Consolas" w:hAnsi="Consolas"/>
          <w:sz w:val="19"/>
          <w:szCs w:val="19"/>
        </w:rPr>
        <w:t xml:space="preserve"> </w:t>
      </w:r>
    </w:p>
    <w:p>
      <w:pPr>
        <w:pBdr>
          <w:left w:val="single" w:color="2E5C8A" w:sz="12" w:space="6"/>
        </w:pBdr>
        <w:shd w:fill="F1F5F9" w:color="auto" w:val="clear"/>
        <w:spacing w:after="0" w:line="252"/>
        <w:ind w:left="120" w:right="120"/>
      </w:pPr>
      <w:r>
        <w:rPr>
          <w:rFonts w:ascii="Consolas" w:cs="Consolas" w:eastAsia="Consolas" w:hAnsi="Consolas"/>
          <w:sz w:val="19"/>
          <w:szCs w:val="19"/>
        </w:rPr>
        <w:t xml:space="preserve"># in a second terminal</w:t>
      </w:r>
    </w:p>
    <w:p>
      <w:pPr>
        <w:pBdr>
          <w:left w:val="single" w:color="2E5C8A" w:sz="12" w:space="6"/>
        </w:pBdr>
        <w:shd w:fill="F1F5F9" w:color="auto" w:val="clear"/>
        <w:spacing w:after="0" w:line="252"/>
        <w:ind w:left="120" w:right="120"/>
      </w:pPr>
      <w:r>
        <w:rPr>
          <w:rFonts w:ascii="Consolas" w:cs="Consolas" w:eastAsia="Consolas" w:hAnsi="Consolas"/>
          <w:sz w:val="19"/>
          <w:szCs w:val="19"/>
        </w:rPr>
        <w:t xml:space="preserve">cd frontend</w:t>
      </w:r>
    </w:p>
    <w:p>
      <w:pPr>
        <w:pBdr>
          <w:left w:val="single" w:color="2E5C8A" w:sz="12" w:space="6"/>
        </w:pBdr>
        <w:shd w:fill="F1F5F9" w:color="auto" w:val="clear"/>
        <w:spacing w:after="0" w:line="252"/>
        <w:ind w:left="120" w:right="120"/>
      </w:pPr>
      <w:r>
        <w:rPr>
          <w:rFonts w:ascii="Consolas" w:cs="Consolas" w:eastAsia="Consolas" w:hAnsi="Consolas"/>
          <w:sz w:val="19"/>
          <w:szCs w:val="19"/>
        </w:rPr>
        <w:t xml:space="preserve">npm install</w:t>
      </w:r>
    </w:p>
    <w:p>
      <w:pPr>
        <w:pBdr>
          <w:bottom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npm run dev</w:t>
      </w:r>
    </w:p>
    <w:p>
      <w:pPr>
        <w:spacing w:after="120"/>
      </w:pPr>
    </w:p>
    <w:p>
      <w:pPr>
        <w:spacing w:after="120" w:line="276"/>
      </w:pPr>
      <w:r>
        <w:rPr>
          <w:rFonts w:ascii="Calibri" w:cs="Calibri" w:eastAsia="Calibri" w:hAnsi="Calibri"/>
          <w:sz w:val="22"/>
          <w:szCs w:val="22"/>
        </w:rPr>
        <w:t xml:space="preserve">Open http://localhost:5173.</w:t>
      </w:r>
    </w:p>
    <w:p>
      <w:pPr>
        <w:pStyle w:val="Heading2"/>
        <w:spacing w:after="100" w:before="240"/>
      </w:pPr>
      <w:r>
        <w:rPr>
          <w:rFonts w:ascii="Calibri" w:cs="Calibri" w:eastAsia="Calibri" w:hAnsi="Calibri"/>
          <w:b/>
          <w:bCs/>
          <w:color w:val="2E5C8A"/>
          <w:sz w:val="26"/>
          <w:szCs w:val="26"/>
        </w:rPr>
        <w:t xml:space="preserve">Step 8: Try it in the UI</w:t>
      </w:r>
    </w:p>
    <w:p>
      <w:pPr>
        <w:pStyle w:val="ListParagraph"/>
        <w:numPr>
          <w:ilvl w:val="0"/>
          <w:numId w:val="2"/>
        </w:numPr>
        <w:spacing w:after="80"/>
      </w:pPr>
      <w:r>
        <w:rPr>
          <w:rFonts w:ascii="Calibri" w:cs="Calibri" w:eastAsia="Calibri" w:hAnsi="Calibri"/>
          <w:sz w:val="22"/>
          <w:szCs w:val="22"/>
        </w:rPr>
        <w:t xml:space="preserve">Open the CVC Governance tab and scroll to the SHA-256 decision timeline.</w:t>
      </w:r>
    </w:p>
    <w:p>
      <w:pPr>
        <w:pStyle w:val="ListParagraph"/>
        <w:numPr>
          <w:ilvl w:val="0"/>
          <w:numId w:val="2"/>
        </w:numPr>
        <w:spacing w:after="80"/>
      </w:pPr>
      <w:r>
        <w:rPr>
          <w:rFonts w:ascii="Calibri" w:cs="Calibri" w:eastAsia="Calibri" w:hAnsi="Calibri"/>
          <w:sz w:val="22"/>
          <w:szCs w:val="22"/>
        </w:rPr>
        <w:t xml:space="preserve">Click + Create New Decision Case, then Mark Analysed, Submit For Review, and Approve (Authorized Director).</w:t>
      </w:r>
    </w:p>
    <w:p>
      <w:pPr>
        <w:pStyle w:val="ListParagraph"/>
        <w:numPr>
          <w:ilvl w:val="0"/>
          <w:numId w:val="2"/>
        </w:numPr>
        <w:spacing w:after="80"/>
      </w:pPr>
      <w:r>
        <w:rPr>
          <w:rFonts w:ascii="Calibri" w:cs="Calibri" w:eastAsia="Calibri" w:hAnsi="Calibri"/>
          <w:sz w:val="22"/>
          <w:szCs w:val="22"/>
        </w:rPr>
        <w:t xml:space="preserve">Scroll to the External Blockchain Anchor box at the bottom. Check the OPTIONAL - requires internet badge and the new-events counter.</w:t>
      </w:r>
    </w:p>
    <w:p>
      <w:pPr>
        <w:pStyle w:val="ListParagraph"/>
        <w:numPr>
          <w:ilvl w:val="0"/>
          <w:numId w:val="2"/>
        </w:numPr>
        <w:spacing w:after="80"/>
      </w:pPr>
      <w:r>
        <w:rPr>
          <w:rFonts w:ascii="Calibri" w:cs="Calibri" w:eastAsia="Calibri" w:hAnsi="Calibri"/>
          <w:sz w:val="22"/>
          <w:szCs w:val="22"/>
        </w:rPr>
        <w:t xml:space="preserve">Click Anchor now and wait 10 to 40 seconds. The box changes to "Last anchored externally: ... View on-chain".</w:t>
      </w:r>
    </w:p>
    <w:p>
      <w:pPr>
        <w:pStyle w:val="ListParagraph"/>
        <w:numPr>
          <w:ilvl w:val="0"/>
          <w:numId w:val="2"/>
        </w:numPr>
        <w:spacing w:after="80"/>
      </w:pPr>
      <w:r>
        <w:rPr>
          <w:rFonts w:ascii="Calibri" w:cs="Calibri" w:eastAsia="Calibri" w:hAnsi="Calibri"/>
          <w:sz w:val="22"/>
          <w:szCs w:val="22"/>
        </w:rPr>
        <w:t xml:space="preserve">Click View on-chain. On Amoy PolygonScan the Merkle root is in the Input Data field.</w:t>
      </w:r>
    </w:p>
    <w:p>
      <w:pPr>
        <w:pStyle w:val="Heading2"/>
        <w:spacing w:after="100" w:before="240"/>
      </w:pPr>
      <w:r>
        <w:rPr>
          <w:rFonts w:ascii="Calibri" w:cs="Calibri" w:eastAsia="Calibri" w:hAnsi="Calibri"/>
          <w:b/>
          <w:bCs/>
          <w:color w:val="2E5C8A"/>
          <w:sz w:val="26"/>
          <w:szCs w:val="26"/>
        </w:rPr>
        <w:t xml:space="preserve">Step 9: Test the offline behaviour</w:t>
      </w:r>
    </w:p>
    <w:p>
      <w:pPr>
        <w:pStyle w:val="ListParagraph"/>
        <w:numPr>
          <w:ilvl w:val="0"/>
          <w:numId w:val="2"/>
        </w:numPr>
        <w:spacing w:after="80"/>
      </w:pPr>
      <w:r>
        <w:rPr>
          <w:rFonts w:ascii="Calibri" w:cs="Calibri" w:eastAsia="Calibri" w:hAnsi="Calibri"/>
          <w:sz w:val="22"/>
          <w:szCs w:val="22"/>
        </w:rPr>
        <w:t xml:space="preserve">Turn off Wi-Fi and click Anchor now. You get a red "Not anchored - offline / RPC unreachable" message and the rest of the app keeps working.</w:t>
      </w:r>
    </w:p>
    <w:p>
      <w:pPr>
        <w:pStyle w:val="ListParagraph"/>
        <w:numPr>
          <w:ilvl w:val="0"/>
          <w:numId w:val="2"/>
        </w:numPr>
        <w:spacing w:after="80"/>
      </w:pPr>
      <w:r>
        <w:rPr>
          <w:rFonts w:ascii="Calibri" w:cs="Calibri" w:eastAsia="Calibri" w:hAnsi="Calibri"/>
          <w:sz w:val="22"/>
          <w:szCs w:val="22"/>
        </w:rPr>
        <w:t xml:space="preserve">Create and approve another decision while offline to prove the core system is independent.</w:t>
      </w:r>
    </w:p>
    <w:p>
      <w:pPr>
        <w:pStyle w:val="ListParagraph"/>
        <w:numPr>
          <w:ilvl w:val="0"/>
          <w:numId w:val="2"/>
        </w:numPr>
        <w:spacing w:after="80"/>
      </w:pPr>
      <w:r>
        <w:rPr>
          <w:rFonts w:ascii="Calibri" w:cs="Calibri" w:eastAsia="Calibri" w:hAnsi="Calibri"/>
          <w:sz w:val="22"/>
          <w:szCs w:val="22"/>
        </w:rPr>
        <w:t xml:space="preserve">Reconnect and click Anchor now again. The waiting events are anchored in one batch.</w:t>
      </w:r>
    </w:p>
    <w:p>
      <w:pPr>
        <w:pStyle w:val="Heading2"/>
        <w:spacing w:after="100" w:before="240"/>
      </w:pPr>
      <w:r>
        <w:rPr>
          <w:rFonts w:ascii="Calibri" w:cs="Calibri" w:eastAsia="Calibri" w:hAnsi="Calibri"/>
          <w:b/>
          <w:bCs/>
          <w:color w:val="2E5C8A"/>
          <w:sz w:val="26"/>
          <w:szCs w:val="26"/>
        </w:rPr>
        <w:t xml:space="preserve">Step 10: Verify an anchor from the API (optional)</w:t>
      </w:r>
    </w:p>
    <w:p>
      <w:pPr>
        <w:pBdr>
          <w:top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curl http://127.0.0.1:8000/audit/anchor-status</w:t>
      </w:r>
    </w:p>
    <w:p>
      <w:pPr>
        <w:pBdr>
          <w:left w:val="single" w:color="2E5C8A" w:sz="12" w:space="6"/>
        </w:pBdr>
        <w:shd w:fill="F1F5F9" w:color="auto" w:val="clear"/>
        <w:spacing w:after="0" w:line="252"/>
        <w:ind w:left="120" w:right="120"/>
      </w:pPr>
      <w:r>
        <w:rPr>
          <w:rFonts w:ascii="Consolas" w:cs="Consolas" w:eastAsia="Consolas" w:hAnsi="Consolas"/>
          <w:sz w:val="19"/>
          <w:szCs w:val="19"/>
        </w:rPr>
        <w:t xml:space="preserve">curl http://127.0.0.1:8000/audit/anchor/1/verify</w:t>
      </w:r>
    </w:p>
    <w:p>
      <w:pPr>
        <w:pBdr>
          <w:bottom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curl "http://127.0.0.1:8000/audit/anchor/1/verify?onchain=true"</w:t>
      </w:r>
    </w:p>
    <w:p>
      <w:pPr>
        <w:spacing w:after="120"/>
      </w:pPr>
    </w:p>
    <w:p>
      <w:pPr>
        <w:spacing w:after="120" w:line="276"/>
      </w:pPr>
      <w:r>
        <w:rPr>
          <w:rFonts w:ascii="Calibri" w:cs="Calibri" w:eastAsia="Calibri" w:hAnsi="Calibri"/>
          <w:sz w:val="22"/>
          <w:szCs w:val="22"/>
        </w:rPr>
        <w:t xml:space="preserve">The verify call recomputes the root from local events and reports local_match. Adding onchain=true also compares it with the transaction data on the testnet (needs internet). If someone edits a covered event in the database, local_match becomes false.</w:t>
      </w:r>
    </w:p>
    <w:p>
      <w:pPr>
        <w:pStyle w:val="Heading2"/>
        <w:spacing w:after="100" w:before="240"/>
      </w:pPr>
      <w:r>
        <w:rPr>
          <w:rFonts w:ascii="Calibri" w:cs="Calibri" w:eastAsia="Calibri" w:hAnsi="Calibri"/>
          <w:b/>
          <w:bCs/>
          <w:color w:val="2E5C8A"/>
          <w:sz w:val="26"/>
          <w:szCs w:val="26"/>
        </w:rPr>
        <w:t xml:space="preserve">Step 11: Commit</w:t>
      </w:r>
    </w:p>
    <w:p>
      <w:pPr>
        <w:pBdr>
          <w:top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git add -A</w:t>
      </w:r>
    </w:p>
    <w:p>
      <w:pPr>
        <w:pBdr>
          <w:bottom w:val="single" w:color="F1F5F9" w:sz="2" w:space="4"/>
          <w:left w:val="single" w:color="2E5C8A" w:sz="12" w:space="6"/>
        </w:pBdr>
        <w:shd w:fill="F1F5F9" w:color="auto" w:val="clear"/>
        <w:spacing w:after="0" w:line="252"/>
        <w:ind w:left="120" w:right="120"/>
      </w:pPr>
      <w:r>
        <w:rPr>
          <w:rFonts w:ascii="Consolas" w:cs="Consolas" w:eastAsia="Consolas" w:hAnsi="Consolas"/>
          <w:sz w:val="19"/>
          <w:szCs w:val="19"/>
        </w:rPr>
        <w:t xml:space="preserve">git commit -m "Add optional Polygon Amoy anchoring for decision_events hash chain"</w:t>
      </w:r>
    </w:p>
    <w:p>
      <w:pPr>
        <w:spacing w:after="120"/>
      </w:pPr>
    </w:p>
    <w:p>
      <w:pPr>
        <w:spacing w:after="120" w:line="276"/>
      </w:pPr>
      <w:r>
        <w:rPr>
          <w:rFonts w:ascii="Calibri" w:cs="Calibri" w:eastAsia="Calibri" w:hAnsi="Calibri"/>
          <w:sz w:val="22"/>
          <w:szCs w:val="22"/>
        </w:rPr>
        <w:t xml:space="preserve">Before committing, check that .env is not staged (it is git-ignored) and that no private key appears anywhere in the diff.</w:t>
      </w:r>
    </w:p>
    <w:p>
      <w:pPr>
        <w:pStyle w:val="Heading1"/>
        <w:spacing w:after="160" w:before="360"/>
      </w:pPr>
      <w:r>
        <w:rPr>
          <w:rFonts w:ascii="Calibri" w:cs="Calibri" w:eastAsia="Calibri" w:hAnsi="Calibri"/>
          <w:b/>
          <w:bCs/>
          <w:color w:val="1F3A5F"/>
          <w:sz w:val="32"/>
          <w:szCs w:val="32"/>
        </w:rPr>
        <w:t xml:space="preserve">4. API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926"/>
      </w:tblGrid>
      <w:tr>
        <w:trPr>
          <w:tblHeader/>
        </w:trPr>
        <w:tc>
          <w:tcPr>
            <w:tcW w:type="dxa" w:w="11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Method</w:t>
            </w:r>
          </w:p>
        </w:tc>
        <w:tc>
          <w:tcPr>
            <w:tcW w:type="dxa" w:w="30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Path (also under /api)</w:t>
            </w:r>
          </w:p>
        </w:tc>
        <w:tc>
          <w:tcPr>
            <w:tcW w:type="dxa" w:w="4926"/>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GET</w:t>
            </w:r>
          </w:p>
        </w:tc>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/audit/anchor-status</w:t>
            </w:r>
          </w:p>
        </w:tc>
        <w:tc>
          <w:tcPr>
            <w:tcW w:type="dxa" w:w="49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Latest anchor, explorer link, unanchored count, scope note. Reads only the local database, so it works offline.</w:t>
            </w:r>
          </w:p>
        </w:tc>
      </w:tr>
      <w:t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POST</w:t>
            </w:r>
          </w:p>
        </w:tc>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/audit/anchor</w:t>
            </w:r>
          </w:p>
        </w:tc>
        <w:tc>
          <w:tcPr>
            <w:tcW w:type="dxa" w:w="49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The Anchor now action. Always returns HTTP 200 with a status field, so the UI can show the reason.</w:t>
            </w:r>
          </w:p>
        </w:tc>
      </w:tr>
      <w:t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GET</w:t>
            </w:r>
          </w:p>
        </w:tc>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/audit/anchor/{id}/verify</w:t>
            </w:r>
          </w:p>
        </w:tc>
        <w:tc>
          <w:tcPr>
            <w:tcW w:type="dxa" w:w="49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Recompute the Merkle root locally and compare. Add ?onchain=true to also check the transaction.</w:t>
            </w:r>
          </w:p>
        </w:tc>
      </w:tr>
    </w:tbl>
    <w:p>
      <w:pPr>
        <w:spacing w:after="120"/>
      </w:pPr>
    </w:p>
    <w:p>
      <w:pPr>
        <w:spacing w:after="120" w:line="276"/>
      </w:pPr>
      <w:r>
        <w:rPr>
          <w:rFonts w:ascii="Calibri" w:cs="Calibri" w:eastAsia="Calibri" w:hAnsi="Calibri"/>
          <w:b/>
          <w:bCs/>
          <w:sz w:val="22"/>
          <w:szCs w:val="22"/>
        </w:rPr>
        <w:t xml:space="preserve">Status values: </w:t>
      </w:r>
      <w:r>
        <w:rPr>
          <w:rFonts w:ascii="Calibri" w:cs="Calibri" w:eastAsia="Calibri" w:hAnsi="Calibri"/>
          <w:sz w:val="22"/>
          <w:szCs w:val="22"/>
        </w:rPr>
        <w:t xml:space="preserve">ANCHORED, PENDING (sent, not yet confirmed), OFFLINE, FAILED, NOT_CONFIGURED, NOTHING_TO_ANCHOR, BUSY.</w:t>
      </w:r>
    </w:p>
    <w:p>
      <w:pPr>
        <w:pStyle w:val="Heading1"/>
        <w:spacing w:after="160" w:before="360"/>
      </w:pPr>
      <w:r>
        <w:rPr>
          <w:rFonts w:ascii="Calibri" w:cs="Calibri" w:eastAsia="Calibri" w:hAnsi="Calibri"/>
          <w:b/>
          <w:bCs/>
          <w:color w:val="1F3A5F"/>
          <w:sz w:val="32"/>
          <w:szCs w:val="32"/>
        </w:rPr>
        <w:t xml:space="preserve">5.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Symptom</w:t>
            </w:r>
          </w:p>
        </w:tc>
        <w:tc>
          <w:tcPr>
            <w:tcW w:type="dxa" w:w="6026"/>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Fix</w:t>
            </w:r>
          </w:p>
        </w:tc>
      </w:tr>
      <w:t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NOT_CONFIGURED</w:t>
            </w:r>
          </w:p>
        </w:tc>
        <w:tc>
          <w:tcPr>
            <w:tcW w:type="dxa" w:w="6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AMOY_PRIVATE_KEY is missing, or web3 is not installed. Set the key in .env, restart the backend, run pip install -r backend/requirements.txt.</w:t>
            </w:r>
          </w:p>
        </w:tc>
      </w:tr>
      <w:t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OFFLINE</w:t>
            </w:r>
          </w:p>
        </w:tc>
        <w:tc>
          <w:tcPr>
            <w:tcW w:type="dxa" w:w="6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 internet or the RPC is down. Reconnect, or try another AMOY_RPC_URL.</w:t>
            </w:r>
          </w:p>
        </w:tc>
      </w:tr>
      <w:t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"too little POL"</w:t>
            </w:r>
          </w:p>
        </w:tc>
        <w:tc>
          <w:tcPr>
            <w:tcW w:type="dxa" w:w="6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The wallet is empty. Fund the address shown in the message from the Amoy faucet.</w:t>
            </w:r>
          </w:p>
        </w:tc>
      </w:tr>
      <w:t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"RPC is on chain X, expected Amoy 80002"</w:t>
            </w:r>
          </w:p>
        </w:tc>
        <w:tc>
          <w:tcPr>
            <w:tcW w:type="dxa" w:w="6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AMOY_RPC_URL points to a different network. The code refuses to send on any chain other than Amoy on purpose.</w:t>
            </w:r>
          </w:p>
        </w:tc>
      </w:tr>
      <w:t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PENDING</w:t>
            </w:r>
          </w:p>
        </w:tc>
        <w:tc>
          <w:tcPr>
            <w:tcW w:type="dxa" w:w="6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The transaction was sent but not confirmed within about 40 seconds. Open the explorer link; it usually confirms shortly.</w:t>
            </w:r>
          </w:p>
        </w:tc>
      </w:tr>
      <w:t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Stays "Loading anchor status"</w:t>
            </w:r>
          </w:p>
        </w:tc>
        <w:tc>
          <w:tcPr>
            <w:tcW w:type="dxa" w:w="6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 not running or wrong VITE_API_BASE_URL. The box shows "backend unreachable" after about 8 seconds.</w:t>
            </w:r>
          </w:p>
        </w:tc>
      </w:tr>
      <w:t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git apply fails</w:t>
            </w:r>
          </w:p>
        </w:tc>
        <w:tc>
          <w:tcPr>
            <w:tcW w:type="dxa" w:w="6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Use git apply --ignore-whitespace, or the zip method in Step 1.</w:t>
            </w:r>
          </w:p>
        </w:tc>
      </w:tr>
      <w:t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 new events counted</w:t>
            </w:r>
          </w:p>
        </w:tc>
        <w:tc>
          <w:tcPr>
            <w:tcW w:type="dxa" w:w="6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Anchoring only sees decision_events. Actions on the legacy sign-off form (/audit/review) are not included by design.</w:t>
            </w:r>
          </w:p>
        </w:tc>
      </w:tr>
    </w:tbl>
    <w:p>
      <w:pPr>
        <w:spacing w:after="120"/>
      </w:pPr>
    </w:p>
    <w:p>
      <w:pPr>
        <w:pStyle w:val="Heading1"/>
        <w:spacing w:after="160" w:before="360"/>
      </w:pPr>
      <w:r>
        <w:rPr>
          <w:rFonts w:ascii="Calibri" w:cs="Calibri" w:eastAsia="Calibri" w:hAnsi="Calibri"/>
          <w:b/>
          <w:bCs/>
          <w:color w:val="1F3A5F"/>
          <w:sz w:val="32"/>
          <w:szCs w:val="32"/>
        </w:rPr>
        <w:t xml:space="preserve">6. Demo script (about 2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284C7" w:sz="6"/>
              <w:left w:val="single" w:color="0284C7" w:sz="24"/>
              <w:bottom w:val="single" w:color="0284C7" w:sz="6"/>
              <w:right w:val="single" w:color="0284C7" w:sz="6"/>
            </w:tcBorders>
            <w:shd w:fill="E0F2FE" w:color="auto" w:val="clear"/>
            <w:tcMar>
              <w:top w:type="dxa" w:w="120"/>
              <w:left w:type="dxa" w:w="180"/>
              <w:bottom w:type="dxa" w:w="120"/>
              <w:right w:type="dxa" w:w="180"/>
            </w:tcMar>
          </w:tcPr>
          <w:p>
            <w:pPr>
              <w:spacing w:after="80"/>
            </w:pPr>
            <w:r>
              <w:rPr>
                <w:rFonts w:ascii="Calibri" w:cs="Calibri" w:eastAsia="Calibri" w:hAnsi="Calibri"/>
                <w:b/>
                <w:bCs/>
                <w:sz w:val="22"/>
                <w:szCs w:val="22"/>
              </w:rPr>
              <w:t xml:space="preserve">Say first</w:t>
            </w:r>
          </w:p>
          <w:p>
            <w:pPr>
              <w:spacing w:after="60"/>
            </w:pPr>
            <w:r>
              <w:rPr>
                <w:rFonts w:ascii="Calibri" w:cs="Calibri" w:eastAsia="Calibri" w:hAnsi="Calibri"/>
                <w:sz w:val="22"/>
                <w:szCs w:val="22"/>
              </w:rPr>
              <w:t xml:space="preserve">"This anchors the decision_events hash chain - the decision workflow timeline. The older Immutable Audit Trail table above it is a plain log. It is not hash-chained and it is not anchored."</w:t>
            </w:r>
          </w:p>
        </w:tc>
      </w:tr>
    </w:tbl>
    <w:p>
      <w:pPr>
        <w:spacing w:after="120"/>
      </w:pPr>
    </w:p>
    <w:p>
      <w:pPr>
        <w:pStyle w:val="ListParagraph"/>
        <w:numPr>
          <w:ilvl w:val="0"/>
          <w:numId w:val="3"/>
        </w:numPr>
        <w:spacing w:after="80"/>
      </w:pPr>
      <w:r>
        <w:rPr>
          <w:rFonts w:ascii="Calibri" w:cs="Calibri" w:eastAsia="Calibri" w:hAnsi="Calibri"/>
          <w:sz w:val="22"/>
          <w:szCs w:val="22"/>
        </w:rPr>
        <w:t xml:space="preserve">Open CVC Governance, scroll to the SHA-256 timeline and create a decision case. Walk it through Mark Analysed, Submit For Review, and Approve.</w:t>
      </w:r>
    </w:p>
    <w:p>
      <w:pPr>
        <w:pStyle w:val="ListParagraph"/>
        <w:numPr>
          <w:ilvl w:val="0"/>
          <w:numId w:val="3"/>
        </w:numPr>
        <w:spacing w:after="80"/>
      </w:pPr>
      <w:r>
        <w:rPr>
          <w:rFonts w:ascii="Calibri" w:cs="Calibri" w:eastAsia="Calibri" w:hAnsi="Calibri"/>
          <w:sz w:val="22"/>
          <w:szCs w:val="22"/>
        </w:rPr>
        <w:t xml:space="preserve">Scroll to External Blockchain Anchor. Point at the OPTIONAL - requires internet badge and the new-events counter.</w:t>
      </w:r>
    </w:p>
    <w:p>
      <w:pPr>
        <w:pStyle w:val="ListParagraph"/>
        <w:numPr>
          <w:ilvl w:val="0"/>
          <w:numId w:val="3"/>
        </w:numPr>
        <w:spacing w:after="80"/>
      </w:pPr>
      <w:r>
        <w:rPr>
          <w:rFonts w:ascii="Calibri" w:cs="Calibri" w:eastAsia="Calibri" w:hAnsi="Calibri"/>
          <w:sz w:val="22"/>
          <w:szCs w:val="22"/>
        </w:rPr>
        <w:t xml:space="preserve">Click Anchor now. After 10 to 40 seconds the line reads "Last anchored externally ... View on-chain".</w:t>
      </w:r>
    </w:p>
    <w:p>
      <w:pPr>
        <w:pStyle w:val="ListParagraph"/>
        <w:numPr>
          <w:ilvl w:val="0"/>
          <w:numId w:val="3"/>
        </w:numPr>
        <w:spacing w:after="80"/>
      </w:pPr>
      <w:r>
        <w:rPr>
          <w:rFonts w:ascii="Calibri" w:cs="Calibri" w:eastAsia="Calibri" w:hAnsi="Calibri"/>
          <w:sz w:val="22"/>
          <w:szCs w:val="22"/>
        </w:rPr>
        <w:t xml:space="preserve">Click View on-chain. Show the transaction on Amoy PolygonScan and the Merkle root in Input Data.</w:t>
      </w:r>
    </w:p>
    <w:p>
      <w:pPr>
        <w:pStyle w:val="ListParagraph"/>
        <w:numPr>
          <w:ilvl w:val="0"/>
          <w:numId w:val="3"/>
        </w:numPr>
        <w:spacing w:after="80"/>
      </w:pPr>
      <w:r>
        <w:rPr>
          <w:rFonts w:ascii="Calibri" w:cs="Calibri" w:eastAsia="Calibri" w:hAnsi="Calibri"/>
          <w:sz w:val="22"/>
          <w:szCs w:val="22"/>
        </w:rPr>
        <w:t xml:space="preserve">Show GET /audit/anchor/1/verify returning local_match true.</w:t>
      </w:r>
    </w:p>
    <w:p>
      <w:pPr>
        <w:pStyle w:val="ListParagraph"/>
        <w:numPr>
          <w:ilvl w:val="0"/>
          <w:numId w:val="3"/>
        </w:numPr>
        <w:spacing w:after="80"/>
      </w:pPr>
      <w:r>
        <w:rPr>
          <w:rFonts w:ascii="Calibri" w:cs="Calibri" w:eastAsia="Calibri" w:hAnsi="Calibri"/>
          <w:sz w:val="22"/>
          <w:szCs w:val="22"/>
        </w:rPr>
        <w:t xml:space="preserve">Optional offline story: disconnect Wi-Fi, click Anchor now, show the red "Not anchored - offline" message, approve another decision to show the core still works, then reconnect and anchor again.</w:t>
      </w:r>
    </w:p>
    <w:p>
      <w:pPr>
        <w:pStyle w:val="Heading1"/>
        <w:spacing w:after="160" w:before="360"/>
      </w:pPr>
      <w:r>
        <w:rPr>
          <w:rFonts w:ascii="Calibri" w:cs="Calibri" w:eastAsia="Calibri" w:hAnsi="Calibri"/>
          <w:b/>
          <w:bCs/>
          <w:color w:val="1F3A5F"/>
          <w:sz w:val="32"/>
          <w:szCs w:val="32"/>
        </w:rPr>
        <w:t xml:space="preserve">7. Limits to state honestly</w:t>
      </w:r>
    </w:p>
    <w:p>
      <w:pPr>
        <w:pStyle w:val="ListParagraph"/>
        <w:numPr>
          <w:ilvl w:val="0"/>
          <w:numId w:val="2"/>
        </w:numPr>
        <w:spacing w:after="80"/>
      </w:pPr>
      <w:r>
        <w:rPr>
          <w:rFonts w:ascii="Calibri" w:cs="Calibri" w:eastAsia="Calibri" w:hAnsi="Calibri"/>
          <w:sz w:val="22"/>
          <w:szCs w:val="22"/>
        </w:rPr>
        <w:t xml:space="preserve">Testnet only. It demonstrates the mechanism and has no legal or financial weight.</w:t>
      </w:r>
    </w:p>
    <w:p>
      <w:pPr>
        <w:pStyle w:val="ListParagraph"/>
        <w:numPr>
          <w:ilvl w:val="0"/>
          <w:numId w:val="2"/>
        </w:numPr>
        <w:spacing w:after="80"/>
      </w:pPr>
      <w:r>
        <w:rPr>
          <w:rFonts w:ascii="Calibri" w:cs="Calibri" w:eastAsia="Calibri" w:hAnsi="Calibri"/>
          <w:sz w:val="22"/>
          <w:szCs w:val="22"/>
        </w:rPr>
        <w:t xml:space="preserve">Only decision_events are covered. The legacy AuditLogRecord table is not.</w:t>
      </w:r>
    </w:p>
    <w:p>
      <w:pPr>
        <w:pStyle w:val="ListParagraph"/>
        <w:numPr>
          <w:ilvl w:val="0"/>
          <w:numId w:val="2"/>
        </w:numPr>
        <w:spacing w:after="80"/>
      </w:pPr>
      <w:r>
        <w:rPr>
          <w:rFonts w:ascii="Calibri" w:cs="Calibri" w:eastAsia="Calibri" w:hAnsi="Calibri"/>
          <w:sz w:val="22"/>
          <w:szCs w:val="22"/>
        </w:rPr>
        <w:t xml:space="preserve">Events created after the last anchor are not covered until the next anchor.</w:t>
      </w:r>
    </w:p>
    <w:p>
      <w:pPr>
        <w:pStyle w:val="ListParagraph"/>
        <w:numPr>
          <w:ilvl w:val="0"/>
          <w:numId w:val="2"/>
        </w:numPr>
        <w:spacing w:after="80"/>
      </w:pPr>
      <w:r>
        <w:rPr>
          <w:rFonts w:ascii="Calibri" w:cs="Calibri" w:eastAsia="Calibri" w:hAnsi="Calibri"/>
          <w:sz w:val="22"/>
          <w:szCs w:val="22"/>
        </w:rPr>
        <w:t xml:space="preserve">One anchor covers at most 1000 events. If more are waiting, click Anchor now again.</w:t>
      </w:r>
    </w:p>
    <w:p>
      <w:pPr>
        <w:pStyle w:val="ListParagraph"/>
        <w:numPr>
          <w:ilvl w:val="0"/>
          <w:numId w:val="2"/>
        </w:numPr>
        <w:spacing w:after="80"/>
      </w:pPr>
      <w:r>
        <w:rPr>
          <w:rFonts w:ascii="Calibri" w:cs="Calibri" w:eastAsia="Calibri" w:hAnsi="Calibri"/>
          <w:sz w:val="22"/>
          <w:szCs w:val="22"/>
        </w:rPr>
        <w:t xml:space="preserve">The real Amoy transaction path could not be run in the build sandbox (no internet). The first live run is the real test, so try it well before the demo.</w:t>
      </w:r>
    </w:p>
    <w:p>
      <w:pPr>
        <w:pStyle w:val="ListParagraph"/>
        <w:numPr>
          <w:ilvl w:val="0"/>
          <w:numId w:val="2"/>
        </w:numPr>
        <w:spacing w:after="80"/>
      </w:pPr>
      <w:r>
        <w:rPr>
          <w:rFonts w:ascii="Calibri" w:cs="Calibri" w:eastAsia="Calibri" w:hAnsi="Calibri"/>
          <w:sz w:val="22"/>
          <w:szCs w:val="22"/>
        </w:rPr>
        <w:t xml:space="preserve">README.md already ends with a corrupted fragment ("...before production#" followed by UTF-16 characters). It was there before this change and was left untouched. The new README section is appended after it; you may want to delete that fragment by hand.</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Audit Anchoring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Anchoring Implementation Guide</dc:title>
  <dc:creator>Claude</dc:creator>
  <cp:lastModifiedBy>Un-named</cp:lastModifiedBy>
  <cp:revision>1</cp:revision>
  <dcterms:created xsi:type="dcterms:W3CDTF">2026-09-19T16:23:14.642Z</dcterms:created>
  <dcterms:modified xsi:type="dcterms:W3CDTF">2026-09-19T16:23:14.651Z</dcterms:modified>
</cp:coreProperties>
</file>

<file path=docProps/custom.xml><?xml version="1.0" encoding="utf-8"?>
<Properties xmlns="http://schemas.openxmlformats.org/officeDocument/2006/custom-properties" xmlns:vt="http://schemas.openxmlformats.org/officeDocument/2006/docPropsVTypes"/>
</file>