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7EF8" w14:textId="77777777" w:rsidR="00B166C6" w:rsidRDefault="00000000">
      <w:pPr>
        <w:spacing w:line="240" w:lineRule="auto"/>
        <w:rPr>
          <w:b/>
          <w:sz w:val="28"/>
          <w:szCs w:val="28"/>
        </w:rPr>
      </w:pPr>
      <w:r>
        <w:rPr>
          <w:b/>
          <w:sz w:val="28"/>
          <w:szCs w:val="28"/>
        </w:rPr>
        <w:t xml:space="preserve">Economic Vitality and Population Health: </w:t>
      </w:r>
    </w:p>
    <w:p w14:paraId="67F7C2BD" w14:textId="77777777" w:rsidR="00B166C6" w:rsidRDefault="00000000">
      <w:pPr>
        <w:spacing w:line="240" w:lineRule="auto"/>
        <w:rPr>
          <w:b/>
        </w:rPr>
      </w:pPr>
      <w:r>
        <w:rPr>
          <w:b/>
        </w:rPr>
        <w:t>Unraveling Life Expectancy and Causes of Death in the Top 10 Projected Economies</w:t>
      </w:r>
    </w:p>
    <w:p w14:paraId="26F6B3EA" w14:textId="732B0AAE" w:rsidR="00B166C6" w:rsidRDefault="00B166C6" w:rsidP="009E14D7">
      <w:pPr>
        <w:spacing w:line="240" w:lineRule="auto"/>
        <w:jc w:val="center"/>
        <w:rPr>
          <w:color w:val="A6A6A6"/>
        </w:rPr>
      </w:pPr>
    </w:p>
    <w:p w14:paraId="6160D705" w14:textId="77777777" w:rsidR="00B166C6" w:rsidRDefault="00000000">
      <w:pPr>
        <w:spacing w:line="240" w:lineRule="auto"/>
        <w:rPr>
          <w:color w:val="FF0000"/>
        </w:rPr>
      </w:pPr>
      <w:r>
        <w:rPr>
          <w:color w:val="FF0000"/>
        </w:rPr>
        <w:t>1. Background &amp; Intro</w:t>
      </w:r>
    </w:p>
    <w:p w14:paraId="5B25D1CD" w14:textId="77777777" w:rsidR="00B166C6" w:rsidRDefault="00000000">
      <w:pPr>
        <w:spacing w:line="240" w:lineRule="auto"/>
      </w:pPr>
      <w:r>
        <w:t>In exploring the complex interplay of economic growth, healthcare infrastructure, and disease patterns, our project examines how prosperity influences consumption habits and subsequently impacts major non-communicable diseases such as cardiovascular, cancer, diabetes, and respiratory conditions. We focus on understanding the correlation between shifts in consumption patterns and key health indicators, raising questions about life expectancy, causes of death, and nuanced relationships.</w:t>
      </w:r>
    </w:p>
    <w:p w14:paraId="54EE9065" w14:textId="77777777" w:rsidR="00B166C6" w:rsidRDefault="00B166C6">
      <w:pPr>
        <w:spacing w:line="240" w:lineRule="auto"/>
      </w:pPr>
    </w:p>
    <w:p w14:paraId="5F26543F" w14:textId="77777777" w:rsidR="00B166C6" w:rsidRDefault="00000000">
      <w:pPr>
        <w:spacing w:line="240" w:lineRule="auto"/>
      </w:pPr>
      <w:r>
        <w:t>This research is significant for uncovering insights into the intricate connections between economic prosperity and health outcomes. Through descriptive statistics, visualization of leading causes of death, predictive modeling, and analysis of variations across genders and regions, our project aims to provide a comprehensive understanding of the dynamics shaping global health scenarios. Ultimately, this exploration holds the promise of expanding knowledge and informing strategies at the intersection of economics and public health.</w:t>
      </w:r>
    </w:p>
    <w:p w14:paraId="5C7AE1C2" w14:textId="77777777" w:rsidR="00B166C6" w:rsidRDefault="00B166C6">
      <w:pPr>
        <w:spacing w:line="240" w:lineRule="auto"/>
      </w:pPr>
    </w:p>
    <w:p w14:paraId="7133A664" w14:textId="77777777" w:rsidR="00B166C6" w:rsidRDefault="00000000">
      <w:pPr>
        <w:spacing w:line="240" w:lineRule="auto"/>
        <w:rPr>
          <w:color w:val="FF0000"/>
        </w:rPr>
      </w:pPr>
      <w:r>
        <w:rPr>
          <w:color w:val="FF0000"/>
        </w:rPr>
        <w:t>2. Research Objects:</w:t>
      </w:r>
    </w:p>
    <w:p w14:paraId="65833F24" w14:textId="77777777" w:rsidR="00B166C6" w:rsidRDefault="00000000">
      <w:pPr>
        <w:spacing w:line="240" w:lineRule="auto"/>
      </w:pPr>
      <w:r>
        <w:t>1. Present precise life expectancy statistics categorized by country and gender, offering a snapshot of current global health trends.</w:t>
      </w:r>
    </w:p>
    <w:p w14:paraId="771A28CF" w14:textId="77777777" w:rsidR="00B166C6" w:rsidRDefault="00B166C6">
      <w:pPr>
        <w:spacing w:line="240" w:lineRule="auto"/>
      </w:pPr>
    </w:p>
    <w:p w14:paraId="419C7A25" w14:textId="77777777" w:rsidR="00B166C6" w:rsidRDefault="00000000">
      <w:pPr>
        <w:spacing w:line="240" w:lineRule="auto"/>
      </w:pPr>
      <w:r>
        <w:t>2. Employ visualizations to showcase the prominent causes of death, emphasizing distinctions among countries and regions, and providing a narrative of health disparities.</w:t>
      </w:r>
    </w:p>
    <w:p w14:paraId="2B06BB54" w14:textId="77777777" w:rsidR="00B166C6" w:rsidRDefault="00B166C6">
      <w:pPr>
        <w:spacing w:line="240" w:lineRule="auto"/>
      </w:pPr>
    </w:p>
    <w:p w14:paraId="3C4D4FD8" w14:textId="77777777" w:rsidR="00B166C6" w:rsidRDefault="00000000">
      <w:pPr>
        <w:spacing w:line="240" w:lineRule="auto"/>
      </w:pPr>
      <w:r>
        <w:t>3. Construct a regression model to predict life expectancy variations, delving into the intricate factors influencing health outcomes across diverse countries and regions.</w:t>
      </w:r>
    </w:p>
    <w:p w14:paraId="7CFCF27F" w14:textId="77777777" w:rsidR="00B166C6" w:rsidRDefault="00B166C6">
      <w:pPr>
        <w:spacing w:line="240" w:lineRule="auto"/>
      </w:pPr>
    </w:p>
    <w:p w14:paraId="0EEFFAF6" w14:textId="77777777" w:rsidR="00B166C6" w:rsidRDefault="00000000">
      <w:pPr>
        <w:spacing w:line="240" w:lineRule="auto"/>
      </w:pPr>
      <w:r>
        <w:t>4. Explore the nuanced interplay between life expectancy and causes of death by clustering them about the economic development of countries, unraveling the complex dynamics at the intersection of health and prosperity.</w:t>
      </w:r>
    </w:p>
    <w:p w14:paraId="277B5668" w14:textId="77777777" w:rsidR="00B166C6" w:rsidRDefault="00B166C6">
      <w:pPr>
        <w:spacing w:line="240" w:lineRule="auto"/>
      </w:pPr>
    </w:p>
    <w:p w14:paraId="41AE9F9C" w14:textId="77777777" w:rsidR="00B166C6" w:rsidRDefault="00000000">
      <w:pPr>
        <w:spacing w:line="240" w:lineRule="auto"/>
      </w:pPr>
      <w:r>
        <w:rPr>
          <w:color w:val="FF0000"/>
        </w:rPr>
        <w:t>3. Data Set</w:t>
      </w:r>
    </w:p>
    <w:p w14:paraId="632DF69E" w14:textId="77777777" w:rsidR="00B166C6" w:rsidRDefault="00000000">
      <w:pPr>
        <w:spacing w:line="240" w:lineRule="auto"/>
      </w:pPr>
      <w:r>
        <w:t>Our comprehensive analysis relies on meticulously curated datasets from esteemed institutions, chiefly the World Health Organization (WHO) and Our World in Data, supplemented by Gross Domestic Product (GDP) information from the World Bank.</w:t>
      </w:r>
    </w:p>
    <w:p w14:paraId="755AE828" w14:textId="77777777" w:rsidR="00B166C6" w:rsidRDefault="00B166C6">
      <w:pPr>
        <w:spacing w:line="240" w:lineRule="auto"/>
      </w:pPr>
    </w:p>
    <w:p w14:paraId="3B8941CA" w14:textId="77777777" w:rsidR="00B166C6" w:rsidRDefault="00000000">
      <w:pPr>
        <w:spacing w:line="240" w:lineRule="auto"/>
      </w:pPr>
      <w:r>
        <w:t xml:space="preserve">Dataset 1: </w:t>
      </w:r>
      <w:hyperlink r:id="rId5">
        <w:r>
          <w:rPr>
            <w:color w:val="1155CC"/>
            <w:u w:val="single"/>
          </w:rPr>
          <w:t>Life Tables by Country</w:t>
        </w:r>
      </w:hyperlink>
    </w:p>
    <w:p w14:paraId="1BADB495" w14:textId="77777777" w:rsidR="00B166C6" w:rsidRDefault="00B166C6">
      <w:pPr>
        <w:spacing w:line="240" w:lineRule="auto"/>
      </w:pPr>
    </w:p>
    <w:p w14:paraId="71F57591" w14:textId="77777777" w:rsidR="00B166C6" w:rsidRDefault="00000000">
      <w:pPr>
        <w:spacing w:line="240" w:lineRule="auto"/>
      </w:pPr>
      <w:r>
        <w:t>With a total of 243,390 rows, this dataset meticulously details age-specific death rates. It specifically delves into the mortality dynamics between the initiation of age group x and the commencement of the subsequent age group x+n, where n denotes the interval of the age group. This dataset is a valuable resource for comprehending mortality patterns within different age brackets across various countries.</w:t>
      </w:r>
    </w:p>
    <w:p w14:paraId="70AC39C7" w14:textId="77777777" w:rsidR="00B166C6" w:rsidRDefault="00B166C6">
      <w:pPr>
        <w:spacing w:line="240" w:lineRule="auto"/>
      </w:pPr>
    </w:p>
    <w:p w14:paraId="1A317C1C" w14:textId="77777777" w:rsidR="00B166C6" w:rsidRDefault="00000000">
      <w:pPr>
        <w:spacing w:line="240" w:lineRule="auto"/>
        <w:rPr>
          <w:b/>
          <w:sz w:val="21"/>
          <w:szCs w:val="21"/>
        </w:rPr>
      </w:pPr>
      <w:r>
        <w:t xml:space="preserve">Dataset 2: </w:t>
      </w:r>
      <w:hyperlink r:id="rId6">
        <w:r>
          <w:rPr>
            <w:color w:val="0000FF"/>
            <w:sz w:val="21"/>
            <w:szCs w:val="21"/>
            <w:u w:val="single"/>
          </w:rPr>
          <w:t>Number of deaths attributed to non-communicable diseases, by type of disease and sex</w:t>
        </w:r>
      </w:hyperlink>
    </w:p>
    <w:p w14:paraId="7772F88A" w14:textId="77777777" w:rsidR="00B166C6" w:rsidRDefault="00B166C6">
      <w:pPr>
        <w:spacing w:line="240" w:lineRule="auto"/>
        <w:rPr>
          <w:color w:val="0000FF"/>
          <w:u w:val="single"/>
        </w:rPr>
      </w:pPr>
    </w:p>
    <w:p w14:paraId="10B5B315" w14:textId="77777777" w:rsidR="00B166C6" w:rsidRDefault="00000000">
      <w:pPr>
        <w:spacing w:line="240" w:lineRule="auto"/>
      </w:pPr>
      <w:r>
        <w:t xml:space="preserve">Comprising 43,920 records, this dataset offers insights into mortality rates and causes of death attributed to non-communicable diseases. The information is categorized by disease type, gender, and age group, spanning multiple countries and geographical regions. With a detailed </w:t>
      </w:r>
      <w:r>
        <w:lastRenderedPageBreak/>
        <w:t>breakdown by individual countries, this dataset provides a nuanced understanding of mortality trends associated with non-communicable diseases.</w:t>
      </w:r>
    </w:p>
    <w:p w14:paraId="25A3E427" w14:textId="77777777" w:rsidR="00B166C6" w:rsidRDefault="00B166C6">
      <w:pPr>
        <w:spacing w:line="240" w:lineRule="auto"/>
      </w:pPr>
    </w:p>
    <w:p w14:paraId="1B747680" w14:textId="77777777" w:rsidR="00B166C6" w:rsidRDefault="00000000">
      <w:pPr>
        <w:spacing w:line="240" w:lineRule="auto"/>
      </w:pPr>
      <w:r>
        <w:t>Transformed Dataset:</w:t>
      </w:r>
    </w:p>
    <w:p w14:paraId="5DF2C72B" w14:textId="77777777" w:rsidR="00B166C6" w:rsidRDefault="00000000">
      <w:pPr>
        <w:spacing w:line="240" w:lineRule="auto"/>
      </w:pPr>
      <w:r>
        <w:t>Encompassing a diverse array of health-related indicators and crucial economic insights, the datasets include key factors like life expectancy, GDP, and 2022 population figures. Following an initial exploration, we honed our dataset, emphasizing essential columns such as 'Location' (country), 'Period' (year), 'Dim1' (Sex), 'Dim2' (Age Group), and 'FactValueNumeric' (numeric values of Life Expectancy-related indicators).</w:t>
      </w:r>
    </w:p>
    <w:p w14:paraId="45CF9F14" w14:textId="77777777" w:rsidR="00B166C6" w:rsidRDefault="00B166C6">
      <w:pPr>
        <w:spacing w:line="240" w:lineRule="auto"/>
      </w:pPr>
    </w:p>
    <w:p w14:paraId="49168FAB" w14:textId="77777777" w:rsidR="00B166C6" w:rsidRDefault="00000000">
      <w:pPr>
        <w:spacing w:line="240" w:lineRule="auto"/>
      </w:pPr>
      <w:r>
        <w:t>Our analytical focus is directed towards the top 10 economies, comprising China, the United States, India, Japan, Germany, Russia, Brazil, Indonesia, the United Kingdom, France, and Mexico (11 countries in total).</w:t>
      </w:r>
    </w:p>
    <w:p w14:paraId="01925EF4" w14:textId="77777777" w:rsidR="00B166C6" w:rsidRDefault="00B166C6">
      <w:pPr>
        <w:spacing w:line="240" w:lineRule="auto"/>
      </w:pPr>
    </w:p>
    <w:p w14:paraId="67516339" w14:textId="77777777" w:rsidR="00B166C6" w:rsidRDefault="00000000">
      <w:pPr>
        <w:spacing w:line="240" w:lineRule="auto"/>
      </w:pPr>
      <w:r>
        <w:t>Variables:</w:t>
      </w:r>
    </w:p>
    <w:p w14:paraId="38585E78" w14:textId="77777777" w:rsidR="00B166C6" w:rsidRDefault="00000000">
      <w:pPr>
        <w:numPr>
          <w:ilvl w:val="0"/>
          <w:numId w:val="6"/>
        </w:numPr>
        <w:spacing w:line="240" w:lineRule="auto"/>
      </w:pPr>
      <w:r>
        <w:t xml:space="preserve">Location: Country </w:t>
      </w:r>
      <w:r>
        <w:br/>
      </w:r>
      <w:r>
        <w:rPr>
          <w:color w:val="999999"/>
        </w:rPr>
        <w:t>(China, India, US, Japan, Germany, Russia, Brazil, Indonesia, UK, France, and Mexico)</w:t>
      </w:r>
    </w:p>
    <w:p w14:paraId="312D01F4" w14:textId="77777777" w:rsidR="00B166C6" w:rsidRDefault="00000000">
      <w:pPr>
        <w:numPr>
          <w:ilvl w:val="0"/>
          <w:numId w:val="6"/>
        </w:numPr>
        <w:spacing w:line="240" w:lineRule="auto"/>
      </w:pPr>
      <w:r>
        <w:t xml:space="preserve">Period: Year </w:t>
      </w:r>
      <w:r>
        <w:br/>
      </w:r>
      <w:r>
        <w:rPr>
          <w:color w:val="999999"/>
        </w:rPr>
        <w:t>(2000, 2005, 2010, 2015, 2019)</w:t>
      </w:r>
    </w:p>
    <w:p w14:paraId="26B0B7BF" w14:textId="77777777" w:rsidR="00B166C6" w:rsidRDefault="00000000">
      <w:pPr>
        <w:numPr>
          <w:ilvl w:val="0"/>
          <w:numId w:val="6"/>
        </w:numPr>
        <w:spacing w:line="240" w:lineRule="auto"/>
      </w:pPr>
      <w:r>
        <w:t>Sex: Male and Female</w:t>
      </w:r>
    </w:p>
    <w:p w14:paraId="6485E683" w14:textId="77777777" w:rsidR="00B166C6" w:rsidRDefault="00000000">
      <w:pPr>
        <w:numPr>
          <w:ilvl w:val="0"/>
          <w:numId w:val="6"/>
        </w:numPr>
        <w:spacing w:line="240" w:lineRule="auto"/>
      </w:pPr>
      <w:r>
        <w:t xml:space="preserve">Age_Group: 19 ranged age groups </w:t>
      </w:r>
    </w:p>
    <w:p w14:paraId="7FE91E68" w14:textId="77777777" w:rsidR="00B166C6" w:rsidRDefault="00000000">
      <w:pPr>
        <w:spacing w:line="240" w:lineRule="auto"/>
        <w:ind w:left="720"/>
        <w:rPr>
          <w:color w:val="999999"/>
        </w:rPr>
      </w:pPr>
      <w:r>
        <w:rPr>
          <w:color w:val="999999"/>
        </w:rPr>
        <w:t>( &lt;1 year, 1-4 years, 5-9 years, 10-14 years, 15-19 years, 20-24 years, 25-29 years, 30-34 years, 35-39 years, 40-44 years, 45-49 years, 50-54 years, 55-59 years 60-64 years, 65-69 years, 70-74 years, 75-79 years, 80-84 years, 85+ years)</w:t>
      </w:r>
    </w:p>
    <w:p w14:paraId="2D406E6C" w14:textId="77777777" w:rsidR="00B166C6" w:rsidRDefault="00000000">
      <w:pPr>
        <w:numPr>
          <w:ilvl w:val="0"/>
          <w:numId w:val="6"/>
        </w:numPr>
        <w:spacing w:line="240" w:lineRule="auto"/>
      </w:pPr>
      <w:r>
        <w:t>FactValueNumeric: the value of below indicators.</w:t>
      </w:r>
    </w:p>
    <w:p w14:paraId="1BD8FBA1" w14:textId="77777777" w:rsidR="00B166C6" w:rsidRDefault="00000000">
      <w:pPr>
        <w:numPr>
          <w:ilvl w:val="1"/>
          <w:numId w:val="6"/>
        </w:numPr>
        <w:spacing w:line="240" w:lineRule="auto"/>
      </w:pPr>
      <w:r>
        <w:rPr>
          <w:i/>
        </w:rPr>
        <w:t>Indicators</w:t>
      </w:r>
      <w:r>
        <w:t xml:space="preserve"> (consistent across all datasets):</w:t>
      </w:r>
    </w:p>
    <w:p w14:paraId="6E3A1385" w14:textId="77777777" w:rsidR="00B166C6" w:rsidRDefault="00000000">
      <w:pPr>
        <w:numPr>
          <w:ilvl w:val="0"/>
          <w:numId w:val="9"/>
        </w:numPr>
        <w:spacing w:line="240" w:lineRule="auto"/>
      </w:pPr>
      <w:r>
        <w:t>nMx - age-specific death rate between ages x and x+n</w:t>
      </w:r>
    </w:p>
    <w:p w14:paraId="450BD2D2" w14:textId="77777777" w:rsidR="00B166C6" w:rsidRDefault="00000000">
      <w:pPr>
        <w:numPr>
          <w:ilvl w:val="0"/>
          <w:numId w:val="9"/>
        </w:numPr>
        <w:spacing w:line="240" w:lineRule="auto"/>
      </w:pPr>
      <w:r>
        <w:t>nqx - probability of dying between ages x and x+n</w:t>
      </w:r>
    </w:p>
    <w:p w14:paraId="71A3A5B7" w14:textId="77777777" w:rsidR="00B166C6" w:rsidRDefault="00000000">
      <w:pPr>
        <w:numPr>
          <w:ilvl w:val="0"/>
          <w:numId w:val="9"/>
        </w:numPr>
        <w:spacing w:line="240" w:lineRule="auto"/>
      </w:pPr>
      <w:r>
        <w:t>lx - number of people left alive at age x</w:t>
      </w:r>
    </w:p>
    <w:p w14:paraId="2E195F1C" w14:textId="77777777" w:rsidR="00B166C6" w:rsidRDefault="00000000">
      <w:pPr>
        <w:numPr>
          <w:ilvl w:val="0"/>
          <w:numId w:val="9"/>
        </w:numPr>
        <w:spacing w:line="240" w:lineRule="auto"/>
      </w:pPr>
      <w:r>
        <w:t>ndx - number of people dying between ages x and x+n</w:t>
      </w:r>
    </w:p>
    <w:p w14:paraId="1E6271CB" w14:textId="77777777" w:rsidR="00B166C6" w:rsidRDefault="00000000">
      <w:pPr>
        <w:numPr>
          <w:ilvl w:val="0"/>
          <w:numId w:val="9"/>
        </w:numPr>
        <w:spacing w:line="240" w:lineRule="auto"/>
      </w:pPr>
      <w:r>
        <w:t>nLx - person-years lived between ages x and x+n</w:t>
      </w:r>
    </w:p>
    <w:p w14:paraId="41B42A33" w14:textId="77777777" w:rsidR="00B166C6" w:rsidRDefault="00000000">
      <w:pPr>
        <w:numPr>
          <w:ilvl w:val="0"/>
          <w:numId w:val="9"/>
        </w:numPr>
        <w:spacing w:line="240" w:lineRule="auto"/>
      </w:pPr>
      <w:r>
        <w:t>Tx - person-years lived above age x</w:t>
      </w:r>
    </w:p>
    <w:p w14:paraId="37C3BBDF" w14:textId="77777777" w:rsidR="00B166C6" w:rsidRDefault="00B166C6">
      <w:pPr>
        <w:spacing w:line="240" w:lineRule="auto"/>
      </w:pPr>
    </w:p>
    <w:p w14:paraId="6B0B2F94" w14:textId="77777777" w:rsidR="00B166C6" w:rsidRDefault="00000000">
      <w:pPr>
        <w:spacing w:line="240" w:lineRule="auto"/>
      </w:pPr>
      <w:commentRangeStart w:id="0"/>
      <w:r>
        <w:t xml:space="preserve">Dataset 3: GDP info </w:t>
      </w:r>
      <w:commentRangeEnd w:id="0"/>
      <w:r>
        <w:commentReference w:id="0"/>
      </w:r>
    </w:p>
    <w:p w14:paraId="272D2B3E" w14:textId="77777777" w:rsidR="00B166C6" w:rsidRDefault="00B166C6">
      <w:pPr>
        <w:spacing w:line="240" w:lineRule="auto"/>
      </w:pPr>
    </w:p>
    <w:p w14:paraId="0AE0A159" w14:textId="77777777" w:rsidR="00B166C6" w:rsidRDefault="00000000">
      <w:pPr>
        <w:spacing w:line="240" w:lineRule="auto"/>
        <w:rPr>
          <w:color w:val="FF0000"/>
        </w:rPr>
      </w:pPr>
      <w:r>
        <w:rPr>
          <w:color w:val="FF0000"/>
        </w:rPr>
        <w:t>4. General Finding</w:t>
      </w:r>
    </w:p>
    <w:p w14:paraId="669A932B" w14:textId="77777777" w:rsidR="00B166C6" w:rsidRDefault="00000000">
      <w:pPr>
        <w:spacing w:line="240" w:lineRule="auto"/>
      </w:pPr>
      <w:r>
        <w:rPr>
          <w:color w:val="374151"/>
          <w:sz w:val="24"/>
          <w:szCs w:val="24"/>
        </w:rPr>
        <w:lastRenderedPageBreak/>
        <w:t>Temporal Evolution of Average Life Expectancy Across Countries (2000-2019)</w:t>
      </w:r>
      <w:r>
        <w:rPr>
          <w:noProof/>
        </w:rPr>
        <w:drawing>
          <wp:inline distT="19050" distB="19050" distL="19050" distR="19050" wp14:anchorId="20F6DB62" wp14:editId="394AF2D4">
            <wp:extent cx="5594325" cy="265653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94325" cy="2656534"/>
                    </a:xfrm>
                    <a:prstGeom prst="rect">
                      <a:avLst/>
                    </a:prstGeom>
                    <a:ln/>
                  </pic:spPr>
                </pic:pic>
              </a:graphicData>
            </a:graphic>
          </wp:inline>
        </w:drawing>
      </w:r>
    </w:p>
    <w:p w14:paraId="530CCF88" w14:textId="77777777" w:rsidR="00B166C6" w:rsidRDefault="00000000">
      <w:pPr>
        <w:spacing w:line="240" w:lineRule="auto"/>
      </w:pPr>
      <w:r>
        <w:t>This graph tracks the shift in average life expectancy from 2000 to 2019 across diverse locations. Japan consistently leads, followed by France, while the United Kingdom and Germany contend for the third and fourth spots, with the United States securing fifth place.</w:t>
      </w:r>
    </w:p>
    <w:p w14:paraId="2D82785D" w14:textId="77777777" w:rsidR="00B166C6" w:rsidRDefault="00B166C6">
      <w:pPr>
        <w:spacing w:line="240" w:lineRule="auto"/>
      </w:pPr>
    </w:p>
    <w:p w14:paraId="0150471B" w14:textId="77777777" w:rsidR="00B166C6" w:rsidRDefault="00000000">
      <w:pPr>
        <w:spacing w:line="240" w:lineRule="auto"/>
      </w:pPr>
      <w:r>
        <w:t>Key changes include Mexico's descent from sixth to eighth place, and Brazil and China claiming the sixth and seventh positions. Russia makes a notable ascent from eleventh to ninth. India maintains the tenth spot, but Indonesia slips from ninth to eleventh.</w:t>
      </w:r>
    </w:p>
    <w:p w14:paraId="7FC47693" w14:textId="77777777" w:rsidR="00B166C6" w:rsidRDefault="00B166C6">
      <w:pPr>
        <w:spacing w:line="240" w:lineRule="auto"/>
      </w:pPr>
    </w:p>
    <w:p w14:paraId="2F05E635" w14:textId="77777777" w:rsidR="00B166C6" w:rsidRDefault="00000000">
      <w:pPr>
        <w:spacing w:line="240" w:lineRule="auto"/>
      </w:pPr>
      <w:r>
        <w:t>In summary, countries fall into two broad categories upon analysis: "First World," encompassing Japan, France, Germany, the UK, and the US, which consistently uphold higher life expectancy and secure the top 5 positions from 2000 to 2019; and "emerging powers," including the remaining six countries, displaying an upward trend in life expectancy over the same period.</w:t>
      </w:r>
    </w:p>
    <w:p w14:paraId="105D476A" w14:textId="77777777" w:rsidR="00B166C6" w:rsidRDefault="00B166C6">
      <w:pPr>
        <w:spacing w:line="240" w:lineRule="auto"/>
      </w:pPr>
    </w:p>
    <w:p w14:paraId="65895DE9" w14:textId="77777777" w:rsidR="00B166C6" w:rsidRDefault="00000000">
      <w:pPr>
        <w:spacing w:line="240" w:lineRule="auto"/>
      </w:pPr>
      <w:r>
        <w:rPr>
          <w:color w:val="374151"/>
          <w:sz w:val="24"/>
          <w:szCs w:val="24"/>
        </w:rPr>
        <w:t>Temporal Evolution of GDP Across 11 Countries (2000-2019)</w:t>
      </w:r>
    </w:p>
    <w:p w14:paraId="61E49A85" w14:textId="77777777" w:rsidR="00B166C6" w:rsidRDefault="00000000">
      <w:pPr>
        <w:spacing w:line="240" w:lineRule="auto"/>
      </w:pPr>
      <w:r>
        <w:rPr>
          <w:noProof/>
        </w:rPr>
        <w:drawing>
          <wp:inline distT="114300" distB="114300" distL="114300" distR="114300" wp14:anchorId="0B5279A6" wp14:editId="7611857B">
            <wp:extent cx="5943600" cy="2794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794000"/>
                    </a:xfrm>
                    <a:prstGeom prst="rect">
                      <a:avLst/>
                    </a:prstGeom>
                    <a:ln/>
                  </pic:spPr>
                </pic:pic>
              </a:graphicData>
            </a:graphic>
          </wp:inline>
        </w:drawing>
      </w:r>
    </w:p>
    <w:p w14:paraId="1A08C938" w14:textId="77777777" w:rsidR="00B166C6" w:rsidRDefault="00000000">
      <w:pPr>
        <w:spacing w:line="240" w:lineRule="auto"/>
      </w:pPr>
      <w:r>
        <w:t xml:space="preserve">This graph illustrates the GDP trends of 11 countries from 2000 to 2019. Notably, the United States, China, and India experienced substantial and sharp increases, signaling robust </w:t>
      </w:r>
      <w:r>
        <w:lastRenderedPageBreak/>
        <w:t>economic growth. Meanwhile, Russia, Brazil, and Indonesia exhibit more moderate increases, suggesting a steady but less pronounced economic ascent. The remaining countries demonstrate a stable and consistent trajectory, experiencing relatively marginal changes in their GDP over the specified period.</w:t>
      </w:r>
    </w:p>
    <w:p w14:paraId="5E1C2835" w14:textId="77777777" w:rsidR="00B166C6" w:rsidRDefault="00B166C6">
      <w:pPr>
        <w:spacing w:line="240" w:lineRule="auto"/>
      </w:pPr>
    </w:p>
    <w:p w14:paraId="793F624D" w14:textId="77777777" w:rsidR="00B166C6" w:rsidRDefault="00000000">
      <w:pPr>
        <w:spacing w:line="240" w:lineRule="auto"/>
      </w:pPr>
      <w:r>
        <w:t>Distribution of Death Rates from Four Non-communicable Diseases Across Countries</w:t>
      </w:r>
    </w:p>
    <w:p w14:paraId="0FAB1724" w14:textId="77777777" w:rsidR="00B166C6" w:rsidRDefault="00000000">
      <w:pPr>
        <w:spacing w:line="240" w:lineRule="auto"/>
      </w:pPr>
      <w:r>
        <w:rPr>
          <w:noProof/>
        </w:rPr>
        <w:drawing>
          <wp:inline distT="19050" distB="19050" distL="19050" distR="19050" wp14:anchorId="193AB805" wp14:editId="7CB266B6">
            <wp:extent cx="4808900" cy="39997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808900" cy="3999750"/>
                    </a:xfrm>
                    <a:prstGeom prst="rect">
                      <a:avLst/>
                    </a:prstGeom>
                    <a:ln/>
                  </pic:spPr>
                </pic:pic>
              </a:graphicData>
            </a:graphic>
          </wp:inline>
        </w:drawing>
      </w:r>
    </w:p>
    <w:p w14:paraId="31A37A99" w14:textId="77777777" w:rsidR="00B166C6"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color w:val="374151"/>
          <w:sz w:val="24"/>
          <w:szCs w:val="24"/>
        </w:rPr>
      </w:pPr>
      <w:r>
        <w:rPr>
          <w:color w:val="374151"/>
          <w:sz w:val="24"/>
          <w:szCs w:val="24"/>
        </w:rPr>
        <w:t>This graph provides an overview of death rates related to four non-communicable diseases across various countries. Cardiovascular diseases and Malignant Neoplasms (cancer) emerge as predominant causes of death, revealing distinct patterns. Russia and Germany exhibit a significant proportion of cardiovascular deaths, while France, Japan, and the UK experience higher incidences of Malignant neoplasm (cancer) deaths. Additionally, Mexico and Indonesia demonstrate elevated death rates from Diabetes, while China and India exhibit higher death rates from respiratory diseases.</w:t>
      </w:r>
    </w:p>
    <w:p w14:paraId="67A31419" w14:textId="77777777" w:rsidR="00B166C6"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rPr>
          <w:color w:val="374151"/>
          <w:sz w:val="24"/>
          <w:szCs w:val="24"/>
        </w:rPr>
      </w:pPr>
      <w:r>
        <w:rPr>
          <w:color w:val="374151"/>
          <w:sz w:val="24"/>
          <w:szCs w:val="24"/>
        </w:rPr>
        <w:t>Remarkably, Russia stands out with an overall higher death rate compared to other major economies. In our forthcoming cluster analyses, we aim to delve deeper into this dataset, unveiling nuances, differences, and relationships among countries regarding non-communicable disease mortality.</w:t>
      </w:r>
    </w:p>
    <w:p w14:paraId="7646FF16" w14:textId="77777777" w:rsidR="00B166C6" w:rsidRDefault="00B166C6">
      <w:pPr>
        <w:spacing w:line="240" w:lineRule="auto"/>
      </w:pPr>
    </w:p>
    <w:p w14:paraId="1CB4E070" w14:textId="77777777" w:rsidR="00B166C6" w:rsidRDefault="00B166C6">
      <w:pPr>
        <w:spacing w:line="240" w:lineRule="auto"/>
      </w:pPr>
    </w:p>
    <w:p w14:paraId="6212DC50" w14:textId="77777777" w:rsidR="00B166C6" w:rsidRDefault="00B166C6">
      <w:pPr>
        <w:spacing w:line="240" w:lineRule="auto"/>
      </w:pPr>
    </w:p>
    <w:p w14:paraId="089AC8AD" w14:textId="77777777" w:rsidR="00B166C6" w:rsidRDefault="00B166C6">
      <w:pPr>
        <w:spacing w:line="240" w:lineRule="auto"/>
      </w:pPr>
    </w:p>
    <w:p w14:paraId="35113FA2" w14:textId="77777777" w:rsidR="00B166C6" w:rsidRDefault="00B166C6">
      <w:pPr>
        <w:spacing w:line="240" w:lineRule="auto"/>
      </w:pPr>
    </w:p>
    <w:p w14:paraId="71C2F8D3" w14:textId="77777777" w:rsidR="00B166C6" w:rsidRDefault="00000000">
      <w:pPr>
        <w:spacing w:line="240" w:lineRule="auto"/>
        <w:rPr>
          <w:color w:val="FF0000"/>
        </w:rPr>
      </w:pPr>
      <w:r>
        <w:rPr>
          <w:color w:val="FF0000"/>
        </w:rPr>
        <w:lastRenderedPageBreak/>
        <w:t>5. Modeling Finding</w:t>
      </w:r>
    </w:p>
    <w:p w14:paraId="5FD0A1B9" w14:textId="77777777" w:rsidR="00B166C6" w:rsidRDefault="00000000">
      <w:pPr>
        <w:spacing w:line="240" w:lineRule="auto"/>
        <w:jc w:val="center"/>
        <w:rPr>
          <w:b/>
        </w:rPr>
      </w:pPr>
      <w:r>
        <w:rPr>
          <w:b/>
        </w:rPr>
        <w:t>Life Expectancy for each Country in 2030:</w:t>
      </w:r>
    </w:p>
    <w:p w14:paraId="61D925C6" w14:textId="77777777" w:rsidR="00B166C6" w:rsidRDefault="00000000">
      <w:pPr>
        <w:spacing w:line="240" w:lineRule="auto"/>
        <w:jc w:val="center"/>
        <w:rPr>
          <w:color w:val="FF0000"/>
        </w:rPr>
      </w:pPr>
      <w:r>
        <w:rPr>
          <w:noProof/>
          <w:color w:val="FF0000"/>
        </w:rPr>
        <w:drawing>
          <wp:inline distT="114300" distB="114300" distL="114300" distR="114300" wp14:anchorId="631B5E95" wp14:editId="2C086DBF">
            <wp:extent cx="4486275" cy="52717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t="2650"/>
                    <a:stretch>
                      <a:fillRect/>
                    </a:stretch>
                  </pic:blipFill>
                  <pic:spPr>
                    <a:xfrm>
                      <a:off x="0" y="0"/>
                      <a:ext cx="4486275" cy="5271715"/>
                    </a:xfrm>
                    <a:prstGeom prst="rect">
                      <a:avLst/>
                    </a:prstGeom>
                    <a:ln/>
                  </pic:spPr>
                </pic:pic>
              </a:graphicData>
            </a:graphic>
          </wp:inline>
        </w:drawing>
      </w:r>
    </w:p>
    <w:p w14:paraId="628B0886" w14:textId="77777777" w:rsidR="00B166C6" w:rsidRDefault="00000000">
      <w:pPr>
        <w:spacing w:line="240" w:lineRule="auto"/>
      </w:pPr>
      <w:r>
        <w:rPr>
          <w:rFonts w:ascii="Roboto" w:eastAsia="Roboto" w:hAnsi="Roboto" w:cs="Roboto"/>
          <w:color w:val="374151"/>
          <w:sz w:val="24"/>
          <w:szCs w:val="24"/>
        </w:rPr>
        <w:t xml:space="preserve">The provided graph illustrates the life expectancy trends for a selected group of countries. The orange and blue lines depict the average global life expectancy, highlighting that </w:t>
      </w:r>
      <w:r>
        <w:rPr>
          <w:rFonts w:ascii="Roboto" w:eastAsia="Roboto" w:hAnsi="Roboto" w:cs="Roboto"/>
          <w:color w:val="374151"/>
          <w:sz w:val="24"/>
          <w:szCs w:val="24"/>
          <w:u w:val="single"/>
        </w:rPr>
        <w:t>all high-GDP economies exhibit life expectancies surpassing the worldwide average for the year 2030</w:t>
      </w:r>
      <w:r>
        <w:rPr>
          <w:rFonts w:ascii="Roboto" w:eastAsia="Roboto" w:hAnsi="Roboto" w:cs="Roboto"/>
          <w:color w:val="374151"/>
          <w:sz w:val="24"/>
          <w:szCs w:val="24"/>
        </w:rPr>
        <w:t>.</w:t>
      </w:r>
    </w:p>
    <w:p w14:paraId="0AD2F697" w14:textId="77777777" w:rsidR="00B166C6" w:rsidRDefault="00B166C6">
      <w:pPr>
        <w:spacing w:line="240" w:lineRule="auto"/>
      </w:pPr>
    </w:p>
    <w:p w14:paraId="5A4AC6A3" w14:textId="77777777" w:rsidR="00B166C6" w:rsidRDefault="00B166C6">
      <w:pPr>
        <w:spacing w:line="240" w:lineRule="auto"/>
      </w:pPr>
    </w:p>
    <w:p w14:paraId="01B33582" w14:textId="77777777" w:rsidR="00B166C6" w:rsidRDefault="00B166C6">
      <w:pPr>
        <w:spacing w:line="240" w:lineRule="auto"/>
      </w:pPr>
    </w:p>
    <w:p w14:paraId="53186AFB" w14:textId="77777777" w:rsidR="00B166C6" w:rsidRDefault="00B166C6">
      <w:pPr>
        <w:spacing w:line="240" w:lineRule="auto"/>
      </w:pPr>
    </w:p>
    <w:p w14:paraId="6ACD0636" w14:textId="77777777" w:rsidR="00B166C6" w:rsidRDefault="00B166C6">
      <w:pPr>
        <w:spacing w:line="240" w:lineRule="auto"/>
      </w:pPr>
    </w:p>
    <w:p w14:paraId="56742D18" w14:textId="77777777" w:rsidR="00B166C6" w:rsidRDefault="00B166C6">
      <w:pPr>
        <w:spacing w:line="240" w:lineRule="auto"/>
      </w:pPr>
    </w:p>
    <w:p w14:paraId="41F2C5B7" w14:textId="77777777" w:rsidR="00B166C6" w:rsidRDefault="00B166C6">
      <w:pPr>
        <w:spacing w:line="240" w:lineRule="auto"/>
      </w:pPr>
    </w:p>
    <w:p w14:paraId="1997C8B6" w14:textId="77777777" w:rsidR="00B166C6" w:rsidRDefault="00B166C6">
      <w:pPr>
        <w:spacing w:line="240" w:lineRule="auto"/>
      </w:pPr>
    </w:p>
    <w:p w14:paraId="6EFBAFAD" w14:textId="77777777" w:rsidR="00B166C6" w:rsidRDefault="00B166C6">
      <w:pPr>
        <w:spacing w:line="240" w:lineRule="auto"/>
      </w:pPr>
    </w:p>
    <w:p w14:paraId="488F7D94" w14:textId="77777777" w:rsidR="00B166C6" w:rsidRDefault="00000000">
      <w:pPr>
        <w:spacing w:line="240" w:lineRule="auto"/>
        <w:rPr>
          <w:b/>
        </w:rPr>
      </w:pPr>
      <w:r>
        <w:rPr>
          <w:b/>
        </w:rPr>
        <w:t>Table showing the sequence for Life Expectancy in the year 2030 for the top economies-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910"/>
        <w:gridCol w:w="2700"/>
      </w:tblGrid>
      <w:tr w:rsidR="00B166C6" w14:paraId="7F655121" w14:textId="77777777">
        <w:tc>
          <w:tcPr>
            <w:tcW w:w="3750" w:type="dxa"/>
            <w:shd w:val="clear" w:color="auto" w:fill="auto"/>
            <w:tcMar>
              <w:top w:w="100" w:type="dxa"/>
              <w:left w:w="100" w:type="dxa"/>
              <w:bottom w:w="100" w:type="dxa"/>
              <w:right w:w="100" w:type="dxa"/>
            </w:tcMar>
          </w:tcPr>
          <w:p w14:paraId="43D168AA" w14:textId="77777777" w:rsidR="00B166C6" w:rsidRDefault="00000000">
            <w:pPr>
              <w:widowControl w:val="0"/>
              <w:pBdr>
                <w:top w:val="nil"/>
                <w:left w:val="nil"/>
                <w:bottom w:val="nil"/>
                <w:right w:val="nil"/>
                <w:between w:val="nil"/>
              </w:pBdr>
              <w:spacing w:line="240" w:lineRule="auto"/>
              <w:rPr>
                <w:b/>
              </w:rPr>
            </w:pPr>
            <w:r>
              <w:rPr>
                <w:b/>
              </w:rPr>
              <w:t>Country Name</w:t>
            </w:r>
          </w:p>
        </w:tc>
        <w:tc>
          <w:tcPr>
            <w:tcW w:w="2910" w:type="dxa"/>
            <w:shd w:val="clear" w:color="auto" w:fill="auto"/>
            <w:tcMar>
              <w:top w:w="100" w:type="dxa"/>
              <w:left w:w="100" w:type="dxa"/>
              <w:bottom w:w="100" w:type="dxa"/>
              <w:right w:w="100" w:type="dxa"/>
            </w:tcMar>
          </w:tcPr>
          <w:p w14:paraId="53A909B0" w14:textId="77777777" w:rsidR="00B166C6" w:rsidRDefault="00000000">
            <w:pPr>
              <w:widowControl w:val="0"/>
              <w:pBdr>
                <w:top w:val="nil"/>
                <w:left w:val="nil"/>
                <w:bottom w:val="nil"/>
                <w:right w:val="nil"/>
                <w:between w:val="nil"/>
              </w:pBdr>
              <w:spacing w:line="240" w:lineRule="auto"/>
              <w:rPr>
                <w:b/>
              </w:rPr>
            </w:pPr>
            <w:r>
              <w:rPr>
                <w:b/>
              </w:rPr>
              <w:t>Female Life Expectancy</w:t>
            </w:r>
          </w:p>
        </w:tc>
        <w:tc>
          <w:tcPr>
            <w:tcW w:w="2700" w:type="dxa"/>
            <w:shd w:val="clear" w:color="auto" w:fill="auto"/>
            <w:tcMar>
              <w:top w:w="100" w:type="dxa"/>
              <w:left w:w="100" w:type="dxa"/>
              <w:bottom w:w="100" w:type="dxa"/>
              <w:right w:w="100" w:type="dxa"/>
            </w:tcMar>
          </w:tcPr>
          <w:p w14:paraId="16E58D2A" w14:textId="77777777" w:rsidR="00B166C6" w:rsidRDefault="00000000">
            <w:pPr>
              <w:widowControl w:val="0"/>
              <w:pBdr>
                <w:top w:val="nil"/>
                <w:left w:val="nil"/>
                <w:bottom w:val="nil"/>
                <w:right w:val="nil"/>
                <w:between w:val="nil"/>
              </w:pBdr>
              <w:spacing w:line="240" w:lineRule="auto"/>
              <w:rPr>
                <w:b/>
              </w:rPr>
            </w:pPr>
            <w:r>
              <w:rPr>
                <w:b/>
              </w:rPr>
              <w:t>Male Life Expectancy</w:t>
            </w:r>
          </w:p>
        </w:tc>
      </w:tr>
      <w:tr w:rsidR="00B166C6" w14:paraId="0629EF09" w14:textId="77777777">
        <w:tc>
          <w:tcPr>
            <w:tcW w:w="3750" w:type="dxa"/>
            <w:shd w:val="clear" w:color="auto" w:fill="auto"/>
            <w:tcMar>
              <w:top w:w="100" w:type="dxa"/>
              <w:left w:w="100" w:type="dxa"/>
              <w:bottom w:w="100" w:type="dxa"/>
              <w:right w:w="100" w:type="dxa"/>
            </w:tcMar>
          </w:tcPr>
          <w:p w14:paraId="6CE66D20" w14:textId="77777777" w:rsidR="00B166C6" w:rsidRDefault="00000000">
            <w:pPr>
              <w:pBdr>
                <w:top w:val="nil"/>
                <w:left w:val="nil"/>
                <w:bottom w:val="nil"/>
                <w:right w:val="nil"/>
                <w:between w:val="nil"/>
              </w:pBdr>
              <w:spacing w:line="240" w:lineRule="auto"/>
            </w:pPr>
            <w:r>
              <w:lastRenderedPageBreak/>
              <w:t>Japan</w:t>
            </w:r>
          </w:p>
        </w:tc>
        <w:tc>
          <w:tcPr>
            <w:tcW w:w="2910" w:type="dxa"/>
            <w:shd w:val="clear" w:color="auto" w:fill="auto"/>
            <w:tcMar>
              <w:top w:w="100" w:type="dxa"/>
              <w:left w:w="100" w:type="dxa"/>
              <w:bottom w:w="100" w:type="dxa"/>
              <w:right w:w="100" w:type="dxa"/>
            </w:tcMar>
          </w:tcPr>
          <w:p w14:paraId="5EF5547E" w14:textId="77777777" w:rsidR="00B166C6" w:rsidRDefault="00000000">
            <w:pPr>
              <w:widowControl w:val="0"/>
              <w:pBdr>
                <w:top w:val="nil"/>
                <w:left w:val="nil"/>
                <w:bottom w:val="nil"/>
                <w:right w:val="nil"/>
                <w:between w:val="nil"/>
              </w:pBdr>
              <w:spacing w:line="240" w:lineRule="auto"/>
            </w:pPr>
            <w:r>
              <w:t>88.8</w:t>
            </w:r>
          </w:p>
        </w:tc>
        <w:tc>
          <w:tcPr>
            <w:tcW w:w="2700" w:type="dxa"/>
            <w:shd w:val="clear" w:color="auto" w:fill="auto"/>
            <w:tcMar>
              <w:top w:w="100" w:type="dxa"/>
              <w:left w:w="100" w:type="dxa"/>
              <w:bottom w:w="100" w:type="dxa"/>
              <w:right w:w="100" w:type="dxa"/>
            </w:tcMar>
          </w:tcPr>
          <w:p w14:paraId="04B746F6" w14:textId="77777777" w:rsidR="00B166C6" w:rsidRDefault="00000000">
            <w:pPr>
              <w:widowControl w:val="0"/>
              <w:pBdr>
                <w:top w:val="nil"/>
                <w:left w:val="nil"/>
                <w:bottom w:val="nil"/>
                <w:right w:val="nil"/>
                <w:between w:val="nil"/>
              </w:pBdr>
              <w:spacing w:line="240" w:lineRule="auto"/>
            </w:pPr>
            <w:r>
              <w:t>84.7</w:t>
            </w:r>
          </w:p>
        </w:tc>
      </w:tr>
      <w:tr w:rsidR="00B166C6" w14:paraId="1E94C230" w14:textId="77777777">
        <w:tc>
          <w:tcPr>
            <w:tcW w:w="3750" w:type="dxa"/>
            <w:shd w:val="clear" w:color="auto" w:fill="auto"/>
            <w:tcMar>
              <w:top w:w="100" w:type="dxa"/>
              <w:left w:w="100" w:type="dxa"/>
              <w:bottom w:w="100" w:type="dxa"/>
              <w:right w:w="100" w:type="dxa"/>
            </w:tcMar>
          </w:tcPr>
          <w:p w14:paraId="11C3F16E" w14:textId="77777777" w:rsidR="00B166C6" w:rsidRDefault="00000000">
            <w:pPr>
              <w:widowControl w:val="0"/>
              <w:pBdr>
                <w:top w:val="nil"/>
                <w:left w:val="nil"/>
                <w:bottom w:val="nil"/>
                <w:right w:val="nil"/>
                <w:between w:val="nil"/>
              </w:pBdr>
              <w:spacing w:line="240" w:lineRule="auto"/>
            </w:pPr>
            <w:r>
              <w:t>China</w:t>
            </w:r>
          </w:p>
        </w:tc>
        <w:tc>
          <w:tcPr>
            <w:tcW w:w="2910" w:type="dxa"/>
            <w:shd w:val="clear" w:color="auto" w:fill="auto"/>
            <w:tcMar>
              <w:top w:w="100" w:type="dxa"/>
              <w:left w:w="100" w:type="dxa"/>
              <w:bottom w:w="100" w:type="dxa"/>
              <w:right w:w="100" w:type="dxa"/>
            </w:tcMar>
          </w:tcPr>
          <w:p w14:paraId="2511D58A" w14:textId="77777777" w:rsidR="00B166C6" w:rsidRDefault="00000000">
            <w:pPr>
              <w:widowControl w:val="0"/>
              <w:pBdr>
                <w:top w:val="nil"/>
                <w:left w:val="nil"/>
                <w:bottom w:val="nil"/>
                <w:right w:val="nil"/>
                <w:between w:val="nil"/>
              </w:pBdr>
              <w:spacing w:line="240" w:lineRule="auto"/>
            </w:pPr>
            <w:r>
              <w:t>88.6</w:t>
            </w:r>
          </w:p>
        </w:tc>
        <w:tc>
          <w:tcPr>
            <w:tcW w:w="2700" w:type="dxa"/>
            <w:shd w:val="clear" w:color="auto" w:fill="auto"/>
            <w:tcMar>
              <w:top w:w="100" w:type="dxa"/>
              <w:left w:w="100" w:type="dxa"/>
              <w:bottom w:w="100" w:type="dxa"/>
              <w:right w:w="100" w:type="dxa"/>
            </w:tcMar>
          </w:tcPr>
          <w:p w14:paraId="3839DB09" w14:textId="77777777" w:rsidR="00B166C6" w:rsidRDefault="00000000">
            <w:pPr>
              <w:widowControl w:val="0"/>
              <w:pBdr>
                <w:top w:val="nil"/>
                <w:left w:val="nil"/>
                <w:bottom w:val="nil"/>
                <w:right w:val="nil"/>
                <w:between w:val="nil"/>
              </w:pBdr>
              <w:spacing w:line="240" w:lineRule="auto"/>
            </w:pPr>
            <w:r>
              <w:t>84.5</w:t>
            </w:r>
          </w:p>
        </w:tc>
      </w:tr>
      <w:tr w:rsidR="00B166C6" w14:paraId="6A00E300" w14:textId="77777777">
        <w:tc>
          <w:tcPr>
            <w:tcW w:w="3750" w:type="dxa"/>
            <w:shd w:val="clear" w:color="auto" w:fill="auto"/>
            <w:tcMar>
              <w:top w:w="100" w:type="dxa"/>
              <w:left w:w="100" w:type="dxa"/>
              <w:bottom w:w="100" w:type="dxa"/>
              <w:right w:w="100" w:type="dxa"/>
            </w:tcMar>
          </w:tcPr>
          <w:p w14:paraId="4BEA5DB7" w14:textId="77777777" w:rsidR="00B166C6" w:rsidRDefault="00000000">
            <w:pPr>
              <w:widowControl w:val="0"/>
              <w:pBdr>
                <w:top w:val="nil"/>
                <w:left w:val="nil"/>
                <w:bottom w:val="nil"/>
                <w:right w:val="nil"/>
                <w:between w:val="nil"/>
              </w:pBdr>
              <w:spacing w:line="240" w:lineRule="auto"/>
            </w:pPr>
            <w:r>
              <w:t>France</w:t>
            </w:r>
          </w:p>
        </w:tc>
        <w:tc>
          <w:tcPr>
            <w:tcW w:w="2910" w:type="dxa"/>
            <w:shd w:val="clear" w:color="auto" w:fill="auto"/>
            <w:tcMar>
              <w:top w:w="100" w:type="dxa"/>
              <w:left w:w="100" w:type="dxa"/>
              <w:bottom w:w="100" w:type="dxa"/>
              <w:right w:w="100" w:type="dxa"/>
            </w:tcMar>
          </w:tcPr>
          <w:p w14:paraId="791A0ABF" w14:textId="77777777" w:rsidR="00B166C6" w:rsidRDefault="00000000">
            <w:pPr>
              <w:widowControl w:val="0"/>
              <w:pBdr>
                <w:top w:val="nil"/>
                <w:left w:val="nil"/>
                <w:bottom w:val="nil"/>
                <w:right w:val="nil"/>
                <w:between w:val="nil"/>
              </w:pBdr>
              <w:spacing w:line="240" w:lineRule="auto"/>
            </w:pPr>
            <w:r>
              <w:t>87.6</w:t>
            </w:r>
          </w:p>
        </w:tc>
        <w:tc>
          <w:tcPr>
            <w:tcW w:w="2700" w:type="dxa"/>
            <w:shd w:val="clear" w:color="auto" w:fill="auto"/>
            <w:tcMar>
              <w:top w:w="100" w:type="dxa"/>
              <w:left w:w="100" w:type="dxa"/>
              <w:bottom w:w="100" w:type="dxa"/>
              <w:right w:w="100" w:type="dxa"/>
            </w:tcMar>
          </w:tcPr>
          <w:p w14:paraId="771B3659" w14:textId="77777777" w:rsidR="00B166C6" w:rsidRDefault="00000000">
            <w:pPr>
              <w:widowControl w:val="0"/>
              <w:pBdr>
                <w:top w:val="nil"/>
                <w:left w:val="nil"/>
                <w:bottom w:val="nil"/>
                <w:right w:val="nil"/>
                <w:between w:val="nil"/>
              </w:pBdr>
              <w:spacing w:line="240" w:lineRule="auto"/>
            </w:pPr>
            <w:r>
              <w:t>83.5</w:t>
            </w:r>
          </w:p>
        </w:tc>
      </w:tr>
      <w:tr w:rsidR="00B166C6" w14:paraId="2F668568" w14:textId="77777777">
        <w:tc>
          <w:tcPr>
            <w:tcW w:w="3750" w:type="dxa"/>
            <w:shd w:val="clear" w:color="auto" w:fill="auto"/>
            <w:tcMar>
              <w:top w:w="100" w:type="dxa"/>
              <w:left w:w="100" w:type="dxa"/>
              <w:bottom w:w="100" w:type="dxa"/>
              <w:right w:w="100" w:type="dxa"/>
            </w:tcMar>
          </w:tcPr>
          <w:p w14:paraId="3F115BC7" w14:textId="77777777" w:rsidR="00B166C6" w:rsidRDefault="00000000">
            <w:pPr>
              <w:spacing w:line="240" w:lineRule="auto"/>
            </w:pPr>
            <w:r>
              <w:t>Great Britain and Northern Ireland</w:t>
            </w:r>
          </w:p>
        </w:tc>
        <w:tc>
          <w:tcPr>
            <w:tcW w:w="2910" w:type="dxa"/>
            <w:shd w:val="clear" w:color="auto" w:fill="auto"/>
            <w:tcMar>
              <w:top w:w="100" w:type="dxa"/>
              <w:left w:w="100" w:type="dxa"/>
              <w:bottom w:w="100" w:type="dxa"/>
              <w:right w:w="100" w:type="dxa"/>
            </w:tcMar>
          </w:tcPr>
          <w:p w14:paraId="17FAC6E6" w14:textId="77777777" w:rsidR="00B166C6" w:rsidRDefault="00000000">
            <w:pPr>
              <w:widowControl w:val="0"/>
              <w:pBdr>
                <w:top w:val="nil"/>
                <w:left w:val="nil"/>
                <w:bottom w:val="nil"/>
                <w:right w:val="nil"/>
                <w:between w:val="nil"/>
              </w:pBdr>
              <w:spacing w:line="240" w:lineRule="auto"/>
            </w:pPr>
            <w:r>
              <w:t>86.7</w:t>
            </w:r>
          </w:p>
        </w:tc>
        <w:tc>
          <w:tcPr>
            <w:tcW w:w="2700" w:type="dxa"/>
            <w:shd w:val="clear" w:color="auto" w:fill="auto"/>
            <w:tcMar>
              <w:top w:w="100" w:type="dxa"/>
              <w:left w:w="100" w:type="dxa"/>
              <w:bottom w:w="100" w:type="dxa"/>
              <w:right w:w="100" w:type="dxa"/>
            </w:tcMar>
          </w:tcPr>
          <w:p w14:paraId="0AAD24B9" w14:textId="77777777" w:rsidR="00B166C6" w:rsidRDefault="00000000">
            <w:pPr>
              <w:widowControl w:val="0"/>
              <w:pBdr>
                <w:top w:val="nil"/>
                <w:left w:val="nil"/>
                <w:bottom w:val="nil"/>
                <w:right w:val="nil"/>
                <w:between w:val="nil"/>
              </w:pBdr>
              <w:spacing w:line="240" w:lineRule="auto"/>
            </w:pPr>
            <w:r>
              <w:t>82.6</w:t>
            </w:r>
          </w:p>
        </w:tc>
      </w:tr>
      <w:tr w:rsidR="00B166C6" w14:paraId="07BEC6D2" w14:textId="77777777">
        <w:tc>
          <w:tcPr>
            <w:tcW w:w="3750" w:type="dxa"/>
            <w:shd w:val="clear" w:color="auto" w:fill="auto"/>
            <w:tcMar>
              <w:top w:w="100" w:type="dxa"/>
              <w:left w:w="100" w:type="dxa"/>
              <w:bottom w:w="100" w:type="dxa"/>
              <w:right w:w="100" w:type="dxa"/>
            </w:tcMar>
          </w:tcPr>
          <w:p w14:paraId="0B18A31A" w14:textId="77777777" w:rsidR="00B166C6" w:rsidRDefault="00000000">
            <w:pPr>
              <w:spacing w:line="240" w:lineRule="auto"/>
            </w:pPr>
            <w:r>
              <w:t>Germany</w:t>
            </w:r>
          </w:p>
        </w:tc>
        <w:tc>
          <w:tcPr>
            <w:tcW w:w="2910" w:type="dxa"/>
            <w:shd w:val="clear" w:color="auto" w:fill="auto"/>
            <w:tcMar>
              <w:top w:w="100" w:type="dxa"/>
              <w:left w:w="100" w:type="dxa"/>
              <w:bottom w:w="100" w:type="dxa"/>
              <w:right w:w="100" w:type="dxa"/>
            </w:tcMar>
          </w:tcPr>
          <w:p w14:paraId="4B35D863" w14:textId="77777777" w:rsidR="00B166C6" w:rsidRDefault="00000000">
            <w:pPr>
              <w:widowControl w:val="0"/>
              <w:pBdr>
                <w:top w:val="nil"/>
                <w:left w:val="nil"/>
                <w:bottom w:val="nil"/>
                <w:right w:val="nil"/>
                <w:between w:val="nil"/>
              </w:pBdr>
              <w:spacing w:line="240" w:lineRule="auto"/>
            </w:pPr>
            <w:r>
              <w:t>86.6</w:t>
            </w:r>
          </w:p>
        </w:tc>
        <w:tc>
          <w:tcPr>
            <w:tcW w:w="2700" w:type="dxa"/>
            <w:shd w:val="clear" w:color="auto" w:fill="auto"/>
            <w:tcMar>
              <w:top w:w="100" w:type="dxa"/>
              <w:left w:w="100" w:type="dxa"/>
              <w:bottom w:w="100" w:type="dxa"/>
              <w:right w:w="100" w:type="dxa"/>
            </w:tcMar>
          </w:tcPr>
          <w:p w14:paraId="6BBB33CA" w14:textId="77777777" w:rsidR="00B166C6" w:rsidRDefault="00000000">
            <w:pPr>
              <w:widowControl w:val="0"/>
              <w:pBdr>
                <w:top w:val="nil"/>
                <w:left w:val="nil"/>
                <w:bottom w:val="nil"/>
                <w:right w:val="nil"/>
                <w:between w:val="nil"/>
              </w:pBdr>
              <w:spacing w:line="240" w:lineRule="auto"/>
            </w:pPr>
            <w:r>
              <w:t>82.5</w:t>
            </w:r>
          </w:p>
        </w:tc>
      </w:tr>
      <w:tr w:rsidR="00B166C6" w14:paraId="26C8E7BF" w14:textId="77777777">
        <w:tc>
          <w:tcPr>
            <w:tcW w:w="3750" w:type="dxa"/>
            <w:shd w:val="clear" w:color="auto" w:fill="auto"/>
            <w:tcMar>
              <w:top w:w="100" w:type="dxa"/>
              <w:left w:w="100" w:type="dxa"/>
              <w:bottom w:w="100" w:type="dxa"/>
              <w:right w:w="100" w:type="dxa"/>
            </w:tcMar>
          </w:tcPr>
          <w:p w14:paraId="3CDE121F" w14:textId="77777777" w:rsidR="00B166C6" w:rsidRDefault="00000000">
            <w:pPr>
              <w:spacing w:line="240" w:lineRule="auto"/>
            </w:pPr>
            <w:r>
              <w:t>United States of America</w:t>
            </w:r>
          </w:p>
        </w:tc>
        <w:tc>
          <w:tcPr>
            <w:tcW w:w="2910" w:type="dxa"/>
            <w:shd w:val="clear" w:color="auto" w:fill="auto"/>
            <w:tcMar>
              <w:top w:w="100" w:type="dxa"/>
              <w:left w:w="100" w:type="dxa"/>
              <w:bottom w:w="100" w:type="dxa"/>
              <w:right w:w="100" w:type="dxa"/>
            </w:tcMar>
          </w:tcPr>
          <w:p w14:paraId="2E6A1311" w14:textId="77777777" w:rsidR="00B166C6" w:rsidRDefault="00000000">
            <w:pPr>
              <w:widowControl w:val="0"/>
              <w:pBdr>
                <w:top w:val="nil"/>
                <w:left w:val="nil"/>
                <w:bottom w:val="nil"/>
                <w:right w:val="nil"/>
                <w:between w:val="nil"/>
              </w:pBdr>
              <w:spacing w:line="240" w:lineRule="auto"/>
            </w:pPr>
            <w:r>
              <w:t>86.2</w:t>
            </w:r>
          </w:p>
        </w:tc>
        <w:tc>
          <w:tcPr>
            <w:tcW w:w="2700" w:type="dxa"/>
            <w:shd w:val="clear" w:color="auto" w:fill="auto"/>
            <w:tcMar>
              <w:top w:w="100" w:type="dxa"/>
              <w:left w:w="100" w:type="dxa"/>
              <w:bottom w:w="100" w:type="dxa"/>
              <w:right w:w="100" w:type="dxa"/>
            </w:tcMar>
          </w:tcPr>
          <w:p w14:paraId="366A4AEB" w14:textId="77777777" w:rsidR="00B166C6" w:rsidRDefault="00000000">
            <w:pPr>
              <w:widowControl w:val="0"/>
              <w:pBdr>
                <w:top w:val="nil"/>
                <w:left w:val="nil"/>
                <w:bottom w:val="nil"/>
                <w:right w:val="nil"/>
                <w:between w:val="nil"/>
              </w:pBdr>
              <w:spacing w:line="240" w:lineRule="auto"/>
            </w:pPr>
            <w:r>
              <w:t>82.1</w:t>
            </w:r>
          </w:p>
        </w:tc>
      </w:tr>
      <w:tr w:rsidR="00B166C6" w14:paraId="3FDCE054" w14:textId="77777777">
        <w:tc>
          <w:tcPr>
            <w:tcW w:w="3750" w:type="dxa"/>
            <w:shd w:val="clear" w:color="auto" w:fill="auto"/>
            <w:tcMar>
              <w:top w:w="100" w:type="dxa"/>
              <w:left w:w="100" w:type="dxa"/>
              <w:bottom w:w="100" w:type="dxa"/>
              <w:right w:w="100" w:type="dxa"/>
            </w:tcMar>
          </w:tcPr>
          <w:p w14:paraId="046F6414" w14:textId="77777777" w:rsidR="00B166C6" w:rsidRDefault="00000000">
            <w:pPr>
              <w:spacing w:line="240" w:lineRule="auto"/>
            </w:pPr>
            <w:r>
              <w:t>Mexico</w:t>
            </w:r>
          </w:p>
        </w:tc>
        <w:tc>
          <w:tcPr>
            <w:tcW w:w="2910" w:type="dxa"/>
            <w:shd w:val="clear" w:color="auto" w:fill="auto"/>
            <w:tcMar>
              <w:top w:w="100" w:type="dxa"/>
              <w:left w:w="100" w:type="dxa"/>
              <w:bottom w:w="100" w:type="dxa"/>
              <w:right w:w="100" w:type="dxa"/>
            </w:tcMar>
          </w:tcPr>
          <w:p w14:paraId="405F1700" w14:textId="77777777" w:rsidR="00B166C6" w:rsidRDefault="00000000">
            <w:pPr>
              <w:widowControl w:val="0"/>
              <w:pBdr>
                <w:top w:val="nil"/>
                <w:left w:val="nil"/>
                <w:bottom w:val="nil"/>
                <w:right w:val="nil"/>
                <w:between w:val="nil"/>
              </w:pBdr>
              <w:spacing w:line="240" w:lineRule="auto"/>
            </w:pPr>
            <w:r>
              <w:t>85.9</w:t>
            </w:r>
          </w:p>
        </w:tc>
        <w:tc>
          <w:tcPr>
            <w:tcW w:w="2700" w:type="dxa"/>
            <w:shd w:val="clear" w:color="auto" w:fill="auto"/>
            <w:tcMar>
              <w:top w:w="100" w:type="dxa"/>
              <w:left w:w="100" w:type="dxa"/>
              <w:bottom w:w="100" w:type="dxa"/>
              <w:right w:w="100" w:type="dxa"/>
            </w:tcMar>
          </w:tcPr>
          <w:p w14:paraId="1B023CA2" w14:textId="77777777" w:rsidR="00B166C6" w:rsidRDefault="00000000">
            <w:pPr>
              <w:widowControl w:val="0"/>
              <w:pBdr>
                <w:top w:val="nil"/>
                <w:left w:val="nil"/>
                <w:bottom w:val="nil"/>
                <w:right w:val="nil"/>
                <w:between w:val="nil"/>
              </w:pBdr>
              <w:spacing w:line="240" w:lineRule="auto"/>
            </w:pPr>
            <w:r>
              <w:t>81.9</w:t>
            </w:r>
          </w:p>
        </w:tc>
      </w:tr>
      <w:tr w:rsidR="00B166C6" w14:paraId="67E1F251" w14:textId="77777777">
        <w:tc>
          <w:tcPr>
            <w:tcW w:w="3750" w:type="dxa"/>
            <w:shd w:val="clear" w:color="auto" w:fill="auto"/>
            <w:tcMar>
              <w:top w:w="100" w:type="dxa"/>
              <w:left w:w="100" w:type="dxa"/>
              <w:bottom w:w="100" w:type="dxa"/>
              <w:right w:w="100" w:type="dxa"/>
            </w:tcMar>
          </w:tcPr>
          <w:p w14:paraId="1796C950" w14:textId="77777777" w:rsidR="00B166C6" w:rsidRDefault="00000000">
            <w:pPr>
              <w:spacing w:line="240" w:lineRule="auto"/>
            </w:pPr>
            <w:r>
              <w:t>Brazil</w:t>
            </w:r>
          </w:p>
        </w:tc>
        <w:tc>
          <w:tcPr>
            <w:tcW w:w="2910" w:type="dxa"/>
            <w:shd w:val="clear" w:color="auto" w:fill="auto"/>
            <w:tcMar>
              <w:top w:w="100" w:type="dxa"/>
              <w:left w:w="100" w:type="dxa"/>
              <w:bottom w:w="100" w:type="dxa"/>
              <w:right w:w="100" w:type="dxa"/>
            </w:tcMar>
          </w:tcPr>
          <w:p w14:paraId="0EB5D0E4" w14:textId="77777777" w:rsidR="00B166C6" w:rsidRDefault="00000000">
            <w:pPr>
              <w:widowControl w:val="0"/>
              <w:pBdr>
                <w:top w:val="nil"/>
                <w:left w:val="nil"/>
                <w:bottom w:val="nil"/>
                <w:right w:val="nil"/>
                <w:between w:val="nil"/>
              </w:pBdr>
              <w:spacing w:line="240" w:lineRule="auto"/>
            </w:pPr>
            <w:r>
              <w:t>85.7</w:t>
            </w:r>
          </w:p>
        </w:tc>
        <w:tc>
          <w:tcPr>
            <w:tcW w:w="2700" w:type="dxa"/>
            <w:shd w:val="clear" w:color="auto" w:fill="auto"/>
            <w:tcMar>
              <w:top w:w="100" w:type="dxa"/>
              <w:left w:w="100" w:type="dxa"/>
              <w:bottom w:w="100" w:type="dxa"/>
              <w:right w:w="100" w:type="dxa"/>
            </w:tcMar>
          </w:tcPr>
          <w:p w14:paraId="701B7199" w14:textId="77777777" w:rsidR="00B166C6" w:rsidRDefault="00000000">
            <w:pPr>
              <w:widowControl w:val="0"/>
              <w:pBdr>
                <w:top w:val="nil"/>
                <w:left w:val="nil"/>
                <w:bottom w:val="nil"/>
                <w:right w:val="nil"/>
                <w:between w:val="nil"/>
              </w:pBdr>
              <w:spacing w:line="240" w:lineRule="auto"/>
            </w:pPr>
            <w:r>
              <w:t>81.6</w:t>
            </w:r>
          </w:p>
        </w:tc>
      </w:tr>
      <w:tr w:rsidR="00B166C6" w14:paraId="0459DB1A" w14:textId="77777777">
        <w:tc>
          <w:tcPr>
            <w:tcW w:w="3750" w:type="dxa"/>
            <w:shd w:val="clear" w:color="auto" w:fill="auto"/>
            <w:tcMar>
              <w:top w:w="100" w:type="dxa"/>
              <w:left w:w="100" w:type="dxa"/>
              <w:bottom w:w="100" w:type="dxa"/>
              <w:right w:w="100" w:type="dxa"/>
            </w:tcMar>
          </w:tcPr>
          <w:p w14:paraId="6219F14E" w14:textId="77777777" w:rsidR="00B166C6" w:rsidRDefault="00000000">
            <w:pPr>
              <w:spacing w:line="240" w:lineRule="auto"/>
            </w:pPr>
            <w:r>
              <w:t>India</w:t>
            </w:r>
          </w:p>
        </w:tc>
        <w:tc>
          <w:tcPr>
            <w:tcW w:w="2910" w:type="dxa"/>
            <w:shd w:val="clear" w:color="auto" w:fill="auto"/>
            <w:tcMar>
              <w:top w:w="100" w:type="dxa"/>
              <w:left w:w="100" w:type="dxa"/>
              <w:bottom w:w="100" w:type="dxa"/>
              <w:right w:w="100" w:type="dxa"/>
            </w:tcMar>
          </w:tcPr>
          <w:p w14:paraId="184B1C0C" w14:textId="77777777" w:rsidR="00B166C6" w:rsidRDefault="00000000">
            <w:pPr>
              <w:widowControl w:val="0"/>
              <w:spacing w:line="240" w:lineRule="auto"/>
            </w:pPr>
            <w:r>
              <w:t>85</w:t>
            </w:r>
          </w:p>
        </w:tc>
        <w:tc>
          <w:tcPr>
            <w:tcW w:w="2700" w:type="dxa"/>
            <w:shd w:val="clear" w:color="auto" w:fill="auto"/>
            <w:tcMar>
              <w:top w:w="100" w:type="dxa"/>
              <w:left w:w="100" w:type="dxa"/>
              <w:bottom w:w="100" w:type="dxa"/>
              <w:right w:w="100" w:type="dxa"/>
            </w:tcMar>
          </w:tcPr>
          <w:p w14:paraId="147FC29E" w14:textId="77777777" w:rsidR="00B166C6" w:rsidRDefault="00000000">
            <w:pPr>
              <w:widowControl w:val="0"/>
              <w:spacing w:line="240" w:lineRule="auto"/>
            </w:pPr>
            <w:r>
              <w:t>81</w:t>
            </w:r>
          </w:p>
        </w:tc>
      </w:tr>
      <w:tr w:rsidR="00B166C6" w14:paraId="34A2A5AE" w14:textId="77777777">
        <w:tc>
          <w:tcPr>
            <w:tcW w:w="3750" w:type="dxa"/>
            <w:shd w:val="clear" w:color="auto" w:fill="auto"/>
            <w:tcMar>
              <w:top w:w="100" w:type="dxa"/>
              <w:left w:w="100" w:type="dxa"/>
              <w:bottom w:w="100" w:type="dxa"/>
              <w:right w:w="100" w:type="dxa"/>
            </w:tcMar>
          </w:tcPr>
          <w:p w14:paraId="063734AA" w14:textId="77777777" w:rsidR="00B166C6" w:rsidRDefault="00000000">
            <w:pPr>
              <w:spacing w:line="240" w:lineRule="auto"/>
            </w:pPr>
            <w:r>
              <w:t>Indonasia</w:t>
            </w:r>
          </w:p>
        </w:tc>
        <w:tc>
          <w:tcPr>
            <w:tcW w:w="2910" w:type="dxa"/>
            <w:shd w:val="clear" w:color="auto" w:fill="auto"/>
            <w:tcMar>
              <w:top w:w="100" w:type="dxa"/>
              <w:left w:w="100" w:type="dxa"/>
              <w:bottom w:w="100" w:type="dxa"/>
              <w:right w:w="100" w:type="dxa"/>
            </w:tcMar>
          </w:tcPr>
          <w:p w14:paraId="0EEC046D" w14:textId="77777777" w:rsidR="00B166C6" w:rsidRDefault="00000000">
            <w:pPr>
              <w:widowControl w:val="0"/>
              <w:pBdr>
                <w:top w:val="nil"/>
                <w:left w:val="nil"/>
                <w:bottom w:val="nil"/>
                <w:right w:val="nil"/>
                <w:between w:val="nil"/>
              </w:pBdr>
              <w:spacing w:line="240" w:lineRule="auto"/>
            </w:pPr>
            <w:r>
              <w:t>83</w:t>
            </w:r>
          </w:p>
        </w:tc>
        <w:tc>
          <w:tcPr>
            <w:tcW w:w="2700" w:type="dxa"/>
            <w:shd w:val="clear" w:color="auto" w:fill="auto"/>
            <w:tcMar>
              <w:top w:w="100" w:type="dxa"/>
              <w:left w:w="100" w:type="dxa"/>
              <w:bottom w:w="100" w:type="dxa"/>
              <w:right w:w="100" w:type="dxa"/>
            </w:tcMar>
          </w:tcPr>
          <w:p w14:paraId="0F727296" w14:textId="77777777" w:rsidR="00B166C6" w:rsidRDefault="00000000">
            <w:pPr>
              <w:widowControl w:val="0"/>
              <w:pBdr>
                <w:top w:val="nil"/>
                <w:left w:val="nil"/>
                <w:bottom w:val="nil"/>
                <w:right w:val="nil"/>
                <w:between w:val="nil"/>
              </w:pBdr>
              <w:spacing w:line="240" w:lineRule="auto"/>
            </w:pPr>
            <w:r>
              <w:t>78.9</w:t>
            </w:r>
          </w:p>
        </w:tc>
      </w:tr>
      <w:tr w:rsidR="00B166C6" w14:paraId="7C311CB0" w14:textId="77777777">
        <w:trPr>
          <w:trHeight w:val="420"/>
        </w:trPr>
        <w:tc>
          <w:tcPr>
            <w:tcW w:w="3750" w:type="dxa"/>
            <w:shd w:val="clear" w:color="auto" w:fill="auto"/>
            <w:tcMar>
              <w:top w:w="100" w:type="dxa"/>
              <w:left w:w="100" w:type="dxa"/>
              <w:bottom w:w="100" w:type="dxa"/>
              <w:right w:w="100" w:type="dxa"/>
            </w:tcMar>
          </w:tcPr>
          <w:p w14:paraId="5EBADF19" w14:textId="77777777" w:rsidR="00B166C6" w:rsidRDefault="00000000">
            <w:pPr>
              <w:spacing w:line="240" w:lineRule="auto"/>
            </w:pPr>
            <w:r>
              <w:t>Russian Federation</w:t>
            </w:r>
          </w:p>
        </w:tc>
        <w:tc>
          <w:tcPr>
            <w:tcW w:w="2910" w:type="dxa"/>
            <w:shd w:val="clear" w:color="auto" w:fill="auto"/>
            <w:tcMar>
              <w:top w:w="100" w:type="dxa"/>
              <w:left w:w="100" w:type="dxa"/>
              <w:bottom w:w="100" w:type="dxa"/>
              <w:right w:w="100" w:type="dxa"/>
            </w:tcMar>
          </w:tcPr>
          <w:p w14:paraId="420DA896" w14:textId="77777777" w:rsidR="00B166C6" w:rsidRDefault="00000000">
            <w:pPr>
              <w:widowControl w:val="0"/>
              <w:pBdr>
                <w:top w:val="nil"/>
                <w:left w:val="nil"/>
                <w:bottom w:val="nil"/>
                <w:right w:val="nil"/>
                <w:between w:val="nil"/>
              </w:pBdr>
              <w:spacing w:line="240" w:lineRule="auto"/>
            </w:pPr>
            <w:r>
              <w:t>80.9</w:t>
            </w:r>
          </w:p>
        </w:tc>
        <w:tc>
          <w:tcPr>
            <w:tcW w:w="2700" w:type="dxa"/>
            <w:shd w:val="clear" w:color="auto" w:fill="auto"/>
            <w:tcMar>
              <w:top w:w="100" w:type="dxa"/>
              <w:left w:w="100" w:type="dxa"/>
              <w:bottom w:w="100" w:type="dxa"/>
              <w:right w:w="100" w:type="dxa"/>
            </w:tcMar>
          </w:tcPr>
          <w:p w14:paraId="2109488D" w14:textId="77777777" w:rsidR="00B166C6" w:rsidRDefault="00000000">
            <w:pPr>
              <w:pBdr>
                <w:top w:val="nil"/>
                <w:left w:val="nil"/>
                <w:bottom w:val="nil"/>
                <w:right w:val="nil"/>
                <w:between w:val="nil"/>
              </w:pBdr>
              <w:spacing w:line="240" w:lineRule="auto"/>
            </w:pPr>
            <w:r>
              <w:t>76.8</w:t>
            </w:r>
          </w:p>
        </w:tc>
      </w:tr>
    </w:tbl>
    <w:p w14:paraId="0326997B" w14:textId="77777777" w:rsidR="00B166C6" w:rsidRDefault="00B166C6">
      <w:pPr>
        <w:spacing w:line="240" w:lineRule="auto"/>
      </w:pPr>
    </w:p>
    <w:p w14:paraId="7ADABBCD" w14:textId="77777777" w:rsidR="00B166C6" w:rsidRDefault="00000000">
      <w:pPr>
        <w:spacing w:line="240" w:lineRule="auto"/>
      </w:pPr>
      <w:r>
        <w:rPr>
          <w:rFonts w:ascii="Roboto" w:eastAsia="Roboto" w:hAnsi="Roboto" w:cs="Roboto"/>
          <w:color w:val="374151"/>
          <w:sz w:val="24"/>
          <w:szCs w:val="24"/>
        </w:rPr>
        <w:t xml:space="preserve">In summary, by the year 2030, </w:t>
      </w:r>
      <w:r>
        <w:rPr>
          <w:rFonts w:ascii="Roboto" w:eastAsia="Roboto" w:hAnsi="Roboto" w:cs="Roboto"/>
          <w:color w:val="374151"/>
          <w:sz w:val="24"/>
          <w:szCs w:val="24"/>
          <w:u w:val="single"/>
        </w:rPr>
        <w:t>Japan is projected to boast the highest life expectancy</w:t>
      </w:r>
      <w:r>
        <w:rPr>
          <w:rFonts w:ascii="Roboto" w:eastAsia="Roboto" w:hAnsi="Roboto" w:cs="Roboto"/>
          <w:color w:val="374151"/>
          <w:sz w:val="24"/>
          <w:szCs w:val="24"/>
        </w:rPr>
        <w:t xml:space="preserve">, followed closely by China and France. In contrast, the </w:t>
      </w:r>
      <w:r>
        <w:rPr>
          <w:rFonts w:ascii="Roboto" w:eastAsia="Roboto" w:hAnsi="Roboto" w:cs="Roboto"/>
          <w:color w:val="374151"/>
          <w:sz w:val="24"/>
          <w:szCs w:val="24"/>
          <w:u w:val="single"/>
        </w:rPr>
        <w:t>Russian Federation is anticipated to have the lowest life expectancy</w:t>
      </w:r>
      <w:r>
        <w:rPr>
          <w:rFonts w:ascii="Roboto" w:eastAsia="Roboto" w:hAnsi="Roboto" w:cs="Roboto"/>
          <w:color w:val="374151"/>
          <w:sz w:val="24"/>
          <w:szCs w:val="24"/>
        </w:rPr>
        <w:t>, with India and Indonesia ranking just above in the descending order presented in the table above.</w:t>
      </w:r>
    </w:p>
    <w:p w14:paraId="3463A98D" w14:textId="77777777" w:rsidR="00B166C6" w:rsidRDefault="00B166C6">
      <w:pPr>
        <w:spacing w:line="240" w:lineRule="auto"/>
      </w:pPr>
    </w:p>
    <w:p w14:paraId="6E6C5D36" w14:textId="77777777" w:rsidR="00B166C6" w:rsidRDefault="00B166C6">
      <w:pPr>
        <w:spacing w:line="240" w:lineRule="auto"/>
      </w:pPr>
    </w:p>
    <w:p w14:paraId="4E40DC66" w14:textId="77777777" w:rsidR="00B166C6" w:rsidRDefault="00B166C6">
      <w:pPr>
        <w:spacing w:line="240" w:lineRule="auto"/>
      </w:pPr>
    </w:p>
    <w:p w14:paraId="29541198" w14:textId="77777777" w:rsidR="00B166C6" w:rsidRDefault="00B166C6">
      <w:pPr>
        <w:spacing w:line="240" w:lineRule="auto"/>
      </w:pPr>
    </w:p>
    <w:p w14:paraId="1933B436" w14:textId="77777777" w:rsidR="00B166C6" w:rsidRDefault="00B166C6">
      <w:pPr>
        <w:spacing w:line="240" w:lineRule="auto"/>
      </w:pPr>
    </w:p>
    <w:p w14:paraId="6F9533BC" w14:textId="77777777" w:rsidR="00B166C6" w:rsidRDefault="00B166C6">
      <w:pPr>
        <w:spacing w:line="240" w:lineRule="auto"/>
      </w:pPr>
    </w:p>
    <w:p w14:paraId="49EEB55F" w14:textId="77777777" w:rsidR="00B166C6" w:rsidRDefault="00B166C6">
      <w:pPr>
        <w:spacing w:line="240" w:lineRule="auto"/>
      </w:pPr>
    </w:p>
    <w:p w14:paraId="65B0E3F0" w14:textId="77777777" w:rsidR="00B166C6" w:rsidRDefault="00B166C6">
      <w:pPr>
        <w:spacing w:line="240" w:lineRule="auto"/>
      </w:pPr>
    </w:p>
    <w:p w14:paraId="4E2553A4" w14:textId="77777777" w:rsidR="00B166C6" w:rsidRDefault="00B166C6">
      <w:pPr>
        <w:spacing w:line="240" w:lineRule="auto"/>
      </w:pPr>
    </w:p>
    <w:p w14:paraId="0906922C" w14:textId="77777777" w:rsidR="00B166C6" w:rsidRDefault="00B166C6">
      <w:pPr>
        <w:spacing w:line="240" w:lineRule="auto"/>
      </w:pPr>
    </w:p>
    <w:p w14:paraId="5C22626C" w14:textId="77777777" w:rsidR="00B166C6" w:rsidRDefault="00B166C6">
      <w:pPr>
        <w:spacing w:line="240" w:lineRule="auto"/>
      </w:pPr>
    </w:p>
    <w:p w14:paraId="2E26AB2B" w14:textId="77777777" w:rsidR="00B166C6" w:rsidRDefault="00B166C6">
      <w:pPr>
        <w:spacing w:line="240" w:lineRule="auto"/>
      </w:pPr>
    </w:p>
    <w:p w14:paraId="1C81539C" w14:textId="77777777" w:rsidR="00B166C6" w:rsidRDefault="00B166C6">
      <w:pPr>
        <w:spacing w:line="240" w:lineRule="auto"/>
      </w:pPr>
    </w:p>
    <w:p w14:paraId="287149FC" w14:textId="77777777" w:rsidR="00B166C6" w:rsidRDefault="00B166C6">
      <w:pPr>
        <w:spacing w:line="240" w:lineRule="auto"/>
      </w:pPr>
    </w:p>
    <w:p w14:paraId="1D3018DF" w14:textId="77777777" w:rsidR="00B166C6" w:rsidRDefault="00B166C6">
      <w:pPr>
        <w:spacing w:line="240" w:lineRule="auto"/>
      </w:pPr>
    </w:p>
    <w:p w14:paraId="5936F20F" w14:textId="77777777" w:rsidR="00B166C6" w:rsidRDefault="00B166C6">
      <w:pPr>
        <w:spacing w:line="240" w:lineRule="auto"/>
      </w:pPr>
    </w:p>
    <w:p w14:paraId="2BF11B7E" w14:textId="77777777" w:rsidR="00B166C6" w:rsidRDefault="00B166C6">
      <w:pPr>
        <w:spacing w:line="240" w:lineRule="auto"/>
      </w:pPr>
    </w:p>
    <w:p w14:paraId="5BB875C8" w14:textId="77777777" w:rsidR="00B166C6" w:rsidRDefault="00B166C6">
      <w:pPr>
        <w:spacing w:line="240" w:lineRule="auto"/>
      </w:pPr>
    </w:p>
    <w:p w14:paraId="4E8B5EA9" w14:textId="77777777" w:rsidR="00B166C6" w:rsidRDefault="00B166C6">
      <w:pPr>
        <w:spacing w:line="240" w:lineRule="auto"/>
      </w:pPr>
    </w:p>
    <w:p w14:paraId="53BB4D8A" w14:textId="77777777" w:rsidR="00B166C6" w:rsidRDefault="00B166C6">
      <w:pPr>
        <w:spacing w:line="240" w:lineRule="auto"/>
      </w:pPr>
    </w:p>
    <w:p w14:paraId="539A804C" w14:textId="77777777" w:rsidR="00B166C6" w:rsidRDefault="00B166C6">
      <w:pPr>
        <w:spacing w:line="240" w:lineRule="auto"/>
        <w:rPr>
          <w:color w:val="FF0000"/>
        </w:rPr>
      </w:pPr>
    </w:p>
    <w:p w14:paraId="6938C34A" w14:textId="77777777" w:rsidR="00B166C6" w:rsidRDefault="00B166C6">
      <w:pPr>
        <w:spacing w:line="240" w:lineRule="auto"/>
        <w:rPr>
          <w:color w:val="FF0000"/>
        </w:rPr>
      </w:pPr>
    </w:p>
    <w:p w14:paraId="41A8EC5D" w14:textId="77777777" w:rsidR="00B166C6" w:rsidRDefault="00000000">
      <w:pPr>
        <w:spacing w:line="240" w:lineRule="auto"/>
        <w:rPr>
          <w:color w:val="FF0000"/>
        </w:rPr>
      </w:pPr>
      <w:r>
        <w:rPr>
          <w:color w:val="FF0000"/>
        </w:rPr>
        <w:t>6. Clustering</w:t>
      </w:r>
    </w:p>
    <w:p w14:paraId="088076A4" w14:textId="77777777" w:rsidR="00B166C6" w:rsidRDefault="00000000">
      <w:pPr>
        <w:spacing w:line="240" w:lineRule="auto"/>
        <w:rPr>
          <w:color w:val="FF0000"/>
        </w:rPr>
      </w:pPr>
      <w:r>
        <w:rPr>
          <w:noProof/>
          <w:color w:val="FF0000"/>
        </w:rPr>
        <w:lastRenderedPageBreak/>
        <w:drawing>
          <wp:inline distT="19050" distB="19050" distL="19050" distR="19050" wp14:anchorId="5A66F647" wp14:editId="3B02DCFB">
            <wp:extent cx="6348413" cy="3609657"/>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348413" cy="3609657"/>
                    </a:xfrm>
                    <a:prstGeom prst="rect">
                      <a:avLst/>
                    </a:prstGeom>
                    <a:ln/>
                  </pic:spPr>
                </pic:pic>
              </a:graphicData>
            </a:graphic>
          </wp:inline>
        </w:drawing>
      </w:r>
    </w:p>
    <w:p w14:paraId="435436AA" w14:textId="77777777" w:rsidR="00B166C6" w:rsidRDefault="00000000">
      <w:pPr>
        <w:spacing w:line="240" w:lineRule="auto"/>
        <w:rPr>
          <w:color w:val="FF0000"/>
        </w:rPr>
      </w:pPr>
      <w:r>
        <w:rPr>
          <w:noProof/>
          <w:color w:val="FF0000"/>
        </w:rPr>
        <w:drawing>
          <wp:inline distT="19050" distB="19050" distL="19050" distR="19050" wp14:anchorId="77E46531" wp14:editId="100B0B1B">
            <wp:extent cx="3343275" cy="34718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343275" cy="3471863"/>
                    </a:xfrm>
                    <a:prstGeom prst="rect">
                      <a:avLst/>
                    </a:prstGeom>
                    <a:ln/>
                  </pic:spPr>
                </pic:pic>
              </a:graphicData>
            </a:graphic>
          </wp:inline>
        </w:drawing>
      </w:r>
    </w:p>
    <w:p w14:paraId="10C1DD5F" w14:textId="77777777" w:rsidR="00B166C6" w:rsidRDefault="00B166C6">
      <w:pPr>
        <w:spacing w:line="240" w:lineRule="auto"/>
        <w:rPr>
          <w:color w:val="FF0000"/>
        </w:rPr>
      </w:pPr>
    </w:p>
    <w:p w14:paraId="78562F2B" w14:textId="77777777" w:rsidR="00B166C6" w:rsidRDefault="00B166C6">
      <w:pPr>
        <w:spacing w:line="240" w:lineRule="auto"/>
        <w:rPr>
          <w:color w:val="FF0000"/>
        </w:rPr>
      </w:pPr>
    </w:p>
    <w:p w14:paraId="1D5C8487" w14:textId="77777777" w:rsidR="00B166C6" w:rsidRDefault="00B166C6">
      <w:pPr>
        <w:spacing w:line="240" w:lineRule="auto"/>
        <w:rPr>
          <w:color w:val="FF0000"/>
        </w:rPr>
      </w:pPr>
    </w:p>
    <w:tbl>
      <w:tblPr>
        <w:tblStyle w:val="a0"/>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810"/>
        <w:gridCol w:w="4080"/>
      </w:tblGrid>
      <w:tr w:rsidR="00B166C6" w14:paraId="3EB8E846" w14:textId="77777777">
        <w:tc>
          <w:tcPr>
            <w:tcW w:w="1485"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tcPr>
          <w:p w14:paraId="0154E4EC" w14:textId="77777777" w:rsidR="00B166C6" w:rsidRDefault="00000000">
            <w:pPr>
              <w:widowControl w:val="0"/>
              <w:spacing w:line="240" w:lineRule="auto"/>
              <w:rPr>
                <w:b/>
              </w:rPr>
            </w:pPr>
            <w:r>
              <w:rPr>
                <w:b/>
              </w:rPr>
              <w:t>Named Cluster</w:t>
            </w:r>
          </w:p>
        </w:tc>
        <w:tc>
          <w:tcPr>
            <w:tcW w:w="3810"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tcPr>
          <w:p w14:paraId="30DED5DA" w14:textId="77777777" w:rsidR="00B166C6" w:rsidRDefault="00000000">
            <w:pPr>
              <w:widowControl w:val="0"/>
              <w:spacing w:line="240" w:lineRule="auto"/>
              <w:rPr>
                <w:b/>
              </w:rPr>
            </w:pPr>
            <w:r>
              <w:rPr>
                <w:b/>
              </w:rPr>
              <w:t xml:space="preserve">Countries </w:t>
            </w:r>
          </w:p>
          <w:p w14:paraId="6FBED4CD" w14:textId="77777777" w:rsidR="00B166C6" w:rsidRDefault="00000000">
            <w:pPr>
              <w:widowControl w:val="0"/>
              <w:spacing w:line="240" w:lineRule="auto"/>
              <w:rPr>
                <w:b/>
                <w:color w:val="0000FF"/>
                <w:sz w:val="18"/>
                <w:szCs w:val="18"/>
              </w:rPr>
            </w:pPr>
            <w:r>
              <w:rPr>
                <w:b/>
                <w:color w:val="0000FF"/>
                <w:sz w:val="18"/>
                <w:szCs w:val="18"/>
              </w:rPr>
              <w:t>Differentiated Non-Communicable Disease</w:t>
            </w:r>
          </w:p>
        </w:tc>
        <w:tc>
          <w:tcPr>
            <w:tcW w:w="4080" w:type="dxa"/>
            <w:tcBorders>
              <w:top w:val="single" w:sz="8" w:space="0" w:color="000000"/>
              <w:left w:val="single" w:sz="8" w:space="0" w:color="000000"/>
              <w:bottom w:val="single" w:sz="8" w:space="0" w:color="000000"/>
              <w:right w:val="single" w:sz="8" w:space="0" w:color="000000"/>
            </w:tcBorders>
            <w:shd w:val="clear" w:color="auto" w:fill="F3F3F3"/>
            <w:tcMar>
              <w:top w:w="140" w:type="dxa"/>
              <w:left w:w="140" w:type="dxa"/>
              <w:bottom w:w="140" w:type="dxa"/>
              <w:right w:w="140" w:type="dxa"/>
            </w:tcMar>
          </w:tcPr>
          <w:p w14:paraId="06F6A231" w14:textId="77777777" w:rsidR="00B166C6" w:rsidRDefault="00000000">
            <w:pPr>
              <w:widowControl w:val="0"/>
              <w:spacing w:line="240" w:lineRule="auto"/>
              <w:rPr>
                <w:b/>
              </w:rPr>
            </w:pPr>
            <w:r>
              <w:rPr>
                <w:b/>
              </w:rPr>
              <w:t>Description</w:t>
            </w:r>
          </w:p>
        </w:tc>
      </w:tr>
      <w:tr w:rsidR="00B166C6" w14:paraId="29A6FAE4" w14:textId="77777777">
        <w:tc>
          <w:tcPr>
            <w:tcW w:w="1485" w:type="dxa"/>
            <w:tcBorders>
              <w:top w:val="single" w:sz="8" w:space="0" w:color="000000"/>
              <w:left w:val="single" w:sz="8" w:space="0" w:color="000000"/>
              <w:bottom w:val="single" w:sz="8" w:space="0" w:color="000000"/>
              <w:right w:val="single" w:sz="8" w:space="0" w:color="000000"/>
            </w:tcBorders>
            <w:shd w:val="clear" w:color="auto" w:fill="D0E0E3"/>
            <w:tcMar>
              <w:top w:w="140" w:type="dxa"/>
              <w:left w:w="140" w:type="dxa"/>
              <w:bottom w:w="140" w:type="dxa"/>
              <w:right w:w="140" w:type="dxa"/>
            </w:tcMar>
          </w:tcPr>
          <w:p w14:paraId="56B3A14A" w14:textId="77777777" w:rsidR="00B166C6" w:rsidRDefault="00000000">
            <w:pPr>
              <w:widowControl w:val="0"/>
              <w:spacing w:line="240" w:lineRule="auto"/>
              <w:rPr>
                <w:b/>
                <w:i/>
                <w:sz w:val="18"/>
                <w:szCs w:val="18"/>
              </w:rPr>
            </w:pPr>
            <w:r>
              <w:rPr>
                <w:b/>
                <w:i/>
                <w:sz w:val="18"/>
                <w:szCs w:val="18"/>
              </w:rPr>
              <w:lastRenderedPageBreak/>
              <w:t>First World</w:t>
            </w:r>
          </w:p>
          <w:p w14:paraId="443F883F" w14:textId="77777777" w:rsidR="00B166C6" w:rsidRDefault="00B166C6">
            <w:pPr>
              <w:widowControl w:val="0"/>
              <w:spacing w:line="240" w:lineRule="auto"/>
              <w:rPr>
                <w:b/>
                <w:sz w:val="18"/>
                <w:szCs w:val="18"/>
              </w:rPr>
            </w:pPr>
          </w:p>
        </w:tc>
        <w:tc>
          <w:tcPr>
            <w:tcW w:w="38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545AB619" w14:textId="77777777" w:rsidR="00B166C6" w:rsidRDefault="00000000">
            <w:pPr>
              <w:widowControl w:val="0"/>
              <w:spacing w:line="240" w:lineRule="auto"/>
            </w:pPr>
            <w:r>
              <w:t>France, Germany, Japan, UK, USA</w:t>
            </w:r>
          </w:p>
          <w:p w14:paraId="3708B56C" w14:textId="77777777" w:rsidR="00B166C6" w:rsidRDefault="00000000">
            <w:pPr>
              <w:widowControl w:val="0"/>
              <w:spacing w:line="240" w:lineRule="auto"/>
              <w:rPr>
                <w:b/>
                <w:color w:val="0000FF"/>
                <w:sz w:val="18"/>
                <w:szCs w:val="18"/>
              </w:rPr>
            </w:pPr>
            <w:r>
              <w:rPr>
                <w:b/>
                <w:i/>
                <w:color w:val="0000FF"/>
                <w:sz w:val="18"/>
                <w:szCs w:val="18"/>
              </w:rPr>
              <w:t>Non-communicable Cause of Death: Cancer</w:t>
            </w:r>
          </w:p>
          <w:p w14:paraId="6424CFFE" w14:textId="77777777" w:rsidR="00B166C6" w:rsidRDefault="00000000">
            <w:pPr>
              <w:widowControl w:val="0"/>
              <w:numPr>
                <w:ilvl w:val="0"/>
                <w:numId w:val="10"/>
              </w:numPr>
              <w:spacing w:before="220"/>
              <w:rPr>
                <w:color w:val="0000FF"/>
                <w:sz w:val="18"/>
                <w:szCs w:val="18"/>
              </w:rPr>
            </w:pPr>
            <w:r>
              <w:rPr>
                <w:color w:val="0000FF"/>
                <w:sz w:val="18"/>
                <w:szCs w:val="18"/>
              </w:rPr>
              <w:t>Advanced healthcare infrastructure and technology lead to better detection and reporting of cancer cases.</w:t>
            </w:r>
          </w:p>
          <w:p w14:paraId="734C225B" w14:textId="77777777" w:rsidR="00B166C6" w:rsidRDefault="00000000">
            <w:pPr>
              <w:widowControl w:val="0"/>
              <w:numPr>
                <w:ilvl w:val="0"/>
                <w:numId w:val="10"/>
              </w:numPr>
              <w:rPr>
                <w:color w:val="0000FF"/>
                <w:sz w:val="18"/>
                <w:szCs w:val="18"/>
              </w:rPr>
            </w:pPr>
            <w:r>
              <w:rPr>
                <w:color w:val="0000FF"/>
                <w:sz w:val="18"/>
                <w:szCs w:val="18"/>
              </w:rPr>
              <w:t>Longer life expectancy increases the likelihood of developing cancer over a lifetime.</w:t>
            </w:r>
          </w:p>
          <w:p w14:paraId="4ACEEA27" w14:textId="77777777" w:rsidR="00B166C6" w:rsidRDefault="00000000">
            <w:pPr>
              <w:widowControl w:val="0"/>
              <w:numPr>
                <w:ilvl w:val="0"/>
                <w:numId w:val="10"/>
              </w:numPr>
              <w:spacing w:after="140"/>
              <w:rPr>
                <w:color w:val="0000FF"/>
                <w:sz w:val="18"/>
                <w:szCs w:val="18"/>
              </w:rPr>
            </w:pPr>
            <w:r>
              <w:rPr>
                <w:color w:val="0000FF"/>
                <w:sz w:val="18"/>
                <w:szCs w:val="18"/>
              </w:rPr>
              <w:t>Lifestyle factors such as diet and environmental exposures might contribute to cancer incidence.</w:t>
            </w:r>
          </w:p>
        </w:tc>
        <w:tc>
          <w:tcPr>
            <w:tcW w:w="408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EF9C5FC" w14:textId="77777777" w:rsidR="00B166C6" w:rsidRDefault="00000000">
            <w:pPr>
              <w:widowControl w:val="0"/>
              <w:spacing w:before="220" w:after="140"/>
              <w:rPr>
                <w:sz w:val="20"/>
                <w:szCs w:val="20"/>
              </w:rPr>
            </w:pPr>
            <w:r>
              <w:rPr>
                <w:sz w:val="20"/>
                <w:szCs w:val="20"/>
              </w:rPr>
              <w:t>Higher life expectancy (ex), lower age-specific death rates (nMx).</w:t>
            </w:r>
          </w:p>
          <w:p w14:paraId="4F2D635C" w14:textId="77777777" w:rsidR="00B166C6" w:rsidRDefault="00000000">
            <w:pPr>
              <w:widowControl w:val="0"/>
              <w:spacing w:before="220" w:after="140"/>
              <w:rPr>
                <w:sz w:val="20"/>
                <w:szCs w:val="20"/>
              </w:rPr>
            </w:pPr>
            <w:r>
              <w:rPr>
                <w:sz w:val="20"/>
                <w:szCs w:val="20"/>
              </w:rPr>
              <w:t>Higher GDP and possibly positive GDP change.</w:t>
            </w:r>
          </w:p>
          <w:p w14:paraId="1B49A235" w14:textId="77777777" w:rsidR="00B166C6" w:rsidRDefault="00000000">
            <w:pPr>
              <w:widowControl w:val="0"/>
              <w:spacing w:before="220" w:after="140"/>
              <w:rPr>
                <w:sz w:val="20"/>
                <w:szCs w:val="20"/>
              </w:rPr>
            </w:pPr>
            <w:r>
              <w:rPr>
                <w:sz w:val="20"/>
                <w:szCs w:val="20"/>
              </w:rPr>
              <w:t>Lower values in health-related factors (e.g., cardiovascular diseases, diabetes, malignant neoplasms, respiratory diseases).</w:t>
            </w:r>
          </w:p>
          <w:p w14:paraId="72E0804D" w14:textId="77777777" w:rsidR="00B166C6" w:rsidRDefault="00000000">
            <w:pPr>
              <w:widowControl w:val="0"/>
              <w:spacing w:before="220" w:after="140"/>
              <w:rPr>
                <w:sz w:val="20"/>
                <w:szCs w:val="20"/>
              </w:rPr>
            </w:pPr>
            <w:r>
              <w:rPr>
                <w:sz w:val="20"/>
                <w:szCs w:val="20"/>
              </w:rPr>
              <w:t>Generally more developed and healthier economies.</w:t>
            </w:r>
          </w:p>
        </w:tc>
      </w:tr>
      <w:tr w:rsidR="00B166C6" w14:paraId="67D2AC16" w14:textId="77777777">
        <w:tc>
          <w:tcPr>
            <w:tcW w:w="1485" w:type="dxa"/>
            <w:tcBorders>
              <w:top w:val="single" w:sz="8" w:space="0" w:color="000000"/>
              <w:left w:val="single" w:sz="8" w:space="0" w:color="000000"/>
              <w:bottom w:val="single" w:sz="8" w:space="0" w:color="000000"/>
              <w:right w:val="single" w:sz="8" w:space="0" w:color="000000"/>
            </w:tcBorders>
            <w:shd w:val="clear" w:color="auto" w:fill="D0E0E3"/>
            <w:tcMar>
              <w:top w:w="140" w:type="dxa"/>
              <w:left w:w="140" w:type="dxa"/>
              <w:bottom w:w="140" w:type="dxa"/>
              <w:right w:w="140" w:type="dxa"/>
            </w:tcMar>
          </w:tcPr>
          <w:p w14:paraId="05F3CC7B" w14:textId="77777777" w:rsidR="00B166C6" w:rsidRDefault="00000000">
            <w:pPr>
              <w:widowControl w:val="0"/>
              <w:spacing w:line="240" w:lineRule="auto"/>
              <w:rPr>
                <w:b/>
                <w:sz w:val="18"/>
                <w:szCs w:val="18"/>
              </w:rPr>
            </w:pPr>
            <w:r>
              <w:rPr>
                <w:b/>
                <w:i/>
                <w:sz w:val="18"/>
                <w:szCs w:val="18"/>
              </w:rPr>
              <w:t>Mid-Tier</w:t>
            </w:r>
          </w:p>
        </w:tc>
        <w:tc>
          <w:tcPr>
            <w:tcW w:w="38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4F84161" w14:textId="77777777" w:rsidR="00B166C6" w:rsidRDefault="00000000">
            <w:pPr>
              <w:widowControl w:val="0"/>
              <w:rPr>
                <w:highlight w:val="white"/>
              </w:rPr>
            </w:pPr>
            <w:r>
              <w:t>Brazil, Indonesia, Mexico</w:t>
            </w:r>
          </w:p>
          <w:p w14:paraId="72F11701" w14:textId="77777777" w:rsidR="00B166C6" w:rsidRDefault="00000000">
            <w:pPr>
              <w:widowControl w:val="0"/>
              <w:spacing w:line="240" w:lineRule="auto"/>
              <w:rPr>
                <w:b/>
                <w:i/>
                <w:color w:val="0000FF"/>
                <w:sz w:val="18"/>
                <w:szCs w:val="18"/>
              </w:rPr>
            </w:pPr>
            <w:r>
              <w:rPr>
                <w:b/>
                <w:i/>
                <w:color w:val="0000FF"/>
                <w:sz w:val="18"/>
                <w:szCs w:val="18"/>
              </w:rPr>
              <w:t>Non Non-communicable cause of Death: Diabetes</w:t>
            </w:r>
          </w:p>
          <w:p w14:paraId="260C6971" w14:textId="77777777" w:rsidR="00B166C6" w:rsidRDefault="00000000">
            <w:pPr>
              <w:widowControl w:val="0"/>
              <w:numPr>
                <w:ilvl w:val="0"/>
                <w:numId w:val="4"/>
              </w:numPr>
              <w:spacing w:before="220"/>
              <w:rPr>
                <w:color w:val="0000FF"/>
                <w:sz w:val="18"/>
                <w:szCs w:val="18"/>
              </w:rPr>
            </w:pPr>
            <w:r>
              <w:rPr>
                <w:color w:val="0000FF"/>
                <w:sz w:val="18"/>
                <w:szCs w:val="18"/>
              </w:rPr>
              <w:t>Economic conditions may lead to dietary patterns that are conducive to diabetes.</w:t>
            </w:r>
          </w:p>
          <w:p w14:paraId="4535D311" w14:textId="77777777" w:rsidR="00B166C6" w:rsidRDefault="00000000">
            <w:pPr>
              <w:widowControl w:val="0"/>
              <w:numPr>
                <w:ilvl w:val="0"/>
                <w:numId w:val="4"/>
              </w:numPr>
              <w:rPr>
                <w:color w:val="0000FF"/>
                <w:sz w:val="18"/>
                <w:szCs w:val="18"/>
              </w:rPr>
            </w:pPr>
            <w:r>
              <w:rPr>
                <w:color w:val="0000FF"/>
                <w:sz w:val="18"/>
                <w:szCs w:val="18"/>
              </w:rPr>
              <w:t>Limited access to healthcare facilities and education on preventive measures for diabetes.</w:t>
            </w:r>
          </w:p>
          <w:p w14:paraId="3CEF03CD" w14:textId="77777777" w:rsidR="00B166C6" w:rsidRDefault="00000000">
            <w:pPr>
              <w:widowControl w:val="0"/>
              <w:numPr>
                <w:ilvl w:val="0"/>
                <w:numId w:val="4"/>
              </w:numPr>
              <w:spacing w:after="140"/>
              <w:rPr>
                <w:color w:val="0000FF"/>
                <w:sz w:val="18"/>
                <w:szCs w:val="18"/>
              </w:rPr>
            </w:pPr>
            <w:r>
              <w:rPr>
                <w:color w:val="0000FF"/>
                <w:sz w:val="18"/>
                <w:szCs w:val="18"/>
              </w:rPr>
              <w:t>A potentially younger population with less emphasis on preventive health measures.</w:t>
            </w:r>
          </w:p>
        </w:tc>
        <w:tc>
          <w:tcPr>
            <w:tcW w:w="408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38719408" w14:textId="77777777" w:rsidR="00B166C6" w:rsidRDefault="00000000">
            <w:pPr>
              <w:widowControl w:val="0"/>
              <w:spacing w:before="220" w:after="140"/>
              <w:rPr>
                <w:sz w:val="20"/>
                <w:szCs w:val="20"/>
              </w:rPr>
            </w:pPr>
            <w:r>
              <w:rPr>
                <w:sz w:val="20"/>
                <w:szCs w:val="20"/>
              </w:rPr>
              <w:t>Lower life expectancy, higher age-specific death rates.</w:t>
            </w:r>
          </w:p>
          <w:p w14:paraId="7848D876" w14:textId="77777777" w:rsidR="00B166C6" w:rsidRDefault="00000000">
            <w:pPr>
              <w:widowControl w:val="0"/>
              <w:spacing w:before="220" w:after="140"/>
              <w:rPr>
                <w:sz w:val="20"/>
                <w:szCs w:val="20"/>
              </w:rPr>
            </w:pPr>
            <w:r>
              <w:rPr>
                <w:sz w:val="20"/>
                <w:szCs w:val="20"/>
              </w:rPr>
              <w:t>Lower GDP and possibly negative GDP change.</w:t>
            </w:r>
          </w:p>
          <w:p w14:paraId="1DA513BE" w14:textId="77777777" w:rsidR="00B166C6" w:rsidRDefault="00000000">
            <w:pPr>
              <w:widowControl w:val="0"/>
              <w:spacing w:before="220" w:after="140"/>
              <w:rPr>
                <w:sz w:val="20"/>
                <w:szCs w:val="20"/>
              </w:rPr>
            </w:pPr>
            <w:r>
              <w:rPr>
                <w:sz w:val="20"/>
                <w:szCs w:val="20"/>
              </w:rPr>
              <w:t>Possibly higher values in health-related factors.</w:t>
            </w:r>
          </w:p>
          <w:p w14:paraId="60F310A6" w14:textId="77777777" w:rsidR="00B166C6" w:rsidRDefault="00000000">
            <w:pPr>
              <w:widowControl w:val="0"/>
              <w:spacing w:before="220" w:after="140"/>
              <w:rPr>
                <w:sz w:val="20"/>
                <w:szCs w:val="20"/>
              </w:rPr>
            </w:pPr>
            <w:r>
              <w:rPr>
                <w:sz w:val="20"/>
                <w:szCs w:val="20"/>
              </w:rPr>
              <w:t>Potentially representing less developed economies with health challenges.</w:t>
            </w:r>
          </w:p>
        </w:tc>
      </w:tr>
      <w:tr w:rsidR="00B166C6" w14:paraId="57FAFCED" w14:textId="77777777">
        <w:tc>
          <w:tcPr>
            <w:tcW w:w="1485" w:type="dxa"/>
            <w:tcBorders>
              <w:top w:val="single" w:sz="8" w:space="0" w:color="000000"/>
              <w:left w:val="single" w:sz="8" w:space="0" w:color="000000"/>
              <w:bottom w:val="single" w:sz="8" w:space="0" w:color="000000"/>
              <w:right w:val="single" w:sz="8" w:space="0" w:color="000000"/>
            </w:tcBorders>
            <w:shd w:val="clear" w:color="auto" w:fill="D0E0E3"/>
            <w:tcMar>
              <w:top w:w="140" w:type="dxa"/>
              <w:left w:w="140" w:type="dxa"/>
              <w:bottom w:w="140" w:type="dxa"/>
              <w:right w:w="140" w:type="dxa"/>
            </w:tcMar>
          </w:tcPr>
          <w:p w14:paraId="1820A488" w14:textId="77777777" w:rsidR="00B166C6" w:rsidRDefault="00000000">
            <w:pPr>
              <w:widowControl w:val="0"/>
              <w:spacing w:line="240" w:lineRule="auto"/>
              <w:rPr>
                <w:b/>
                <w:i/>
                <w:sz w:val="18"/>
                <w:szCs w:val="18"/>
              </w:rPr>
            </w:pPr>
            <w:r>
              <w:rPr>
                <w:b/>
                <w:i/>
                <w:sz w:val="18"/>
                <w:szCs w:val="18"/>
              </w:rPr>
              <w:t>Emerging Superpowers</w:t>
            </w:r>
          </w:p>
          <w:p w14:paraId="3754B565" w14:textId="77777777" w:rsidR="00B166C6" w:rsidRDefault="00B166C6">
            <w:pPr>
              <w:widowControl w:val="0"/>
              <w:spacing w:line="240" w:lineRule="auto"/>
              <w:rPr>
                <w:b/>
                <w:sz w:val="18"/>
                <w:szCs w:val="18"/>
              </w:rPr>
            </w:pPr>
          </w:p>
        </w:tc>
        <w:tc>
          <w:tcPr>
            <w:tcW w:w="38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47BFC22D" w14:textId="77777777" w:rsidR="00B166C6" w:rsidRDefault="00000000">
            <w:pPr>
              <w:widowControl w:val="0"/>
              <w:spacing w:line="240" w:lineRule="auto"/>
            </w:pPr>
            <w:r>
              <w:t>China, India</w:t>
            </w:r>
          </w:p>
          <w:p w14:paraId="22891410" w14:textId="77777777" w:rsidR="00B166C6" w:rsidRDefault="00000000">
            <w:pPr>
              <w:widowControl w:val="0"/>
              <w:spacing w:line="240" w:lineRule="auto"/>
              <w:rPr>
                <w:b/>
                <w:i/>
                <w:color w:val="0000FF"/>
                <w:sz w:val="18"/>
                <w:szCs w:val="18"/>
              </w:rPr>
            </w:pPr>
            <w:r>
              <w:rPr>
                <w:b/>
                <w:i/>
                <w:color w:val="0000FF"/>
                <w:sz w:val="18"/>
                <w:szCs w:val="18"/>
              </w:rPr>
              <w:t>Non-communicable Cause of Death: Respiratory Disease</w:t>
            </w:r>
          </w:p>
          <w:p w14:paraId="7FD369DF" w14:textId="77777777" w:rsidR="00B166C6" w:rsidRDefault="00000000">
            <w:pPr>
              <w:widowControl w:val="0"/>
              <w:numPr>
                <w:ilvl w:val="0"/>
                <w:numId w:val="11"/>
              </w:numPr>
              <w:spacing w:before="220"/>
              <w:rPr>
                <w:color w:val="0000FF"/>
                <w:sz w:val="18"/>
                <w:szCs w:val="18"/>
              </w:rPr>
            </w:pPr>
            <w:r>
              <w:rPr>
                <w:color w:val="0000FF"/>
                <w:sz w:val="18"/>
                <w:szCs w:val="18"/>
              </w:rPr>
              <w:t>Rapid industrialization and urbanization may lead to increased air pollution, contributing to respiratory diseases.</w:t>
            </w:r>
          </w:p>
          <w:p w14:paraId="6C919BD3" w14:textId="77777777" w:rsidR="00B166C6" w:rsidRDefault="00000000">
            <w:pPr>
              <w:widowControl w:val="0"/>
              <w:numPr>
                <w:ilvl w:val="0"/>
                <w:numId w:val="11"/>
              </w:numPr>
              <w:rPr>
                <w:color w:val="0000FF"/>
                <w:sz w:val="18"/>
                <w:szCs w:val="18"/>
              </w:rPr>
            </w:pPr>
            <w:r>
              <w:rPr>
                <w:color w:val="0000FF"/>
                <w:sz w:val="18"/>
                <w:szCs w:val="18"/>
              </w:rPr>
              <w:t>Occupational hazards in emerging industries might expose people to respiratory risks.</w:t>
            </w:r>
          </w:p>
          <w:p w14:paraId="2913EB9C" w14:textId="77777777" w:rsidR="00B166C6" w:rsidRDefault="00000000">
            <w:pPr>
              <w:widowControl w:val="0"/>
              <w:numPr>
                <w:ilvl w:val="0"/>
                <w:numId w:val="11"/>
              </w:numPr>
              <w:spacing w:after="140"/>
              <w:rPr>
                <w:color w:val="0000FF"/>
                <w:sz w:val="18"/>
                <w:szCs w:val="18"/>
              </w:rPr>
            </w:pPr>
            <w:r>
              <w:rPr>
                <w:color w:val="0000FF"/>
                <w:sz w:val="18"/>
                <w:szCs w:val="18"/>
              </w:rPr>
              <w:t>Growing urban populations may be living in crowded conditions, increasing the transmission of respiratory infections.</w:t>
            </w:r>
          </w:p>
        </w:tc>
        <w:tc>
          <w:tcPr>
            <w:tcW w:w="408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C42802F" w14:textId="77777777" w:rsidR="00B166C6" w:rsidRDefault="00000000">
            <w:pPr>
              <w:widowControl w:val="0"/>
              <w:spacing w:before="220" w:after="140"/>
              <w:rPr>
                <w:sz w:val="20"/>
                <w:szCs w:val="20"/>
              </w:rPr>
            </w:pPr>
            <w:r>
              <w:rPr>
                <w:sz w:val="20"/>
                <w:szCs w:val="20"/>
              </w:rPr>
              <w:t>Values in between Cluster First-World and Cluster Mid-Tier for life expectancy and age-specific death rates.</w:t>
            </w:r>
          </w:p>
          <w:p w14:paraId="1E3C73FA" w14:textId="77777777" w:rsidR="00B166C6" w:rsidRDefault="00000000">
            <w:pPr>
              <w:widowControl w:val="0"/>
              <w:spacing w:before="220" w:after="140"/>
              <w:rPr>
                <w:sz w:val="20"/>
                <w:szCs w:val="20"/>
              </w:rPr>
            </w:pPr>
            <w:r>
              <w:rPr>
                <w:sz w:val="20"/>
                <w:szCs w:val="20"/>
              </w:rPr>
              <w:t>Moderate GDP and GDP change.</w:t>
            </w:r>
          </w:p>
          <w:p w14:paraId="1039FCB0" w14:textId="77777777" w:rsidR="00B166C6" w:rsidRDefault="00000000">
            <w:pPr>
              <w:widowControl w:val="0"/>
              <w:spacing w:before="220" w:after="140"/>
              <w:rPr>
                <w:sz w:val="20"/>
                <w:szCs w:val="20"/>
              </w:rPr>
            </w:pPr>
            <w:r>
              <w:rPr>
                <w:sz w:val="20"/>
                <w:szCs w:val="20"/>
              </w:rPr>
              <w:t>Health-related factors may vary but tend to be more moderate compared to Cluster Mid-Tier.</w:t>
            </w:r>
          </w:p>
          <w:p w14:paraId="1B9FAEA0" w14:textId="77777777" w:rsidR="00B166C6" w:rsidRDefault="00000000">
            <w:pPr>
              <w:widowControl w:val="0"/>
              <w:spacing w:before="220" w:after="140"/>
              <w:rPr>
                <w:sz w:val="20"/>
                <w:szCs w:val="20"/>
              </w:rPr>
            </w:pPr>
            <w:r>
              <w:rPr>
                <w:sz w:val="20"/>
                <w:szCs w:val="20"/>
              </w:rPr>
              <w:t>Represents countries with intermediate levels of development and health indicators.</w:t>
            </w:r>
          </w:p>
        </w:tc>
      </w:tr>
      <w:tr w:rsidR="00B166C6" w14:paraId="67A73B36" w14:textId="77777777">
        <w:tc>
          <w:tcPr>
            <w:tcW w:w="1485" w:type="dxa"/>
            <w:tcBorders>
              <w:top w:val="single" w:sz="8" w:space="0" w:color="000000"/>
              <w:left w:val="single" w:sz="8" w:space="0" w:color="000000"/>
              <w:bottom w:val="single" w:sz="8" w:space="0" w:color="000000"/>
              <w:right w:val="single" w:sz="8" w:space="0" w:color="000000"/>
            </w:tcBorders>
            <w:shd w:val="clear" w:color="auto" w:fill="D0E0E3"/>
            <w:tcMar>
              <w:top w:w="140" w:type="dxa"/>
              <w:left w:w="140" w:type="dxa"/>
              <w:bottom w:w="140" w:type="dxa"/>
              <w:right w:w="140" w:type="dxa"/>
            </w:tcMar>
          </w:tcPr>
          <w:p w14:paraId="52C5F0E7" w14:textId="77777777" w:rsidR="00B166C6" w:rsidRDefault="00000000">
            <w:pPr>
              <w:widowControl w:val="0"/>
              <w:spacing w:line="240" w:lineRule="auto"/>
              <w:rPr>
                <w:b/>
                <w:sz w:val="18"/>
                <w:szCs w:val="18"/>
              </w:rPr>
            </w:pPr>
            <w:r>
              <w:rPr>
                <w:b/>
                <w:sz w:val="18"/>
                <w:szCs w:val="18"/>
              </w:rPr>
              <w:t>Cold War Superpower</w:t>
            </w:r>
          </w:p>
        </w:tc>
        <w:tc>
          <w:tcPr>
            <w:tcW w:w="381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EB7C1D6" w14:textId="77777777" w:rsidR="00B166C6" w:rsidRDefault="00000000">
            <w:pPr>
              <w:widowControl w:val="0"/>
              <w:spacing w:line="240" w:lineRule="auto"/>
            </w:pPr>
            <w:r>
              <w:t>Russia</w:t>
            </w:r>
          </w:p>
          <w:p w14:paraId="3A93E225" w14:textId="77777777" w:rsidR="00B166C6" w:rsidRDefault="00000000">
            <w:pPr>
              <w:widowControl w:val="0"/>
              <w:spacing w:line="240" w:lineRule="auto"/>
              <w:rPr>
                <w:b/>
                <w:i/>
                <w:color w:val="0000FF"/>
                <w:sz w:val="18"/>
                <w:szCs w:val="18"/>
              </w:rPr>
            </w:pPr>
            <w:r>
              <w:rPr>
                <w:b/>
                <w:i/>
                <w:color w:val="0000FF"/>
                <w:sz w:val="18"/>
                <w:szCs w:val="18"/>
              </w:rPr>
              <w:t>Non-Communicable Cause of Death: Heart Disease</w:t>
            </w:r>
          </w:p>
          <w:p w14:paraId="56577025" w14:textId="77777777" w:rsidR="00B166C6" w:rsidRDefault="00000000">
            <w:pPr>
              <w:widowControl w:val="0"/>
              <w:numPr>
                <w:ilvl w:val="0"/>
                <w:numId w:val="7"/>
              </w:numPr>
              <w:spacing w:before="220"/>
              <w:rPr>
                <w:color w:val="0000FF"/>
                <w:sz w:val="18"/>
                <w:szCs w:val="18"/>
              </w:rPr>
            </w:pPr>
            <w:r>
              <w:rPr>
                <w:color w:val="0000FF"/>
                <w:sz w:val="18"/>
                <w:szCs w:val="18"/>
              </w:rPr>
              <w:lastRenderedPageBreak/>
              <w:t>Historical lifestyle factors, such as diet and stress, could contribute to cardiovascular issues.</w:t>
            </w:r>
          </w:p>
          <w:p w14:paraId="737618F3" w14:textId="77777777" w:rsidR="00B166C6" w:rsidRDefault="00000000">
            <w:pPr>
              <w:widowControl w:val="0"/>
              <w:numPr>
                <w:ilvl w:val="0"/>
                <w:numId w:val="7"/>
              </w:numPr>
              <w:rPr>
                <w:color w:val="0000FF"/>
                <w:sz w:val="18"/>
                <w:szCs w:val="18"/>
              </w:rPr>
            </w:pPr>
            <w:r>
              <w:rPr>
                <w:color w:val="0000FF"/>
                <w:sz w:val="18"/>
                <w:szCs w:val="18"/>
              </w:rPr>
              <w:t>Economic challenges may limit access to healthcare services, impacting cardiovascular disease prevention and management.</w:t>
            </w:r>
          </w:p>
          <w:p w14:paraId="14A8167E" w14:textId="77777777" w:rsidR="00B166C6" w:rsidRDefault="00000000">
            <w:pPr>
              <w:widowControl w:val="0"/>
              <w:numPr>
                <w:ilvl w:val="0"/>
                <w:numId w:val="7"/>
              </w:numPr>
              <w:spacing w:after="140"/>
              <w:rPr>
                <w:color w:val="0000FF"/>
                <w:sz w:val="18"/>
                <w:szCs w:val="18"/>
              </w:rPr>
            </w:pPr>
            <w:r>
              <w:rPr>
                <w:color w:val="0000FF"/>
                <w:sz w:val="18"/>
                <w:szCs w:val="18"/>
              </w:rPr>
              <w:t>Cold climate might influence cardiovascular health, as extreme temperatures can affect blood pressure and heart function.</w:t>
            </w:r>
          </w:p>
        </w:tc>
        <w:tc>
          <w:tcPr>
            <w:tcW w:w="408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F73AF20" w14:textId="77777777" w:rsidR="00B166C6" w:rsidRDefault="00000000">
            <w:pPr>
              <w:widowControl w:val="0"/>
              <w:spacing w:before="220" w:after="140"/>
              <w:rPr>
                <w:sz w:val="20"/>
                <w:szCs w:val="20"/>
              </w:rPr>
            </w:pPr>
            <w:r>
              <w:rPr>
                <w:sz w:val="20"/>
                <w:szCs w:val="20"/>
              </w:rPr>
              <w:lastRenderedPageBreak/>
              <w:t>Lower life expectancy and higher age-specific death rates, similar to Cluster Mid-</w:t>
            </w:r>
            <w:r>
              <w:rPr>
                <w:sz w:val="20"/>
                <w:szCs w:val="20"/>
              </w:rPr>
              <w:lastRenderedPageBreak/>
              <w:t>Tier.</w:t>
            </w:r>
          </w:p>
          <w:p w14:paraId="64121FD0" w14:textId="77777777" w:rsidR="00B166C6" w:rsidRDefault="00000000">
            <w:pPr>
              <w:widowControl w:val="0"/>
              <w:spacing w:before="220" w:after="140"/>
              <w:rPr>
                <w:sz w:val="20"/>
                <w:szCs w:val="20"/>
              </w:rPr>
            </w:pPr>
            <w:r>
              <w:rPr>
                <w:sz w:val="20"/>
                <w:szCs w:val="20"/>
              </w:rPr>
              <w:t>GDP and GDP change may vary, but likely to be lower.</w:t>
            </w:r>
          </w:p>
          <w:p w14:paraId="265B4974" w14:textId="77777777" w:rsidR="00B166C6" w:rsidRDefault="00000000">
            <w:pPr>
              <w:widowControl w:val="0"/>
              <w:spacing w:before="220" w:after="140"/>
              <w:rPr>
                <w:sz w:val="20"/>
                <w:szCs w:val="20"/>
              </w:rPr>
            </w:pPr>
            <w:r>
              <w:rPr>
                <w:sz w:val="20"/>
                <w:szCs w:val="20"/>
              </w:rPr>
              <w:t>Health-related factors may show mixed patterns.</w:t>
            </w:r>
          </w:p>
          <w:p w14:paraId="171DA748" w14:textId="77777777" w:rsidR="00B166C6" w:rsidRDefault="00000000">
            <w:pPr>
              <w:widowControl w:val="0"/>
              <w:spacing w:before="220" w:after="140"/>
              <w:rPr>
                <w:sz w:val="20"/>
                <w:szCs w:val="20"/>
              </w:rPr>
            </w:pPr>
            <w:r>
              <w:rPr>
                <w:sz w:val="20"/>
                <w:szCs w:val="20"/>
              </w:rPr>
              <w:t>Potentially representing a country with lower development and health challenges.</w:t>
            </w:r>
          </w:p>
        </w:tc>
      </w:tr>
    </w:tbl>
    <w:p w14:paraId="15978074" w14:textId="77777777" w:rsidR="00B166C6" w:rsidRDefault="00B166C6">
      <w:pPr>
        <w:spacing w:line="240" w:lineRule="auto"/>
        <w:rPr>
          <w:color w:val="FF0000"/>
        </w:rPr>
      </w:pPr>
    </w:p>
    <w:p w14:paraId="7027A2F3" w14:textId="77777777" w:rsidR="00B166C6" w:rsidRDefault="00B166C6">
      <w:pPr>
        <w:spacing w:line="240" w:lineRule="auto"/>
      </w:pPr>
    </w:p>
    <w:p w14:paraId="3BA3490D" w14:textId="77777777" w:rsidR="00B166C6" w:rsidRDefault="00000000">
      <w:pPr>
        <w:spacing w:line="240" w:lineRule="auto"/>
        <w:rPr>
          <w:color w:val="FF0000"/>
        </w:rPr>
      </w:pPr>
      <w:r>
        <w:rPr>
          <w:color w:val="FF0000"/>
        </w:rPr>
        <w:t>Conclusion</w:t>
      </w:r>
    </w:p>
    <w:p w14:paraId="02364C78" w14:textId="77777777" w:rsidR="00B166C6" w:rsidRDefault="00B166C6">
      <w:pPr>
        <w:spacing w:line="240" w:lineRule="auto"/>
        <w:rPr>
          <w:color w:val="FF0000"/>
        </w:rPr>
      </w:pPr>
    </w:p>
    <w:p w14:paraId="78205BC7" w14:textId="77777777" w:rsidR="00B166C6" w:rsidRDefault="00000000">
      <w:pPr>
        <w:spacing w:line="240" w:lineRule="auto"/>
      </w:pPr>
      <w:r>
        <w:t>Consistent Life Expectancies and Stable Order: Across all countries, life expectancies remain high, reflecting overall advancements in global health. The anticipated shift in life expectancy rankings does not materialize, emphasizing the enduring nature of health patterns across these nations.</w:t>
      </w:r>
    </w:p>
    <w:p w14:paraId="0C6DC661" w14:textId="77777777" w:rsidR="00B166C6" w:rsidRDefault="00B166C6">
      <w:pPr>
        <w:spacing w:line="240" w:lineRule="auto"/>
      </w:pPr>
    </w:p>
    <w:p w14:paraId="6A601CA0" w14:textId="77777777" w:rsidR="00B166C6" w:rsidRDefault="00000000">
      <w:pPr>
        <w:spacing w:line="240" w:lineRule="auto"/>
      </w:pPr>
      <w:r>
        <w:t>GDP Influence: Higher GDP countries consistently exhibit higher life expectancies, underscoring the impact of robust health infrastructure and effective prevention programs on overall well-being.</w:t>
      </w:r>
    </w:p>
    <w:p w14:paraId="04371878" w14:textId="77777777" w:rsidR="00B166C6" w:rsidRDefault="00B166C6">
      <w:pPr>
        <w:spacing w:line="240" w:lineRule="auto"/>
      </w:pPr>
    </w:p>
    <w:p w14:paraId="50B26E1D" w14:textId="77777777" w:rsidR="00B166C6" w:rsidRDefault="00000000">
      <w:pPr>
        <w:spacing w:line="240" w:lineRule="auto"/>
      </w:pPr>
      <w:r>
        <w:t>Gender Disparity: Females consistently outlive males, aligning with a well-established global health trend.</w:t>
      </w:r>
    </w:p>
    <w:p w14:paraId="6837230D" w14:textId="77777777" w:rsidR="00B166C6" w:rsidRDefault="00B166C6">
      <w:pPr>
        <w:spacing w:line="240" w:lineRule="auto"/>
      </w:pPr>
    </w:p>
    <w:p w14:paraId="2648A5BB" w14:textId="77777777" w:rsidR="00B166C6" w:rsidRDefault="00000000">
      <w:pPr>
        <w:spacing w:line="240" w:lineRule="auto"/>
      </w:pPr>
      <w:r>
        <w:t>Russian Discrepancy: Notably, Russia's life expectancy lags behind other developed nations, warranting further investigation and targeted interventions. Cold weather and political climates influence life expectancies, revealing a nuanced interplay between environmental and socio-political factors. Further research can focus on comparing the incidence of cardiovascular diseases and life expectancy in Russia with other cold regions, examining the potential impact of climate and political factors on residents' health.</w:t>
      </w:r>
    </w:p>
    <w:p w14:paraId="4C0AC203" w14:textId="77777777" w:rsidR="00B166C6" w:rsidRDefault="00B166C6">
      <w:pPr>
        <w:spacing w:line="240" w:lineRule="auto"/>
      </w:pPr>
    </w:p>
    <w:p w14:paraId="53C1C714" w14:textId="77777777" w:rsidR="00B166C6" w:rsidRDefault="00000000">
      <w:pPr>
        <w:spacing w:line="240" w:lineRule="auto"/>
      </w:pPr>
      <w:r>
        <w:t>Respiratory Challenges: China and India face higher respiratory deaths, suggesting a need to address air pollution and occupational risks associated with rapid industrialization. Similar issues may arise in other rapidly urbanizing developing countries. Further research can focus on comparing air quality and potential health impacts in these two countries and other developing nations.</w:t>
      </w:r>
    </w:p>
    <w:p w14:paraId="4BFF29E0" w14:textId="77777777" w:rsidR="00B166C6" w:rsidRDefault="00B166C6">
      <w:pPr>
        <w:spacing w:line="240" w:lineRule="auto"/>
      </w:pPr>
    </w:p>
    <w:p w14:paraId="16F64786" w14:textId="77777777" w:rsidR="00B166C6" w:rsidRDefault="00000000">
      <w:pPr>
        <w:spacing w:line="240" w:lineRule="auto"/>
      </w:pPr>
      <w:r>
        <w:t>Future Projections: Anticipated rank order for 2030 life expectancy reveals Japan, France, and others leading the chart, offering valuable insights for future health planning.</w:t>
      </w:r>
    </w:p>
    <w:p w14:paraId="0122AEA9" w14:textId="77777777" w:rsidR="00B166C6" w:rsidRDefault="00B166C6">
      <w:pPr>
        <w:spacing w:line="240" w:lineRule="auto"/>
      </w:pPr>
    </w:p>
    <w:p w14:paraId="2A9327BE" w14:textId="77777777" w:rsidR="00B166C6" w:rsidRDefault="00000000">
      <w:pPr>
        <w:spacing w:line="240" w:lineRule="auto"/>
      </w:pPr>
      <w:r>
        <w:t>In summary, our analysis provides a comprehensive understanding of the intricate dynamics influencing life expectancies. Economic, gender, and environmental factors play pivotal roles. As we project into the future, these insights will guide our efforts in shaping health policies and interventions.</w:t>
      </w:r>
    </w:p>
    <w:p w14:paraId="6A686D27" w14:textId="77777777" w:rsidR="00B166C6" w:rsidRDefault="00B166C6">
      <w:pPr>
        <w:spacing w:line="240" w:lineRule="auto"/>
      </w:pPr>
    </w:p>
    <w:p w14:paraId="4330614C" w14:textId="77777777" w:rsidR="00B166C6" w:rsidRDefault="00B166C6">
      <w:pPr>
        <w:spacing w:line="240" w:lineRule="auto"/>
      </w:pPr>
    </w:p>
    <w:p w14:paraId="321186F6" w14:textId="77777777" w:rsidR="00B166C6" w:rsidRDefault="00B166C6">
      <w:pPr>
        <w:spacing w:line="240" w:lineRule="auto"/>
      </w:pPr>
    </w:p>
    <w:p w14:paraId="657369DA" w14:textId="77777777" w:rsidR="00B166C6" w:rsidRDefault="00000000">
      <w:pPr>
        <w:spacing w:line="240" w:lineRule="auto"/>
        <w:rPr>
          <w:color w:val="FF0000"/>
        </w:rPr>
      </w:pPr>
      <w:r>
        <w:rPr>
          <w:color w:val="FF0000"/>
        </w:rPr>
        <w:t>Recommendations according to Diseases</w:t>
      </w:r>
    </w:p>
    <w:p w14:paraId="17B0ABE9" w14:textId="77777777" w:rsidR="00B166C6" w:rsidRDefault="00B166C6">
      <w:pPr>
        <w:spacing w:line="240" w:lineRule="auto"/>
      </w:pPr>
    </w:p>
    <w:p w14:paraId="6FBFC9B5" w14:textId="77777777" w:rsidR="00B166C6" w:rsidRDefault="00000000">
      <w:pPr>
        <w:spacing w:line="240" w:lineRule="auto"/>
      </w:pPr>
      <w:r>
        <w:t>1. Cardiovascular Disease:</w:t>
      </w:r>
    </w:p>
    <w:p w14:paraId="2BAA0A35" w14:textId="77777777" w:rsidR="00B166C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line="240" w:lineRule="auto"/>
      </w:pPr>
      <w:r>
        <w:t>Implement targeted prevention strategies, emphasizing lifestyle modifications and public health initiatives.</w:t>
      </w:r>
    </w:p>
    <w:p w14:paraId="35566AD9" w14:textId="77777777" w:rsidR="00B166C6" w:rsidRDefault="00000000">
      <w:pPr>
        <w:numPr>
          <w:ilvl w:val="0"/>
          <w:numId w:val="5"/>
        </w:numPr>
        <w:pBdr>
          <w:top w:val="none" w:sz="0" w:space="0" w:color="D9D9E3"/>
          <w:left w:val="none" w:sz="0" w:space="0" w:color="D9D9E3"/>
          <w:bottom w:val="none" w:sz="0" w:space="0" w:color="D9D9E3"/>
          <w:right w:val="none" w:sz="0" w:space="0" w:color="D9D9E3"/>
          <w:between w:val="none" w:sz="0" w:space="0" w:color="D9D9E3"/>
        </w:pBdr>
        <w:spacing w:after="300" w:line="240" w:lineRule="auto"/>
      </w:pPr>
      <w:r>
        <w:t>Enhance early detection through regular screenings and the integration of advanced diagnostic technologies.</w:t>
      </w:r>
    </w:p>
    <w:p w14:paraId="4F4DC745" w14:textId="77777777" w:rsidR="00B166C6" w:rsidRDefault="00000000">
      <w:pPr>
        <w:spacing w:line="240" w:lineRule="auto"/>
      </w:pPr>
      <w:r>
        <w:t>2. Respiratory Diseases:</w:t>
      </w:r>
    </w:p>
    <w:p w14:paraId="75E283FF" w14:textId="77777777" w:rsidR="00B166C6"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line="240" w:lineRule="auto"/>
        <w:rPr>
          <w:color w:val="000000"/>
        </w:rPr>
      </w:pPr>
      <w:r>
        <w:t>Improve air quality through environmental initiatives, emphasizing the reduction of air pollution and promotion of clean energy sources.</w:t>
      </w:r>
    </w:p>
    <w:p w14:paraId="0DEEB6FD" w14:textId="77777777" w:rsidR="00B166C6"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t>Manage occupational risks associated with respiratory health through workplace safety regulations and awareness programs.</w:t>
      </w:r>
    </w:p>
    <w:p w14:paraId="19EECA39" w14:textId="77777777" w:rsidR="00B166C6"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after="300" w:line="240" w:lineRule="auto"/>
        <w:rPr>
          <w:color w:val="000000"/>
        </w:rPr>
      </w:pPr>
      <w:r>
        <w:t>Educate the public on the importance of respiratory health, emphasizing lifestyle choices and pollution avoidance.</w:t>
      </w:r>
    </w:p>
    <w:p w14:paraId="78D0BD07" w14:textId="77777777" w:rsidR="00B166C6" w:rsidRDefault="00000000">
      <w:pPr>
        <w:spacing w:line="240" w:lineRule="auto"/>
      </w:pPr>
      <w:r>
        <w:t>3. Cancer:</w:t>
      </w:r>
    </w:p>
    <w:p w14:paraId="7AF0AAF4" w14:textId="77777777" w:rsidR="00B166C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line="240" w:lineRule="auto"/>
        <w:rPr>
          <w:color w:val="000000"/>
        </w:rPr>
      </w:pPr>
      <w:r>
        <w:t>Increase awareness campaigns on cancer prevention, focusing on lifestyle choices, vaccination programs, and risk factor mitigation.</w:t>
      </w:r>
    </w:p>
    <w:p w14:paraId="7DDB44C1" w14:textId="77777777" w:rsidR="00B166C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t>Utilize technology for early detection, investing in advanced screening tools and telemedicine solutions.</w:t>
      </w:r>
    </w:p>
    <w:p w14:paraId="5FE99287" w14:textId="77777777" w:rsidR="00B166C6"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240" w:lineRule="auto"/>
        <w:rPr>
          <w:color w:val="000000"/>
        </w:rPr>
      </w:pPr>
      <w:r>
        <w:t>Ensure widespread access to cancer treatment, promoting equitable healthcare services and affordability.</w:t>
      </w:r>
    </w:p>
    <w:p w14:paraId="1EA72CF9" w14:textId="77777777" w:rsidR="00B166C6" w:rsidRDefault="00000000">
      <w:pPr>
        <w:spacing w:line="240" w:lineRule="auto"/>
      </w:pPr>
      <w:r>
        <w:t>4. Diabetes &amp; Metabolic Disorders:</w:t>
      </w:r>
    </w:p>
    <w:p w14:paraId="0E74FD77" w14:textId="77777777" w:rsidR="00B166C6"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line="240" w:lineRule="auto"/>
        <w:rPr>
          <w:color w:val="000000"/>
        </w:rPr>
      </w:pPr>
      <w:r>
        <w:t>Implement comprehensive education programs promoting healthy lifestyles, with a focus on balanced nutrition and physical activity.</w:t>
      </w:r>
    </w:p>
    <w:p w14:paraId="392C69C4" w14:textId="77777777" w:rsidR="00B166C6" w:rsidRDefault="00000000">
      <w:pPr>
        <w:numPr>
          <w:ilvl w:val="0"/>
          <w:numId w:val="8"/>
        </w:numPr>
        <w:pBdr>
          <w:top w:val="none" w:sz="0" w:space="0" w:color="D9D9E3"/>
          <w:left w:val="none" w:sz="0" w:space="0" w:color="D9D9E3"/>
          <w:bottom w:val="none" w:sz="0" w:space="0" w:color="D9D9E3"/>
          <w:right w:val="none" w:sz="0" w:space="0" w:color="D9D9E3"/>
          <w:between w:val="none" w:sz="0" w:space="0" w:color="D9D9E3"/>
        </w:pBdr>
        <w:spacing w:after="300" w:line="240" w:lineRule="auto"/>
        <w:rPr>
          <w:color w:val="000000"/>
        </w:rPr>
      </w:pPr>
      <w:r>
        <w:t>Encourage regular health check-ups for early detection and intervention, emphasizing the importance of routine medical examinations and preventive care.</w:t>
      </w:r>
    </w:p>
    <w:p w14:paraId="77E24C22" w14:textId="77777777" w:rsidR="00B166C6" w:rsidRDefault="00000000">
      <w:pPr>
        <w:spacing w:line="240" w:lineRule="auto"/>
      </w:pPr>
      <w:r>
        <w:t>5. Global Collaboration:</w:t>
      </w:r>
    </w:p>
    <w:p w14:paraId="3F8F9C94" w14:textId="77777777" w:rsidR="00B166C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line="240" w:lineRule="auto"/>
        <w:rPr>
          <w:color w:val="000000"/>
        </w:rPr>
      </w:pPr>
      <w:r>
        <w:t>Establish a collaborative platform for sharing best practices globally, fostering an exchange of knowledge and expertise among nations.</w:t>
      </w:r>
    </w:p>
    <w:p w14:paraId="0376A6B9" w14:textId="77777777" w:rsidR="00B166C6"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line="240" w:lineRule="auto"/>
        <w:rPr>
          <w:color w:val="000000"/>
        </w:rPr>
      </w:pPr>
      <w:r>
        <w:t>Foster international partnerships to address common health challenges collectively, promoting joint research initiatives, resource-sharing, and coordinated response strategies.</w:t>
      </w:r>
    </w:p>
    <w:p w14:paraId="79E6A939" w14:textId="77777777" w:rsidR="00B166C6" w:rsidRDefault="00B166C6">
      <w:pPr>
        <w:spacing w:line="240" w:lineRule="auto"/>
      </w:pPr>
    </w:p>
    <w:sectPr w:rsidR="00B166C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sie Yuan" w:date="2023-12-17T19:00:00Z" w:initials="">
    <w:p w14:paraId="12B5B97E" w14:textId="77777777" w:rsidR="00B166C6" w:rsidRDefault="00000000">
      <w:pPr>
        <w:widowControl w:val="0"/>
        <w:pBdr>
          <w:top w:val="nil"/>
          <w:left w:val="nil"/>
          <w:bottom w:val="nil"/>
          <w:right w:val="nil"/>
          <w:between w:val="nil"/>
        </w:pBdr>
        <w:spacing w:line="240" w:lineRule="auto"/>
        <w:rPr>
          <w:color w:val="000000"/>
        </w:rPr>
      </w:pPr>
      <w:r>
        <w:rPr>
          <w:color w:val="000000"/>
        </w:rPr>
        <w:t>Can anyone link the GDP info we used to here? thx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B5B9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B5B97E" w16cid:durableId="5261D3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2886"/>
    <w:multiLevelType w:val="multilevel"/>
    <w:tmpl w:val="D3DE9D30"/>
    <w:lvl w:ilvl="0">
      <w:start w:val="1"/>
      <w:numFmt w:val="bullet"/>
      <w:lvlText w:val="●"/>
      <w:lvlJc w:val="right"/>
      <w:pPr>
        <w:ind w:left="720" w:hanging="360"/>
      </w:pPr>
      <w:rPr>
        <w:rFonts w:ascii="Arial" w:eastAsia="Arial" w:hAnsi="Arial" w:cs="Arial"/>
        <w:b w:val="0"/>
        <w:i w:val="0"/>
        <w:smallCaps w:val="0"/>
        <w:strike w:val="0"/>
        <w:color w:val="000000"/>
        <w:sz w:val="21"/>
        <w:szCs w:val="21"/>
        <w:highlight w:val="white"/>
        <w:u w:val="none"/>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99D053B"/>
    <w:multiLevelType w:val="multilevel"/>
    <w:tmpl w:val="D3166D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5255011"/>
    <w:multiLevelType w:val="multilevel"/>
    <w:tmpl w:val="A354590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A107AB"/>
    <w:multiLevelType w:val="multilevel"/>
    <w:tmpl w:val="C4F2FCE0"/>
    <w:lvl w:ilvl="0">
      <w:start w:val="1"/>
      <w:numFmt w:val="bullet"/>
      <w:lvlText w:val="●"/>
      <w:lvlJc w:val="right"/>
      <w:pPr>
        <w:ind w:left="720" w:hanging="360"/>
      </w:pPr>
      <w:rPr>
        <w:rFonts w:ascii="Arial" w:eastAsia="Arial" w:hAnsi="Arial" w:cs="Arial"/>
        <w:b w:val="0"/>
        <w:i w:val="0"/>
        <w:smallCaps w:val="0"/>
        <w:strike w:val="0"/>
        <w:color w:val="000000"/>
        <w:sz w:val="21"/>
        <w:szCs w:val="21"/>
        <w:highlight w:val="white"/>
        <w:u w:val="none"/>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35D5061"/>
    <w:multiLevelType w:val="multilevel"/>
    <w:tmpl w:val="A7EE030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E16155"/>
    <w:multiLevelType w:val="multilevel"/>
    <w:tmpl w:val="A63610F6"/>
    <w:lvl w:ilvl="0">
      <w:start w:val="1"/>
      <w:numFmt w:val="bullet"/>
      <w:lvlText w:val="●"/>
      <w:lvlJc w:val="right"/>
      <w:pPr>
        <w:ind w:left="720" w:hanging="360"/>
      </w:pPr>
      <w:rPr>
        <w:rFonts w:ascii="Arial" w:eastAsia="Arial" w:hAnsi="Arial" w:cs="Arial"/>
        <w:b w:val="0"/>
        <w:i w:val="0"/>
        <w:smallCaps w:val="0"/>
        <w:strike w:val="0"/>
        <w:color w:val="000000"/>
        <w:sz w:val="21"/>
        <w:szCs w:val="21"/>
        <w:highlight w:val="white"/>
        <w:u w:val="none"/>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62405F5"/>
    <w:multiLevelType w:val="multilevel"/>
    <w:tmpl w:val="6CAC8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2B2B31"/>
    <w:multiLevelType w:val="multilevel"/>
    <w:tmpl w:val="63448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050284"/>
    <w:multiLevelType w:val="multilevel"/>
    <w:tmpl w:val="787E1B3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43508"/>
    <w:multiLevelType w:val="multilevel"/>
    <w:tmpl w:val="6D70E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3A52F8"/>
    <w:multiLevelType w:val="multilevel"/>
    <w:tmpl w:val="840E741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5862798">
    <w:abstractNumId w:val="4"/>
  </w:num>
  <w:num w:numId="2" w16cid:durableId="1009212933">
    <w:abstractNumId w:val="10"/>
  </w:num>
  <w:num w:numId="3" w16cid:durableId="364796362">
    <w:abstractNumId w:val="8"/>
  </w:num>
  <w:num w:numId="4" w16cid:durableId="730470399">
    <w:abstractNumId w:val="3"/>
  </w:num>
  <w:num w:numId="5" w16cid:durableId="50622387">
    <w:abstractNumId w:val="7"/>
  </w:num>
  <w:num w:numId="6" w16cid:durableId="1479112283">
    <w:abstractNumId w:val="6"/>
  </w:num>
  <w:num w:numId="7" w16cid:durableId="1186554456">
    <w:abstractNumId w:val="5"/>
  </w:num>
  <w:num w:numId="8" w16cid:durableId="1211302736">
    <w:abstractNumId w:val="2"/>
  </w:num>
  <w:num w:numId="9" w16cid:durableId="1477718163">
    <w:abstractNumId w:val="1"/>
  </w:num>
  <w:num w:numId="10" w16cid:durableId="375157558">
    <w:abstractNumId w:val="9"/>
  </w:num>
  <w:num w:numId="11" w16cid:durableId="1409225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C6"/>
    <w:rsid w:val="009E14D7"/>
    <w:rsid w:val="00B1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79EE0D"/>
  <w15:docId w15:val="{742573DC-DE52-CF4D-B9AB-FF438AE2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ho.int/data/gho/data/indicators/indicator-details/GHO/number-of-deaths-attributed-to-non-communicable-diseases-by-type-of-disease-and-sex" TargetMode="External"/><Relationship Id="rId11" Type="http://schemas.openxmlformats.org/officeDocument/2006/relationships/image" Target="media/image2.png"/><Relationship Id="rId5" Type="http://schemas.openxmlformats.org/officeDocument/2006/relationships/hyperlink" Target="https://www.who.int/data/gho/data/indicators/indicator-details/GHO/gho-ghe-life-tables-by-country"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2226</Words>
  <Characters>12690</Characters>
  <Application>Microsoft Office Word</Application>
  <DocSecurity>0</DocSecurity>
  <Lines>105</Lines>
  <Paragraphs>29</Paragraphs>
  <ScaleCrop>false</ScaleCrop>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Gupta</cp:lastModifiedBy>
  <cp:revision>2</cp:revision>
  <dcterms:created xsi:type="dcterms:W3CDTF">2024-01-03T22:41:00Z</dcterms:created>
  <dcterms:modified xsi:type="dcterms:W3CDTF">2024-01-03T22:42:00Z</dcterms:modified>
</cp:coreProperties>
</file>