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480" w:lineRule="exact"/>
        <w:jc w:val="center"/>
        <w:bidi/>
      </w:pPr>
      <w:r>
        <w:rPr>
          <w:rFonts w:cs="Assistant"/>
          <w:b/>
          <w:color w:val="2C3E50"/>
          <w:sz w:val="40"/>
          <w:rtl/>
          <w:bCs/>
        </w:rPr>
        <w:t>פרטים אישיים</w:t>
      </w:r>
    </w:p>
    <w:p>
      <w:pPr>
        <w:spacing w:after="120" w:line="240" w:lineRule="exact"/>
        <w:jc w:val="center"/>
        <w:bidi/>
      </w:pPr>
      <w:r>
        <w:rPr>
          <w:rFonts w:cs="Assistant"/>
          <w:color w:val="555555"/>
          <w:sz w:val="18"/>
          <w:rtl/>
        </w:rPr>
        <w:t>שם מלא: קרן בילינסון | ‪054-5399875‬ | belinsonkeren@gmail.com | LinkedIn: Keren Belinson | פתח תקווה</w:t>
      </w:r>
    </w:p>
    <w:p>
      <w:pPr>
        <w:spacing w:before="40" w:after="80"/>
        <w:pBdr>
          <w:bottom w:val="single" w:sz="16" w:space="1" w:color="2c3e50"/>
        </w:pBdr>
      </w:pPr>
    </w:p>
    <w:p>
      <w:pPr>
        <w:spacing w:before="100" w:after="20"/>
        <w:bidi/>
      </w:pPr>
      <w:r>
        <w:rPr>
          <w:rFonts w:cs="Assistant"/>
          <w:b/>
          <w:color w:val="2C3E50"/>
          <w:sz w:val="24"/>
          <w:rtl/>
          <w:bCs/>
        </w:rPr>
        <w:t>ניסיון תעסוקתי</w:t>
      </w:r>
    </w:p>
    <w:p>
      <w:pPr>
        <w:spacing w:before="0" w:after="20"/>
        <w:pBdr>
          <w:bottom w:val="single" w:sz="8" w:space="1" w:color="7fb3d8"/>
        </w:pBdr>
      </w:pP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ניסיון תעסוקתי:</w:t>
      </w:r>
    </w:p>
    <w:p>
      <w:pPr>
        <w:spacing w:after="20" w:before="40" w:line="260" w:lineRule="exact"/>
        <w:bidi/>
      </w:pPr>
      <w:r>
        <w:rPr>
          <w:rFonts w:cs="Assistant"/>
          <w:b/>
          <w:color w:val="333333"/>
          <w:sz w:val="18"/>
          <w:rtl/>
          <w:bCs/>
        </w:rPr>
        <w:t>2014–היום – חברת אינטגרציה בעולמות התוכנה ו-IT – סמנכ"ל משאבי אנוש VP HR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הובלת צוות גיוס טכנולוגי באמצעות כלי אוטומציה לסורסינג וצ'אטבוטים לסינון קורות חיים וראיונות – קיצור זמני גיוס ושיפור איכות ההתאמה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אפיון ובנייה של כלי BI לניתוח משפכי גיוס ומדדי ביצוע – קבלת החלטות מבוססות נתונים ושיפור עמידה ביעדים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ניהול מערך של 150 עובדי Outsourcing מקליטה ועד פרישה באמצעות תהליכי HR סדורים – העלאת שיעורי שימור ושביעות רצון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ניהול לקוחות מקצה לקצה ושילוב מערכת Monday לתכנון ותיעדוף – הגדלת היקפי פעילות, הרחבת לקוחות ושימורם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הובלת תקשורת ארגונית, ניהול ביצועים ורווחת עובדים באמצעות עיתוני חברה ותהליכי הערכה – חיזוק מחוברות והעלאת פרודוקטיביות</w:t>
      </w:r>
    </w:p>
    <w:p>
      <w:pPr>
        <w:spacing w:after="20" w:before="40" w:line="260" w:lineRule="exact"/>
        <w:bidi/>
      </w:pPr>
      <w:r>
        <w:rPr>
          <w:rFonts w:cs="Assistant"/>
          <w:b/>
          <w:color w:val="333333"/>
          <w:sz w:val="18"/>
          <w:rtl/>
          <w:bCs/>
        </w:rPr>
        <w:t>2011–2013 – פרטנר תקשורת – מנהלת משאבי אנוש חטיבות מטה HRBP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מתן שירותי פרט ל-3,000 עובדים וליווי הנהלה באמצעות מתודולוגיית HRBP – שיפור שירות פנים ארגוני וקיצור זמני מענה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ניהול סקרים ארגוניים והטמעת תוכניות עבודה לשיפור – העלאת שביעות רצון והפחתת שחיקה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הובלת תהליכי שימור עובדים ומסלולי אופק באמצעות תוכניות קריירה – צמצום עזיבות ושימור טאלנטים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אחריות על תקינת כוח אדם ותכנון כ"א בהתאם לתקציב – אופטימיזציה של מצבת ועמידה ביעדי עלות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ממונה על מניעת הטרדה מינית באמצעות נהלים והכשרות – צמצום חשיפות משפטיות וחיזוק תרבות ארגונית</w:t>
      </w:r>
    </w:p>
    <w:p>
      <w:pPr>
        <w:spacing w:after="20" w:before="40" w:line="260" w:lineRule="exact"/>
        <w:bidi/>
      </w:pPr>
      <w:r>
        <w:rPr>
          <w:rFonts w:cs="Assistant"/>
          <w:b/>
          <w:color w:val="333333"/>
          <w:sz w:val="18"/>
          <w:rtl/>
          <w:bCs/>
        </w:rPr>
        <w:t>2011–2009 – 012 SMILE – מנהלת אגף גיוס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הובלת מערך הגיוס לתפקידי ניהול, מטה וקול סנטר באמצעות פרסום באפיקי מדיה מגוונים – עמידה ביעד של כ-1,000 גיוסים בשנה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ניהול תהליכי אבחון וגיוס מקצה לקצה והרחבת מקורות גיוס – שיפור איכות ההתאמה והקטנת עלויות סורסינג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כתיבת תוכנית עבודה שנתית וניהול תקציב הגיוס בשילוב ניהול ספקי חוץ – שליטה בעלויות והבטחת SLA לגיוס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העברת סדנאות אבחון וגיוס למנהלים – סטנדרטיזציה של תהליכים והעלאת איכות הקליטה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ניהול צוות של 13 רכזי משאבי אנוש וגיוס והטמעת נהלי עבודה – הגדלת תפוקות הצוות ושיפור זמני אספקה</w:t>
      </w:r>
    </w:p>
    <w:p>
      <w:pPr>
        <w:spacing w:after="20" w:before="40" w:line="260" w:lineRule="exact"/>
        <w:bidi/>
      </w:pPr>
      <w:r>
        <w:rPr>
          <w:rFonts w:cs="Assistant"/>
          <w:b/>
          <w:color w:val="333333"/>
          <w:sz w:val="18"/>
          <w:rtl/>
          <w:bCs/>
        </w:rPr>
        <w:t>2011–2009 – 012 SMILE – מנהלת אגף פרט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הקמת תחום פרט ומתן שירות ל-2,000 עובדים באמצעות נהלי HR מוסדרים – קיצור זמני טיפול ושיפור חוויית עובד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הובלת שימור עובדים, ניוד וקידום באמצעות מסלולי קריירה והכוון תעסוקתי אישי – הגדלת שימור וטיפוח עובדים מצטיינים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ניהול דיני עבודה וליטיגציה בשיתוף משרדי עו"ד – צמצום סיכונים משפטיים ושיפור ציות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ניהול תהליכי פרידה מעובדים כולל התפטרות, פיטורין והעדרויות – סטנדרטיזציה של התהליך והפחתת סיכונים תפעוליים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ייעוץ למנהלים ותמיכה בשינויים ארגוניים באמצעות תוכניות עבודה – ייצוב השינוי ושמירה על רציפות תפעולית</w:t>
      </w:r>
    </w:p>
    <w:p>
      <w:pPr>
        <w:spacing w:after="20" w:before="40" w:line="260" w:lineRule="exact"/>
        <w:bidi/>
      </w:pPr>
      <w:r>
        <w:rPr>
          <w:rFonts w:cs="Assistant"/>
          <w:b/>
          <w:color w:val="333333"/>
          <w:sz w:val="18"/>
          <w:rtl/>
          <w:bCs/>
        </w:rPr>
        <w:t>2009–2005 – 012 SMILE – מנהלת הדרכה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הקמת מחלקת הדרכה והובלת סדנאות באינטרנט זהב ובהמשך ב-012 Smile – בניית יכולות ארגוניות ושיפור ביצועי עובדים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ניהול קליטה וחניכה באמצעות תוכנית הדרכה שנתית וקורסים בשירות, מכירה ותמיכה טכנית – קיצור זמן חניכה והאצת פרודוקטיביות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הובלת פרויקטים מול ספקי ייעוץ ארגוני מובילים – הטמעת מתודולוגיות מתקדמות ושיפור אפקטיביות הדרכה</w:t>
      </w:r>
    </w:p>
    <w:p>
      <w:pPr>
        <w:spacing w:after="20" w:line="240" w:lineRule="exact"/>
        <w:ind w:right="160"/>
        <w:bidi/>
      </w:pPr>
      <w:r>
        <w:rPr>
          <w:rFonts w:cs="Assistant"/>
          <w:color w:val="333333"/>
          <w:sz w:val="18"/>
          <w:rtl/>
        </w:rPr>
        <w:t>- ניהול צוות מנחים והטמעת שגרות עבודה – שיפור איכות ההכשרות והגדלת תפוקת ההדרכה</w:t>
      </w:r>
    </w:p>
    <w:p>
      <w:pPr>
        <w:spacing w:before="100" w:after="20"/>
        <w:bidi/>
      </w:pPr>
      <w:r>
        <w:rPr>
          <w:rFonts w:cs="Assistant"/>
          <w:b/>
          <w:color w:val="2C3E50"/>
          <w:sz w:val="24"/>
          <w:rtl/>
          <w:bCs/>
        </w:rPr>
        <w:t>השכלה</w:t>
      </w:r>
    </w:p>
    <w:p>
      <w:pPr>
        <w:spacing w:before="0" w:after="20"/>
        <w:pBdr>
          <w:bottom w:val="single" w:sz="8" w:space="1" w:color="7fb3d8"/>
        </w:pBdr>
      </w:pP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השכלה</w:t>
      </w: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אוניברסיטת תל אביב – M.B.A – מנהל ומדיניות ציבורית</w:t>
      </w: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המרכז האקדמי פרס – M.B.A – ייעוץ ארגוני</w:t>
      </w: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האוניברסונה הפתוחה – B.A – חינוך וסוציולוגיה</w:t>
      </w: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האוניברסיטה הפתוחה – הנחיית קבוצות – תוכנית תפנית, פעילות התנדבותית חניכת סטודנטים בתחום</w:t>
      </w: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Coaching – הסמכה כפולה – MCI ו-EMCI – ניהולי, ניהול קריירה וזוגיות</w:t>
      </w: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מרכז NLP-PLUS – NLP Master Practitioner ו-טיפול בטראומה</w:t>
      </w: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מרכז NLP-PLUS – מרצה – קורסי Practitioner</w:t>
      </w:r>
    </w:p>
    <w:p>
      <w:pPr>
        <w:spacing w:before="100" w:after="20"/>
        <w:bidi/>
      </w:pPr>
      <w:r>
        <w:rPr>
          <w:rFonts w:cs="Assistant"/>
          <w:b/>
          <w:color w:val="2C3E50"/>
          <w:sz w:val="24"/>
          <w:rtl/>
          <w:bCs/>
        </w:rPr>
        <w:t>שרות צבאי</w:t>
      </w:r>
    </w:p>
    <w:p>
      <w:pPr>
        <w:spacing w:before="0" w:after="20"/>
        <w:pBdr>
          <w:bottom w:val="single" w:sz="8" w:space="1" w:color="7fb3d8"/>
        </w:pBdr>
      </w:pP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שירות צבאי:</w:t>
      </w:r>
    </w:p>
    <w:p>
      <w:pPr>
        <w:spacing w:after="20" w:before="40" w:line="260" w:lineRule="exact"/>
        <w:bidi/>
      </w:pPr>
      <w:r>
        <w:rPr>
          <w:rFonts w:cs="Assistant"/>
          <w:b/>
          <w:color w:val="333333"/>
          <w:sz w:val="18"/>
          <w:rtl/>
          <w:bCs/>
        </w:rPr>
        <w:t>1992-1994 - שירות מלא בחיל האוויר</w:t>
      </w:r>
    </w:p>
    <w:p>
      <w:pPr>
        <w:spacing w:before="100" w:after="20"/>
        <w:bidi/>
      </w:pPr>
      <w:r>
        <w:rPr>
          <w:rFonts w:cs="Assistant"/>
          <w:b/>
          <w:color w:val="2C3E50"/>
          <w:sz w:val="24"/>
          <w:rtl/>
          <w:bCs/>
        </w:rPr>
        <w:t>שפות</w:t>
      </w:r>
    </w:p>
    <w:p>
      <w:pPr>
        <w:spacing w:before="0" w:after="20"/>
        <w:pBdr>
          <w:bottom w:val="single" w:sz="8" w:space="1" w:color="7fb3d8"/>
        </w:pBdr>
      </w:pPr>
    </w:p>
    <w:p>
      <w:pPr>
        <w:spacing w:after="20" w:line="260" w:lineRule="exact"/>
        <w:bidi/>
      </w:pPr>
      <w:r>
        <w:rPr>
          <w:rFonts w:cs="Assistant"/>
          <w:color w:val="333333"/>
          <w:sz w:val="18"/>
          <w:rtl/>
        </w:rPr>
        <w:t>שפות: עברית - שפת אם, אנגלית - רמה טובה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ssistant" w:hAnsi="Assistant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