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ind w:hanging="0" w:start="0"/>
        <w:jc w:val="start"/>
        <w:rPr/>
      </w:pPr>
      <w:r>
        <w:rPr/>
        <w:t>Seasonal Operations Log &amp; Environmental Impact Report</w:t>
      </w:r>
    </w:p>
    <w:p>
      <w:pPr>
        <w:pStyle w:val="BodyText"/>
        <w:bidi w:val="0"/>
        <w:jc w:val="start"/>
        <w:rPr/>
      </w:pPr>
      <w:r>
        <w:rPr>
          <w:i/>
        </w:rPr>
        <w:t>Document Type</w:t>
      </w:r>
      <w:r>
        <w:rPr/>
        <w:t>: Incident Log </w:t>
      </w:r>
      <w:r>
        <w:rPr>
          <w:i/>
        </w:rPr>
        <w:t>Equipment Name</w:t>
      </w:r>
      <w:r>
        <w:rPr/>
        <w:t>: Chiller Unit Core </w:t>
      </w:r>
      <w:r>
        <w:rPr>
          <w:i/>
        </w:rPr>
        <w:t>Equipment ID</w:t>
      </w:r>
      <w:r>
        <w:rPr/>
        <w:t>: CH-800 </w:t>
      </w:r>
      <w:r>
        <w:rPr>
          <w:i/>
        </w:rPr>
        <w:t>Date Range Covered</w:t>
      </w:r>
      <w:r>
        <w:rPr/>
        <w:t>: 2024-01-01 to 2025-12-31</w:t>
      </w:r>
    </w:p>
    <w:p>
      <w:pPr>
        <w:pStyle w:val="BodyText"/>
        <w:bidi w:val="0"/>
        <w:jc w:val="start"/>
        <w:rPr/>
      </w:pPr>
      <w:r>
        <w:rPr>
          <w:i/>
        </w:rPr>
        <w:t>1. Seasonal Temporal Analysis</w:t>
      </w:r>
      <w:r>
        <w:rPr/>
        <w:t> This log analyzes environmental factors affecting HVAC and chilling systems. The temporal intelligence engine should map these records to identify seasonal patterns.</w:t>
      </w:r>
    </w:p>
    <w:p>
      <w:pPr>
        <w:pStyle w:val="BodyText"/>
        <w:bidi w:val="0"/>
        <w:jc w:val="start"/>
        <w:rPr/>
      </w:pPr>
      <w:r>
        <w:rPr>
          <w:i/>
        </w:rPr>
        <w:t>2. Failure Trend Data</w:t>
      </w:r>
      <w:r>
        <w:rPr/>
        <w:t> Data indicates more failures in summer compared to winter. Specifically, ambient temperatures exceeding 35°C correlate with a 40% increase in condenser coil ruptures.</w:t>
      </w:r>
    </w:p>
    <w:p>
      <w:pPr>
        <w:pStyle w:val="BodyText"/>
        <w:bidi w:val="0"/>
        <w:jc w:val="start"/>
        <w:rPr/>
      </w:pPr>
      <w:r>
        <w:rPr>
          <w:i/>
        </w:rPr>
        <w:t>3. Proactive Recommendations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Initiate chemical descaling of the condenser coils every April to prepare for peak summer loads.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Trend analysis shows an increasing failure rate over the last two summers, suggesting the unit is approaching the end of its lifecycle.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