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OLIST MARKETPLACE</w:t>
      </w:r>
    </w:p>
    <w:p>
      <w:pPr>
        <w:jc w:val="center"/>
      </w:pPr>
      <w:r>
        <w:rPr>
          <w:b/>
          <w:sz w:val="40"/>
        </w:rPr>
        <w:t>Data Analytics Hackathon — Analysis Report</w:t>
      </w:r>
    </w:p>
    <w:p>
      <w:pPr>
        <w:jc w:val="center"/>
      </w:pPr>
      <w:r>
        <w:rPr>
          <w:i/>
        </w:rPr>
        <w:t>Marketplace Performance, Customer Satisfaction &amp; Operational Drivers</w:t>
      </w:r>
    </w:p>
    <w:tbl>
      <w:tblPr>
        <w:tblStyle w:val="TableGrid"/>
        <w:tblW w:type="auto" w:w="0"/>
        <w:tblLook w:firstColumn="1" w:firstRow="1" w:lastColumn="0" w:lastRow="0" w:noHBand="0" w:noVBand="1" w:val="04A0"/>
      </w:tblPr>
      <w:tblGrid>
        <w:gridCol w:w="10080"/>
      </w:tblGrid>
      <w:tr>
        <w:tc>
          <w:tcPr>
            <w:tcW w:type="dxa" w:w="10080"/>
            <w:shd w:fill="EAF2F8"/>
          </w:tcPr>
          <w:p>
            <w:r>
              <w:rPr>
                <w:b/>
                <w:sz w:val="22"/>
              </w:rPr>
              <w:t>Executive takeaway</w:t>
              <w:br/>
            </w:r>
            <w:r>
              <w:rPr>
                <w:sz w:val="20"/>
              </w:rPr>
              <w:t>The analysis covers 96,478 delivered orders with R$ 15,422,605.23 in total order value. Delivery reliability is the clearest operational signal: low-rated orders had a 33.7% late-delivery rate versus 3.5% for high-rated orders, approximately 9.6× higher.</w:t>
            </w:r>
          </w:p>
        </w:tc>
      </w:tr>
    </w:tbl>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F4E78"/>
          </w:tcPr>
          <w:p>
            <w:r>
              <w:rPr>
                <w:b/>
                <w:color w:val="FFFFFF"/>
              </w:rPr>
              <w:t>Delivered orders</w:t>
            </w:r>
          </w:p>
        </w:tc>
        <w:tc>
          <w:tcPr>
            <w:tcW w:type="dxa" w:w="2016"/>
            <w:shd w:fill="1F4E78"/>
          </w:tcPr>
          <w:p>
            <w:r>
              <w:rPr>
                <w:b/>
                <w:color w:val="FFFFFF"/>
              </w:rPr>
              <w:t>Product revenue</w:t>
            </w:r>
          </w:p>
        </w:tc>
        <w:tc>
          <w:tcPr>
            <w:tcW w:type="dxa" w:w="2016"/>
            <w:shd w:fill="1F4E78"/>
          </w:tcPr>
          <w:p>
            <w:r>
              <w:rPr>
                <w:b/>
                <w:color w:val="FFFFFF"/>
              </w:rPr>
              <w:t>Freight</w:t>
            </w:r>
          </w:p>
        </w:tc>
        <w:tc>
          <w:tcPr>
            <w:tcW w:type="dxa" w:w="2016"/>
            <w:shd w:fill="1F4E78"/>
          </w:tcPr>
          <w:p>
            <w:r>
              <w:rPr>
                <w:b/>
                <w:color w:val="FFFFFF"/>
              </w:rPr>
              <w:t>Total order value</w:t>
            </w:r>
          </w:p>
        </w:tc>
        <w:tc>
          <w:tcPr>
            <w:tcW w:type="dxa" w:w="2016"/>
            <w:shd w:fill="1F4E78"/>
          </w:tcPr>
          <w:p>
            <w:r>
              <w:rPr>
                <w:b/>
                <w:color w:val="FFFFFF"/>
              </w:rPr>
              <w:t>Avg review</w:t>
            </w:r>
          </w:p>
        </w:tc>
      </w:tr>
      <w:tr>
        <w:tc>
          <w:tcPr>
            <w:tcW w:type="dxa" w:w="2016"/>
          </w:tcPr>
          <w:p>
            <w:r>
              <w:rPr>
                <w:b/>
              </w:rPr>
              <w:t>96,478</w:t>
            </w:r>
          </w:p>
        </w:tc>
        <w:tc>
          <w:tcPr>
            <w:tcW w:type="dxa" w:w="2016"/>
          </w:tcPr>
          <w:p>
            <w:r>
              <w:rPr>
                <w:b/>
              </w:rPr>
              <w:t>R$ 13.22M</w:t>
            </w:r>
          </w:p>
        </w:tc>
        <w:tc>
          <w:tcPr>
            <w:tcW w:type="dxa" w:w="2016"/>
          </w:tcPr>
          <w:p>
            <w:r>
              <w:rPr>
                <w:b/>
              </w:rPr>
              <w:t>R$ 2.20M</w:t>
            </w:r>
          </w:p>
        </w:tc>
        <w:tc>
          <w:tcPr>
            <w:tcW w:type="dxa" w:w="2016"/>
          </w:tcPr>
          <w:p>
            <w:r>
              <w:rPr>
                <w:b/>
              </w:rPr>
              <w:t>R$ 15.42M</w:t>
            </w:r>
          </w:p>
        </w:tc>
        <w:tc>
          <w:tcPr>
            <w:tcW w:type="dxa" w:w="2016"/>
          </w:tcPr>
          <w:p>
            <w:r>
              <w:rPr>
                <w:b/>
              </w:rPr>
              <w:t>4.14/5</w:t>
            </w:r>
          </w:p>
        </w:tc>
      </w:tr>
    </w:tbl>
    <w:p>
      <w:r>
        <w:br w:type="page"/>
      </w:r>
    </w:p>
    <w:p>
      <w:pPr>
        <w:pStyle w:val="Heading1"/>
      </w:pPr>
      <w:r>
        <w:t>1. Problem Understanding</w:t>
      </w:r>
    </w:p>
    <w:p>
      <w:r>
        <w:t>Olist is a Brazilian e-commerce marketplace integrator connecting small and medium merchants to major marketplaces. The business challenge is to understand marketplace performance, customer satisfaction, geographic and seller variation, product-category performance, payment behavior, and the factors most strongly associated with low customer ratings.</w:t>
      </w:r>
    </w:p>
    <w:p>
      <w:r>
        <w:t>The hackathon asks for evidence-based answers to six core questions. The objective is not prediction; it is descriptive and diagnostic analytics that can guide operations and customer-experience decisions.</w:t>
      </w:r>
    </w:p>
    <w:p>
      <w:pPr>
        <w:pStyle w:val="Heading1"/>
      </w:pPr>
      <w:r>
        <w:t>2. Analytical Approach</w:t>
      </w:r>
    </w:p>
    <w:p>
      <w:pPr>
        <w:pStyle w:val="ListBullet"/>
        <w:spacing w:after="40"/>
      </w:pPr>
      <w:r>
        <w:t>Use the cleaned order-level master as the primary analysis table for marketplace, delivery, geography, payment and review analysis.</w:t>
      </w:r>
    </w:p>
    <w:p>
      <w:pPr>
        <w:pStyle w:val="ListBullet"/>
        <w:spacing w:after="40"/>
      </w:pPr>
      <w:r>
        <w:t>Use delivered orders as the main scope because complete delivery timing is meaningful for completed orders.</w:t>
      </w:r>
    </w:p>
    <w:p>
      <w:pPr>
        <w:pStyle w:val="ListBullet"/>
        <w:spacing w:after="40"/>
      </w:pPr>
      <w:r>
        <w:t>Use order-level totals to avoid double-counting multi-item and multi-payment orders.</w:t>
      </w:r>
    </w:p>
    <w:p>
      <w:pPr>
        <w:pStyle w:val="ListBullet"/>
        <w:spacing w:after="40"/>
      </w:pPr>
      <w:r>
        <w:t>Segment delivery delay relative to estimated delivery date into Early, 1–3 days late, 4–7 days late and 8+ days late.</w:t>
      </w:r>
    </w:p>
    <w:p>
      <w:pPr>
        <w:pStyle w:val="ListBullet"/>
        <w:spacing w:after="40"/>
      </w:pPr>
      <w:r>
        <w:t>Compare states using order volume, review score, freight and late-delivery rate.</w:t>
      </w:r>
    </w:p>
    <w:p>
      <w:pPr>
        <w:pStyle w:val="ListBullet"/>
        <w:spacing w:after="40"/>
      </w:pPr>
      <w:r>
        <w:t>Use the original product tables only for Q4, restricting them to cleaned delivered-order IDs.</w:t>
      </w:r>
    </w:p>
    <w:p>
      <w:pPr>
        <w:pStyle w:val="ListBullet"/>
        <w:spacing w:after="40"/>
      </w:pPr>
      <w:r>
        <w:t>Use descriptive comparisons and correlations; do not interpret observational relationships as proven causation.</w:t>
      </w:r>
    </w:p>
    <w:p>
      <w:pPr>
        <w:pStyle w:val="Heading1"/>
      </w:pPr>
      <w:r>
        <w:t>3. Key Insights</w:t>
      </w:r>
    </w:p>
    <w:p>
      <w:pPr>
        <w:pStyle w:val="ListBullet"/>
        <w:spacing w:after="40"/>
      </w:pPr>
      <w:r>
        <w:t>Total delivered orders: 96,478; total order value: R$ 15,422,605.23.</w:t>
      </w:r>
    </w:p>
    <w:p>
      <w:pPr>
        <w:pStyle w:val="ListBullet"/>
        <w:spacing w:after="40"/>
      </w:pPr>
      <w:r>
        <w:t>November 2017 was the peak month with 7,289 orders and R$ 1,153,528.05 in total order value.</w:t>
      </w:r>
    </w:p>
    <w:p>
      <w:pPr>
        <w:pStyle w:val="ListBullet"/>
        <w:spacing w:after="40"/>
      </w:pPr>
      <w:r>
        <w:t>Overall customer satisfaction was 4.14/5, with an overall late-delivery rate of 8.11%.</w:t>
      </w:r>
    </w:p>
    <w:p>
      <w:pPr>
        <w:pStyle w:val="ListBullet"/>
        <w:spacing w:after="40"/>
      </w:pPr>
      <w:r>
        <w:t>Average review declined from 4.28 for early deliveries to 1.72 for orders 8+ days late.</w:t>
      </w:r>
    </w:p>
    <w:p>
      <w:pPr>
        <w:pStyle w:val="ListBullet"/>
        <w:spacing w:after="40"/>
      </w:pPr>
      <w:r>
        <w:t>Low-rated customers were about 9.6× more likely to have a late delivery than high-rated customers.</w:t>
      </w:r>
    </w:p>
    <w:p>
      <w:pPr>
        <w:pStyle w:val="ListBullet"/>
        <w:spacing w:after="40"/>
      </w:pPr>
      <w:r>
        <w:t>Geographic differences in freight and late delivery accompany differences in review performance.</w:t>
      </w:r>
    </w:p>
    <w:p>
      <w:pPr>
        <w:pStyle w:val="ListBullet"/>
        <w:spacing w:after="40"/>
      </w:pPr>
      <w:r>
        <w:t>Credit card is the dominant payment method and is associated with higher order value, but payment type shows little variation in review scores.</w:t>
      </w:r>
    </w:p>
    <w:p>
      <w:pPr>
        <w:pStyle w:val="Heading1"/>
      </w:pPr>
      <w:r>
        <w:t>4. Question 1 — Marketplace Performance Over Time</w:t>
      </w:r>
    </w:p>
    <w:p>
      <w:r>
        <w:t>Order volume and value increased substantially across the observed period, while review performance did not rise uniformly with scale.</w:t>
      </w:r>
    </w:p>
    <w:p>
      <w:pPr>
        <w:jc w:val="center"/>
      </w:pPr>
      <w:r>
        <w:drawing>
          <wp:inline xmlns:a="http://schemas.openxmlformats.org/drawingml/2006/main" xmlns:pic="http://schemas.openxmlformats.org/drawingml/2006/picture">
            <wp:extent cx="6035040" cy="3026204"/>
            <wp:docPr id="1" name="Picture 1"/>
            <wp:cNvGraphicFramePr>
              <a:graphicFrameLocks noChangeAspect="1"/>
            </wp:cNvGraphicFramePr>
            <a:graphic>
              <a:graphicData uri="http://schemas.openxmlformats.org/drawingml/2006/picture">
                <pic:pic>
                  <pic:nvPicPr>
                    <pic:cNvPr id="0" name="monthly_orders.png"/>
                    <pic:cNvPicPr/>
                  </pic:nvPicPr>
                  <pic:blipFill>
                    <a:blip r:embed="rId9"/>
                    <a:stretch>
                      <a:fillRect/>
                    </a:stretch>
                  </pic:blipFill>
                  <pic:spPr>
                    <a:xfrm>
                      <a:off x="0" y="0"/>
                      <a:ext cx="6035040" cy="3026204"/>
                    </a:xfrm>
                    <a:prstGeom prst="rect"/>
                  </pic:spPr>
                </pic:pic>
              </a:graphicData>
            </a:graphic>
          </wp:inline>
        </w:drawing>
      </w:r>
    </w:p>
    <w:p>
      <w:pPr>
        <w:jc w:val="center"/>
      </w:pPr>
      <w:r>
        <w:drawing>
          <wp:inline xmlns:a="http://schemas.openxmlformats.org/drawingml/2006/main" xmlns:pic="http://schemas.openxmlformats.org/drawingml/2006/picture">
            <wp:extent cx="6035040" cy="3028382"/>
            <wp:docPr id="2" name="Picture 2"/>
            <wp:cNvGraphicFramePr>
              <a:graphicFrameLocks noChangeAspect="1"/>
            </wp:cNvGraphicFramePr>
            <a:graphic>
              <a:graphicData uri="http://schemas.openxmlformats.org/drawingml/2006/picture">
                <pic:pic>
                  <pic:nvPicPr>
                    <pic:cNvPr id="0" name="monthly_value.png"/>
                    <pic:cNvPicPr/>
                  </pic:nvPicPr>
                  <pic:blipFill>
                    <a:blip r:embed="rId10"/>
                    <a:stretch>
                      <a:fillRect/>
                    </a:stretch>
                  </pic:blipFill>
                  <pic:spPr>
                    <a:xfrm>
                      <a:off x="0" y="0"/>
                      <a:ext cx="6035040" cy="3028382"/>
                    </a:xfrm>
                    <a:prstGeom prst="rect"/>
                  </pic:spPr>
                </pic:pic>
              </a:graphicData>
            </a:graphic>
          </wp:inline>
        </w:drawing>
      </w:r>
    </w:p>
    <w:p>
      <w:r>
        <w:t>November 2017 was the strongest month: 7,289 orders, product revenue of R$ 987,765.37, freight of R$ 165,598.83, and total order value of R$ 1,153,528.05. The month’s average review score was 3.98, below the overall average of 4.14.</w:t>
      </w:r>
    </w:p>
    <w:tbl>
      <w:tblPr>
        <w:tblStyle w:val="TableGrid"/>
        <w:tblW w:type="auto" w:w="0"/>
        <w:tblLook w:firstColumn="1" w:firstRow="1" w:lastColumn="0" w:lastRow="0" w:noHBand="0" w:noVBand="1" w:val="04A0"/>
      </w:tblPr>
      <w:tblGrid>
        <w:gridCol w:w="10080"/>
      </w:tblGrid>
      <w:tr>
        <w:tc>
          <w:tcPr>
            <w:tcW w:type="dxa" w:w="10080"/>
            <w:shd w:fill="EAF2F8"/>
          </w:tcPr>
          <w:p>
            <w:r>
              <w:rPr>
                <w:b/>
                <w:sz w:val="22"/>
              </w:rPr>
              <w:t>Business finding</w:t>
              <w:br/>
            </w:r>
            <w:r>
              <w:rPr>
                <w:sz w:val="20"/>
              </w:rPr>
              <w:t>Marketplace growth and customer experience do not move perfectly together. Operational capacity needs to scale alongside demand.</w:t>
            </w:r>
          </w:p>
        </w:tc>
      </w:tr>
    </w:tbl>
    <w:p/>
    <w:p>
      <w:pPr>
        <w:pStyle w:val="Heading1"/>
      </w:pPr>
      <w:r>
        <w:t>5. Question 2 — Delivery Performance &amp; Customer Satisfaction</w:t>
      </w:r>
    </w:p>
    <w:p>
      <w:r>
        <w:t>Delivery timing shows the clearest relationship with review scores.</w:t>
      </w:r>
    </w:p>
    <w:p>
      <w:pPr>
        <w:jc w:val="center"/>
      </w:pPr>
      <w:r>
        <w:drawing>
          <wp:inline xmlns:a="http://schemas.openxmlformats.org/drawingml/2006/main" xmlns:pic="http://schemas.openxmlformats.org/drawingml/2006/picture">
            <wp:extent cx="6035040" cy="3248559"/>
            <wp:docPr id="3" name="Picture 3"/>
            <wp:cNvGraphicFramePr>
              <a:graphicFrameLocks noChangeAspect="1"/>
            </wp:cNvGraphicFramePr>
            <a:graphic>
              <a:graphicData uri="http://schemas.openxmlformats.org/drawingml/2006/picture">
                <pic:pic>
                  <pic:nvPicPr>
                    <pic:cNvPr id="0" name="delivery_review.png"/>
                    <pic:cNvPicPr/>
                  </pic:nvPicPr>
                  <pic:blipFill>
                    <a:blip r:embed="rId11"/>
                    <a:stretch>
                      <a:fillRect/>
                    </a:stretch>
                  </pic:blipFill>
                  <pic:spPr>
                    <a:xfrm>
                      <a:off x="0" y="0"/>
                      <a:ext cx="6035040" cy="3248559"/>
                    </a:xfrm>
                    <a:prstGeom prst="rect"/>
                  </pic:spPr>
                </pic:pic>
              </a:graphicData>
            </a:graphic>
          </wp:inline>
        </w:drawing>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8"/>
          </w:tcPr>
          <w:p>
            <w:r>
              <w:rPr>
                <w:b/>
                <w:color w:val="FFFFFF"/>
                <w:sz w:val="17"/>
              </w:rPr>
              <w:t>Delivery bucket</w:t>
            </w:r>
          </w:p>
        </w:tc>
        <w:tc>
          <w:tcPr>
            <w:tcW w:type="dxa" w:w="2016"/>
            <w:shd w:fill="1F4E78"/>
          </w:tcPr>
          <w:p>
            <w:r>
              <w:rPr>
                <w:b/>
                <w:color w:val="FFFFFF"/>
                <w:sz w:val="17"/>
              </w:rPr>
              <w:t>Orders</w:t>
            </w:r>
          </w:p>
        </w:tc>
        <w:tc>
          <w:tcPr>
            <w:tcW w:type="dxa" w:w="2016"/>
            <w:shd w:fill="1F4E78"/>
          </w:tcPr>
          <w:p>
            <w:r>
              <w:rPr>
                <w:b/>
                <w:color w:val="FFFFFF"/>
                <w:sz w:val="17"/>
              </w:rPr>
              <w:t>Avg delay (days)</w:t>
            </w:r>
          </w:p>
        </w:tc>
        <w:tc>
          <w:tcPr>
            <w:tcW w:type="dxa" w:w="2016"/>
            <w:shd w:fill="1F4E78"/>
          </w:tcPr>
          <w:p>
            <w:r>
              <w:rPr>
                <w:b/>
                <w:color w:val="FFFFFF"/>
                <w:sz w:val="17"/>
              </w:rPr>
              <w:t>Avg review</w:t>
            </w:r>
          </w:p>
        </w:tc>
        <w:tc>
          <w:tcPr>
            <w:tcW w:type="dxa" w:w="2016"/>
            <w:shd w:fill="1F4E78"/>
          </w:tcPr>
          <w:p>
            <w:r>
              <w:rPr>
                <w:b/>
                <w:color w:val="FFFFFF"/>
                <w:sz w:val="17"/>
              </w:rPr>
              <w:t>Low rating %</w:t>
            </w:r>
          </w:p>
        </w:tc>
      </w:tr>
      <w:tr>
        <w:tc>
          <w:tcPr>
            <w:tcW w:type="dxa" w:w="2016"/>
          </w:tcPr>
          <w:p>
            <w:r>
              <w:rPr>
                <w:sz w:val="17"/>
              </w:rPr>
              <w:t>Early</w:t>
            </w:r>
          </w:p>
        </w:tc>
        <w:tc>
          <w:tcPr>
            <w:tcW w:type="dxa" w:w="2016"/>
          </w:tcPr>
          <w:p>
            <w:r>
              <w:rPr>
                <w:sz w:val="17"/>
              </w:rPr>
              <w:t>88,644</w:t>
            </w:r>
          </w:p>
        </w:tc>
        <w:tc>
          <w:tcPr>
            <w:tcW w:type="dxa" w:w="2016"/>
          </w:tcPr>
          <w:p>
            <w:r>
              <w:rPr>
                <w:sz w:val="17"/>
              </w:rPr>
              <w:t>-13.01</w:t>
            </w:r>
          </w:p>
        </w:tc>
        <w:tc>
          <w:tcPr>
            <w:tcW w:type="dxa" w:w="2016"/>
          </w:tcPr>
          <w:p>
            <w:r>
              <w:rPr>
                <w:sz w:val="17"/>
              </w:rPr>
              <w:t>4.28</w:t>
            </w:r>
          </w:p>
        </w:tc>
        <w:tc>
          <w:tcPr>
            <w:tcW w:type="dxa" w:w="2016"/>
          </w:tcPr>
          <w:p>
            <w:r>
              <w:rPr>
                <w:sz w:val="17"/>
              </w:rPr>
              <w:t>9.46%</w:t>
            </w:r>
          </w:p>
        </w:tc>
      </w:tr>
      <w:tr>
        <w:tc>
          <w:tcPr>
            <w:tcW w:type="dxa" w:w="2016"/>
          </w:tcPr>
          <w:p>
            <w:r>
              <w:rPr>
                <w:sz w:val="17"/>
              </w:rPr>
              <w:t>1–3 days late</w:t>
            </w:r>
          </w:p>
        </w:tc>
        <w:tc>
          <w:tcPr>
            <w:tcW w:type="dxa" w:w="2016"/>
          </w:tcPr>
          <w:p>
            <w:r>
              <w:rPr>
                <w:sz w:val="17"/>
              </w:rPr>
              <w:t>2,662</w:t>
            </w:r>
          </w:p>
        </w:tc>
        <w:tc>
          <w:tcPr>
            <w:tcW w:type="dxa" w:w="2016"/>
          </w:tcPr>
          <w:p>
            <w:r>
              <w:rPr>
                <w:sz w:val="17"/>
              </w:rPr>
              <w:t>1.40</w:t>
            </w:r>
          </w:p>
        </w:tc>
        <w:tc>
          <w:tcPr>
            <w:tcW w:type="dxa" w:w="2016"/>
          </w:tcPr>
          <w:p>
            <w:r>
              <w:rPr>
                <w:sz w:val="17"/>
              </w:rPr>
              <w:t>3.75</w:t>
            </w:r>
          </w:p>
        </w:tc>
        <w:tc>
          <w:tcPr>
            <w:tcW w:type="dxa" w:w="2016"/>
          </w:tcPr>
          <w:p>
            <w:r>
              <w:rPr>
                <w:sz w:val="17"/>
              </w:rPr>
              <w:t>19.53%</w:t>
            </w:r>
          </w:p>
        </w:tc>
      </w:tr>
      <w:tr>
        <w:tc>
          <w:tcPr>
            <w:tcW w:type="dxa" w:w="2016"/>
          </w:tcPr>
          <w:p>
            <w:r>
              <w:rPr>
                <w:sz w:val="17"/>
              </w:rPr>
              <w:t>4–7 days late</w:t>
            </w:r>
          </w:p>
        </w:tc>
        <w:tc>
          <w:tcPr>
            <w:tcW w:type="dxa" w:w="2016"/>
          </w:tcPr>
          <w:p>
            <w:r>
              <w:rPr>
                <w:sz w:val="17"/>
              </w:rPr>
              <w:t>1,819</w:t>
            </w:r>
          </w:p>
        </w:tc>
        <w:tc>
          <w:tcPr>
            <w:tcW w:type="dxa" w:w="2016"/>
          </w:tcPr>
          <w:p>
            <w:r>
              <w:rPr>
                <w:sz w:val="17"/>
              </w:rPr>
              <w:t>5.12</w:t>
            </w:r>
          </w:p>
        </w:tc>
        <w:tc>
          <w:tcPr>
            <w:tcW w:type="dxa" w:w="2016"/>
          </w:tcPr>
          <w:p>
            <w:r>
              <w:rPr>
                <w:sz w:val="17"/>
              </w:rPr>
              <w:t>2.30</w:t>
            </w:r>
          </w:p>
        </w:tc>
        <w:tc>
          <w:tcPr>
            <w:tcW w:type="dxa" w:w="2016"/>
          </w:tcPr>
          <w:p>
            <w:r>
              <w:rPr>
                <w:sz w:val="17"/>
              </w:rPr>
              <w:t>61.79%</w:t>
            </w:r>
          </w:p>
        </w:tc>
      </w:tr>
      <w:tr>
        <w:tc>
          <w:tcPr>
            <w:tcW w:type="dxa" w:w="2016"/>
          </w:tcPr>
          <w:p>
            <w:r>
              <w:rPr>
                <w:sz w:val="17"/>
              </w:rPr>
              <w:t>8+ days late</w:t>
            </w:r>
          </w:p>
        </w:tc>
        <w:tc>
          <w:tcPr>
            <w:tcW w:type="dxa" w:w="2016"/>
          </w:tcPr>
          <w:p>
            <w:r>
              <w:rPr>
                <w:sz w:val="17"/>
              </w:rPr>
              <w:t>3,345</w:t>
            </w:r>
          </w:p>
        </w:tc>
        <w:tc>
          <w:tcPr>
            <w:tcW w:type="dxa" w:w="2016"/>
          </w:tcPr>
          <w:p>
            <w:r>
              <w:rPr>
                <w:sz w:val="17"/>
              </w:rPr>
              <w:t>18.45</w:t>
            </w:r>
          </w:p>
        </w:tc>
        <w:tc>
          <w:tcPr>
            <w:tcW w:type="dxa" w:w="2016"/>
          </w:tcPr>
          <w:p>
            <w:r>
              <w:rPr>
                <w:sz w:val="17"/>
              </w:rPr>
              <w:t>1.72</w:t>
            </w:r>
          </w:p>
        </w:tc>
        <w:tc>
          <w:tcPr>
            <w:tcW w:type="dxa" w:w="2016"/>
          </w:tcPr>
          <w:p>
            <w:r>
              <w:rPr>
                <w:sz w:val="17"/>
              </w:rPr>
              <w:t>78.51%</w:t>
            </w:r>
          </w:p>
        </w:tc>
      </w:tr>
    </w:tbl>
    <w:p>
      <w:r>
        <w:t>Low-rated orders had a late-delivery rate of 33.74%, versus 3.51% among high-rated orders. That is approximately 9.6× higher.</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7"/>
              </w:rPr>
              <w:t>Factor</w:t>
            </w:r>
          </w:p>
        </w:tc>
        <w:tc>
          <w:tcPr>
            <w:tcW w:type="dxa" w:w="5040"/>
            <w:shd w:fill="1F4E78"/>
          </w:tcPr>
          <w:p>
            <w:r>
              <w:rPr>
                <w:b/>
                <w:color w:val="FFFFFF"/>
                <w:sz w:val="17"/>
              </w:rPr>
              <w:t>Correlation with review score</w:t>
            </w:r>
          </w:p>
        </w:tc>
      </w:tr>
      <w:tr>
        <w:tc>
          <w:tcPr>
            <w:tcW w:type="dxa" w:w="5040"/>
          </w:tcPr>
          <w:p>
            <w:r>
              <w:rPr>
                <w:sz w:val="17"/>
              </w:rPr>
              <w:t>delivery_delay_days</w:t>
            </w:r>
          </w:p>
        </w:tc>
        <w:tc>
          <w:tcPr>
            <w:tcW w:type="dxa" w:w="5040"/>
          </w:tcPr>
          <w:p>
            <w:r>
              <w:rPr>
                <w:sz w:val="17"/>
              </w:rPr>
              <w:t>-0.27</w:t>
            </w:r>
          </w:p>
        </w:tc>
      </w:tr>
      <w:tr>
        <w:tc>
          <w:tcPr>
            <w:tcW w:type="dxa" w:w="5040"/>
          </w:tcPr>
          <w:p>
            <w:r>
              <w:rPr>
                <w:sz w:val="17"/>
              </w:rPr>
              <w:t>total_freight_value</w:t>
            </w:r>
          </w:p>
        </w:tc>
        <w:tc>
          <w:tcPr>
            <w:tcW w:type="dxa" w:w="5040"/>
          </w:tcPr>
          <w:p>
            <w:r>
              <w:rPr>
                <w:sz w:val="17"/>
              </w:rPr>
              <w:t>-0.09</w:t>
            </w:r>
          </w:p>
        </w:tc>
      </w:tr>
      <w:tr>
        <w:tc>
          <w:tcPr>
            <w:tcW w:type="dxa" w:w="5040"/>
          </w:tcPr>
          <w:p>
            <w:r>
              <w:rPr>
                <w:sz w:val="17"/>
              </w:rPr>
              <w:t>total_payment_value</w:t>
            </w:r>
          </w:p>
        </w:tc>
        <w:tc>
          <w:tcPr>
            <w:tcW w:type="dxa" w:w="5040"/>
          </w:tcPr>
          <w:p>
            <w:r>
              <w:rPr>
                <w:sz w:val="17"/>
              </w:rPr>
              <w:t>-0.04</w:t>
            </w:r>
          </w:p>
        </w:tc>
      </w:tr>
      <w:tr>
        <w:tc>
          <w:tcPr>
            <w:tcW w:type="dxa" w:w="5040"/>
          </w:tcPr>
          <w:p>
            <w:r>
              <w:rPr>
                <w:sz w:val="17"/>
              </w:rPr>
              <w:t>total_item_price</w:t>
            </w:r>
          </w:p>
        </w:tc>
        <w:tc>
          <w:tcPr>
            <w:tcW w:type="dxa" w:w="5040"/>
          </w:tcPr>
          <w:p>
            <w:r>
              <w:rPr>
                <w:sz w:val="17"/>
              </w:rPr>
              <w:t>-0.04</w:t>
            </w:r>
          </w:p>
        </w:tc>
      </w:tr>
      <w:tr>
        <w:tc>
          <w:tcPr>
            <w:tcW w:type="dxa" w:w="5040"/>
          </w:tcPr>
          <w:p>
            <w:r>
              <w:rPr>
                <w:sz w:val="17"/>
              </w:rPr>
              <w:t>max_installments</w:t>
            </w:r>
          </w:p>
        </w:tc>
        <w:tc>
          <w:tcPr>
            <w:tcW w:type="dxa" w:w="5040"/>
          </w:tcPr>
          <w:p>
            <w:r>
              <w:rPr>
                <w:sz w:val="17"/>
              </w:rPr>
              <w:t>-0.03</w:t>
            </w:r>
          </w:p>
        </w:tc>
      </w:tr>
    </w:tbl>
    <w:tbl>
      <w:tblPr>
        <w:tblStyle w:val="TableGrid"/>
        <w:tblW w:type="auto" w:w="0"/>
        <w:tblLook w:firstColumn="1" w:firstRow="1" w:lastColumn="0" w:lastRow="0" w:noHBand="0" w:noVBand="1" w:val="04A0"/>
      </w:tblPr>
      <w:tblGrid>
        <w:gridCol w:w="10080"/>
      </w:tblGrid>
      <w:tr>
        <w:tc>
          <w:tcPr>
            <w:tcW w:type="dxa" w:w="10080"/>
            <w:shd w:fill="EAF2F8"/>
          </w:tcPr>
          <w:p>
            <w:r>
              <w:rPr>
                <w:b/>
                <w:sz w:val="22"/>
              </w:rPr>
              <w:t>Business finding</w:t>
              <w:br/>
            </w:r>
            <w:r>
              <w:rPr>
                <w:sz w:val="20"/>
              </w:rPr>
              <w:t>Delivery reliability is the primary measured operational signal. Freight is a weaker secondary signal; transaction value and installments are weaker still.</w:t>
            </w:r>
          </w:p>
        </w:tc>
      </w:tr>
    </w:tbl>
    <w:p/>
    <w:p>
      <w:pPr>
        <w:pStyle w:val="Heading1"/>
      </w:pPr>
      <w:r>
        <w:t>6. Question 3 — Seller &amp; Geographic Patterns</w:t>
      </w:r>
    </w:p>
    <w:p>
      <w:r>
        <w:t>São Paulo is the largest customer market with 40,501 orders (42.0% of the dataset), average review 4.23, average freight R$ 17.33, and late rate 5.89%.</w:t>
      </w:r>
    </w:p>
    <w:p>
      <w:pPr>
        <w:jc w:val="center"/>
      </w:pPr>
      <w:r>
        <w:drawing>
          <wp:inline xmlns:a="http://schemas.openxmlformats.org/drawingml/2006/main" xmlns:pic="http://schemas.openxmlformats.org/drawingml/2006/picture">
            <wp:extent cx="6035040" cy="3323239"/>
            <wp:docPr id="4" name="Picture 4"/>
            <wp:cNvGraphicFramePr>
              <a:graphicFrameLocks noChangeAspect="1"/>
            </wp:cNvGraphicFramePr>
            <a:graphic>
              <a:graphicData uri="http://schemas.openxmlformats.org/drawingml/2006/picture">
                <pic:pic>
                  <pic:nvPicPr>
                    <pic:cNvPr id="0" name="state_volume.png"/>
                    <pic:cNvPicPr/>
                  </pic:nvPicPr>
                  <pic:blipFill>
                    <a:blip r:embed="rId12"/>
                    <a:stretch>
                      <a:fillRect/>
                    </a:stretch>
                  </pic:blipFill>
                  <pic:spPr>
                    <a:xfrm>
                      <a:off x="0" y="0"/>
                      <a:ext cx="6035040" cy="3323239"/>
                    </a:xfrm>
                    <a:prstGeom prst="rect"/>
                  </pic:spPr>
                </pic:pic>
              </a:graphicData>
            </a:graphic>
          </wp:inline>
        </w:drawing>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8"/>
          </w:tcPr>
          <w:p>
            <w:r>
              <w:rPr>
                <w:b/>
                <w:color w:val="FFFFFF"/>
                <w:sz w:val="17"/>
              </w:rPr>
              <w:t>State</w:t>
            </w:r>
          </w:p>
        </w:tc>
        <w:tc>
          <w:tcPr>
            <w:tcW w:type="dxa" w:w="2016"/>
            <w:shd w:fill="1F4E78"/>
          </w:tcPr>
          <w:p>
            <w:r>
              <w:rPr>
                <w:b/>
                <w:color w:val="FFFFFF"/>
                <w:sz w:val="17"/>
              </w:rPr>
              <w:t>orders</w:t>
            </w:r>
          </w:p>
        </w:tc>
        <w:tc>
          <w:tcPr>
            <w:tcW w:type="dxa" w:w="2016"/>
            <w:shd w:fill="1F4E78"/>
          </w:tcPr>
          <w:p>
            <w:r>
              <w:rPr>
                <w:b/>
                <w:color w:val="FFFFFF"/>
                <w:sz w:val="17"/>
              </w:rPr>
              <w:t>avg_review</w:t>
            </w:r>
          </w:p>
        </w:tc>
        <w:tc>
          <w:tcPr>
            <w:tcW w:type="dxa" w:w="2016"/>
            <w:shd w:fill="1F4E78"/>
          </w:tcPr>
          <w:p>
            <w:r>
              <w:rPr>
                <w:b/>
                <w:color w:val="FFFFFF"/>
                <w:sz w:val="17"/>
              </w:rPr>
              <w:t>avg_freight</w:t>
            </w:r>
          </w:p>
        </w:tc>
        <w:tc>
          <w:tcPr>
            <w:tcW w:type="dxa" w:w="2016"/>
            <w:shd w:fill="1F4E78"/>
          </w:tcPr>
          <w:p>
            <w:r>
              <w:rPr>
                <w:b/>
                <w:color w:val="FFFFFF"/>
                <w:sz w:val="17"/>
              </w:rPr>
              <w:t>late_rate_pct</w:t>
            </w:r>
          </w:p>
        </w:tc>
      </w:tr>
      <w:tr>
        <w:tc>
          <w:tcPr>
            <w:tcW w:type="dxa" w:w="2016"/>
          </w:tcPr>
          <w:p>
            <w:r>
              <w:rPr>
                <w:sz w:val="17"/>
              </w:rPr>
              <w:t>SP</w:t>
            </w:r>
          </w:p>
        </w:tc>
        <w:tc>
          <w:tcPr>
            <w:tcW w:type="dxa" w:w="2016"/>
          </w:tcPr>
          <w:p>
            <w:r>
              <w:rPr>
                <w:sz w:val="17"/>
              </w:rPr>
              <w:t>40,501</w:t>
            </w:r>
          </w:p>
        </w:tc>
        <w:tc>
          <w:tcPr>
            <w:tcW w:type="dxa" w:w="2016"/>
          </w:tcPr>
          <w:p>
            <w:r>
              <w:rPr>
                <w:sz w:val="17"/>
              </w:rPr>
              <w:t>4.23</w:t>
            </w:r>
          </w:p>
        </w:tc>
        <w:tc>
          <w:tcPr>
            <w:tcW w:type="dxa" w:w="2016"/>
          </w:tcPr>
          <w:p>
            <w:r>
              <w:rPr>
                <w:sz w:val="17"/>
              </w:rPr>
              <w:t>R$ 17.33</w:t>
            </w:r>
          </w:p>
        </w:tc>
        <w:tc>
          <w:tcPr>
            <w:tcW w:type="dxa" w:w="2016"/>
          </w:tcPr>
          <w:p>
            <w:r>
              <w:rPr>
                <w:sz w:val="17"/>
              </w:rPr>
              <w:t>5.89%</w:t>
            </w:r>
          </w:p>
        </w:tc>
      </w:tr>
      <w:tr>
        <w:tc>
          <w:tcPr>
            <w:tcW w:type="dxa" w:w="2016"/>
          </w:tcPr>
          <w:p>
            <w:r>
              <w:rPr>
                <w:sz w:val="17"/>
              </w:rPr>
              <w:t>RJ</w:t>
            </w:r>
          </w:p>
        </w:tc>
        <w:tc>
          <w:tcPr>
            <w:tcW w:type="dxa" w:w="2016"/>
          </w:tcPr>
          <w:p>
            <w:r>
              <w:rPr>
                <w:sz w:val="17"/>
              </w:rPr>
              <w:t>12,350</w:t>
            </w:r>
          </w:p>
        </w:tc>
        <w:tc>
          <w:tcPr>
            <w:tcW w:type="dxa" w:w="2016"/>
          </w:tcPr>
          <w:p>
            <w:r>
              <w:rPr>
                <w:sz w:val="17"/>
              </w:rPr>
              <w:t>3.95</w:t>
            </w:r>
          </w:p>
        </w:tc>
        <w:tc>
          <w:tcPr>
            <w:tcW w:type="dxa" w:w="2016"/>
          </w:tcPr>
          <w:p>
            <w:r>
              <w:rPr>
                <w:sz w:val="17"/>
              </w:rPr>
              <w:t>R$ 23.95</w:t>
            </w:r>
          </w:p>
        </w:tc>
        <w:tc>
          <w:tcPr>
            <w:tcW w:type="dxa" w:w="2016"/>
          </w:tcPr>
          <w:p>
            <w:r>
              <w:rPr>
                <w:sz w:val="17"/>
              </w:rPr>
              <w:t>13.47%</w:t>
            </w:r>
          </w:p>
        </w:tc>
      </w:tr>
      <w:tr>
        <w:tc>
          <w:tcPr>
            <w:tcW w:type="dxa" w:w="2016"/>
          </w:tcPr>
          <w:p>
            <w:r>
              <w:rPr>
                <w:sz w:val="17"/>
              </w:rPr>
              <w:t>MG</w:t>
            </w:r>
          </w:p>
        </w:tc>
        <w:tc>
          <w:tcPr>
            <w:tcW w:type="dxa" w:w="2016"/>
          </w:tcPr>
          <w:p>
            <w:r>
              <w:rPr>
                <w:sz w:val="17"/>
              </w:rPr>
              <w:t>11,354</w:t>
            </w:r>
          </w:p>
        </w:tc>
        <w:tc>
          <w:tcPr>
            <w:tcW w:type="dxa" w:w="2016"/>
          </w:tcPr>
          <w:p>
            <w:r>
              <w:rPr>
                <w:sz w:val="17"/>
              </w:rPr>
              <w:t>4.18</w:t>
            </w:r>
          </w:p>
        </w:tc>
        <w:tc>
          <w:tcPr>
            <w:tcW w:type="dxa" w:w="2016"/>
          </w:tcPr>
          <w:p>
            <w:r>
              <w:rPr>
                <w:sz w:val="17"/>
              </w:rPr>
              <w:t>R$ 23.46</w:t>
            </w:r>
          </w:p>
        </w:tc>
        <w:tc>
          <w:tcPr>
            <w:tcW w:type="dxa" w:w="2016"/>
          </w:tcPr>
          <w:p>
            <w:r>
              <w:rPr>
                <w:sz w:val="17"/>
              </w:rPr>
              <w:t>5.61%</w:t>
            </w:r>
          </w:p>
        </w:tc>
      </w:tr>
      <w:tr>
        <w:tc>
          <w:tcPr>
            <w:tcW w:type="dxa" w:w="2016"/>
          </w:tcPr>
          <w:p>
            <w:r>
              <w:rPr>
                <w:sz w:val="17"/>
              </w:rPr>
              <w:t>RS</w:t>
            </w:r>
          </w:p>
        </w:tc>
        <w:tc>
          <w:tcPr>
            <w:tcW w:type="dxa" w:w="2016"/>
          </w:tcPr>
          <w:p>
            <w:r>
              <w:rPr>
                <w:sz w:val="17"/>
              </w:rPr>
              <w:t>5,345</w:t>
            </w:r>
          </w:p>
        </w:tc>
        <w:tc>
          <w:tcPr>
            <w:tcW w:type="dxa" w:w="2016"/>
          </w:tcPr>
          <w:p>
            <w:r>
              <w:rPr>
                <w:sz w:val="17"/>
              </w:rPr>
              <w:t>4.18</w:t>
            </w:r>
          </w:p>
        </w:tc>
        <w:tc>
          <w:tcPr>
            <w:tcW w:type="dxa" w:w="2016"/>
          </w:tcPr>
          <w:p>
            <w:r>
              <w:rPr>
                <w:sz w:val="17"/>
              </w:rPr>
              <w:t>R$ 24.80</w:t>
            </w:r>
          </w:p>
        </w:tc>
        <w:tc>
          <w:tcPr>
            <w:tcW w:type="dxa" w:w="2016"/>
          </w:tcPr>
          <w:p>
            <w:r>
              <w:rPr>
                <w:sz w:val="17"/>
              </w:rPr>
              <w:t>7.15%</w:t>
            </w:r>
          </w:p>
        </w:tc>
      </w:tr>
      <w:tr>
        <w:tc>
          <w:tcPr>
            <w:tcW w:type="dxa" w:w="2016"/>
          </w:tcPr>
          <w:p>
            <w:r>
              <w:rPr>
                <w:sz w:val="17"/>
              </w:rPr>
              <w:t>PR</w:t>
            </w:r>
          </w:p>
        </w:tc>
        <w:tc>
          <w:tcPr>
            <w:tcW w:type="dxa" w:w="2016"/>
          </w:tcPr>
          <w:p>
            <w:r>
              <w:rPr>
                <w:sz w:val="17"/>
              </w:rPr>
              <w:t>4,923</w:t>
            </w:r>
          </w:p>
        </w:tc>
        <w:tc>
          <w:tcPr>
            <w:tcW w:type="dxa" w:w="2016"/>
          </w:tcPr>
          <w:p>
            <w:r>
              <w:rPr>
                <w:sz w:val="17"/>
              </w:rPr>
              <w:t>4.23</w:t>
            </w:r>
          </w:p>
        </w:tc>
        <w:tc>
          <w:tcPr>
            <w:tcW w:type="dxa" w:w="2016"/>
          </w:tcPr>
          <w:p>
            <w:r>
              <w:rPr>
                <w:sz w:val="17"/>
              </w:rPr>
              <w:t>R$ 23.49</w:t>
            </w:r>
          </w:p>
        </w:tc>
        <w:tc>
          <w:tcPr>
            <w:tcW w:type="dxa" w:w="2016"/>
          </w:tcPr>
          <w:p>
            <w:r>
              <w:rPr>
                <w:sz w:val="17"/>
              </w:rPr>
              <w:t>5.00%</w:t>
            </w:r>
          </w:p>
        </w:tc>
      </w:tr>
      <w:tr>
        <w:tc>
          <w:tcPr>
            <w:tcW w:type="dxa" w:w="2016"/>
          </w:tcPr>
          <w:p>
            <w:r>
              <w:rPr>
                <w:sz w:val="17"/>
              </w:rPr>
              <w:t>SC</w:t>
            </w:r>
          </w:p>
        </w:tc>
        <w:tc>
          <w:tcPr>
            <w:tcW w:type="dxa" w:w="2016"/>
          </w:tcPr>
          <w:p>
            <w:r>
              <w:rPr>
                <w:sz w:val="17"/>
              </w:rPr>
              <w:t>3,546</w:t>
            </w:r>
          </w:p>
        </w:tc>
        <w:tc>
          <w:tcPr>
            <w:tcW w:type="dxa" w:w="2016"/>
          </w:tcPr>
          <w:p>
            <w:r>
              <w:rPr>
                <w:sz w:val="17"/>
              </w:rPr>
              <w:t>4.12</w:t>
            </w:r>
          </w:p>
        </w:tc>
        <w:tc>
          <w:tcPr>
            <w:tcW w:type="dxa" w:w="2016"/>
          </w:tcPr>
          <w:p>
            <w:r>
              <w:rPr>
                <w:sz w:val="17"/>
              </w:rPr>
              <w:t>R$ 24.85</w:t>
            </w:r>
          </w:p>
        </w:tc>
        <w:tc>
          <w:tcPr>
            <w:tcW w:type="dxa" w:w="2016"/>
          </w:tcPr>
          <w:p>
            <w:r>
              <w:rPr>
                <w:sz w:val="17"/>
              </w:rPr>
              <w:t>9.76%</w:t>
            </w:r>
          </w:p>
        </w:tc>
      </w:tr>
      <w:tr>
        <w:tc>
          <w:tcPr>
            <w:tcW w:type="dxa" w:w="2016"/>
          </w:tcPr>
          <w:p>
            <w:r>
              <w:rPr>
                <w:sz w:val="17"/>
              </w:rPr>
              <w:t>BA</w:t>
            </w:r>
          </w:p>
        </w:tc>
        <w:tc>
          <w:tcPr>
            <w:tcW w:type="dxa" w:w="2016"/>
          </w:tcPr>
          <w:p>
            <w:r>
              <w:rPr>
                <w:sz w:val="17"/>
              </w:rPr>
              <w:t>3,256</w:t>
            </w:r>
          </w:p>
        </w:tc>
        <w:tc>
          <w:tcPr>
            <w:tcW w:type="dxa" w:w="2016"/>
          </w:tcPr>
          <w:p>
            <w:r>
              <w:rPr>
                <w:sz w:val="17"/>
              </w:rPr>
              <w:t>3.91</w:t>
            </w:r>
          </w:p>
        </w:tc>
        <w:tc>
          <w:tcPr>
            <w:tcW w:type="dxa" w:w="2016"/>
          </w:tcPr>
          <w:p>
            <w:r>
              <w:rPr>
                <w:sz w:val="17"/>
              </w:rPr>
              <w:t>R$ 29.96</w:t>
            </w:r>
          </w:p>
        </w:tc>
        <w:tc>
          <w:tcPr>
            <w:tcW w:type="dxa" w:w="2016"/>
          </w:tcPr>
          <w:p>
            <w:r>
              <w:rPr>
                <w:sz w:val="17"/>
              </w:rPr>
              <w:t>14.04%</w:t>
            </w:r>
          </w:p>
        </w:tc>
      </w:tr>
      <w:tr>
        <w:tc>
          <w:tcPr>
            <w:tcW w:type="dxa" w:w="2016"/>
          </w:tcPr>
          <w:p>
            <w:r>
              <w:rPr>
                <w:sz w:val="17"/>
              </w:rPr>
              <w:t>DF</w:t>
            </w:r>
          </w:p>
        </w:tc>
        <w:tc>
          <w:tcPr>
            <w:tcW w:type="dxa" w:w="2016"/>
          </w:tcPr>
          <w:p>
            <w:r>
              <w:rPr>
                <w:sz w:val="17"/>
              </w:rPr>
              <w:t>2,080</w:t>
            </w:r>
          </w:p>
        </w:tc>
        <w:tc>
          <w:tcPr>
            <w:tcW w:type="dxa" w:w="2016"/>
          </w:tcPr>
          <w:p>
            <w:r>
              <w:rPr>
                <w:sz w:val="17"/>
              </w:rPr>
              <w:t>4.13</w:t>
            </w:r>
          </w:p>
        </w:tc>
        <w:tc>
          <w:tcPr>
            <w:tcW w:type="dxa" w:w="2016"/>
          </w:tcPr>
          <w:p>
            <w:r>
              <w:rPr>
                <w:sz w:val="17"/>
              </w:rPr>
              <w:t>R$ 23.86</w:t>
            </w:r>
          </w:p>
        </w:tc>
        <w:tc>
          <w:tcPr>
            <w:tcW w:type="dxa" w:w="2016"/>
          </w:tcPr>
          <w:p>
            <w:r>
              <w:rPr>
                <w:sz w:val="17"/>
              </w:rPr>
              <w:t>7.07%</w:t>
            </w:r>
          </w:p>
        </w:tc>
      </w:tr>
      <w:tr>
        <w:tc>
          <w:tcPr>
            <w:tcW w:type="dxa" w:w="2016"/>
          </w:tcPr>
          <w:p>
            <w:r>
              <w:rPr>
                <w:sz w:val="17"/>
              </w:rPr>
              <w:t>ES</w:t>
            </w:r>
          </w:p>
        </w:tc>
        <w:tc>
          <w:tcPr>
            <w:tcW w:type="dxa" w:w="2016"/>
          </w:tcPr>
          <w:p>
            <w:r>
              <w:rPr>
                <w:sz w:val="17"/>
              </w:rPr>
              <w:t>1,995</w:t>
            </w:r>
          </w:p>
        </w:tc>
        <w:tc>
          <w:tcPr>
            <w:tcW w:type="dxa" w:w="2016"/>
          </w:tcPr>
          <w:p>
            <w:r>
              <w:rPr>
                <w:sz w:val="17"/>
              </w:rPr>
              <w:t>4.05</w:t>
            </w:r>
          </w:p>
        </w:tc>
        <w:tc>
          <w:tcPr>
            <w:tcW w:type="dxa" w:w="2016"/>
          </w:tcPr>
          <w:p>
            <w:r>
              <w:rPr>
                <w:sz w:val="17"/>
              </w:rPr>
              <w:t>R$ 24.57</w:t>
            </w:r>
          </w:p>
        </w:tc>
        <w:tc>
          <w:tcPr>
            <w:tcW w:type="dxa" w:w="2016"/>
          </w:tcPr>
          <w:p>
            <w:r>
              <w:rPr>
                <w:sz w:val="17"/>
              </w:rPr>
              <w:t>12.23%</w:t>
            </w:r>
          </w:p>
        </w:tc>
      </w:tr>
      <w:tr>
        <w:tc>
          <w:tcPr>
            <w:tcW w:type="dxa" w:w="2016"/>
          </w:tcPr>
          <w:p>
            <w:r>
              <w:rPr>
                <w:sz w:val="17"/>
              </w:rPr>
              <w:t>GO</w:t>
            </w:r>
          </w:p>
        </w:tc>
        <w:tc>
          <w:tcPr>
            <w:tcW w:type="dxa" w:w="2016"/>
          </w:tcPr>
          <w:p>
            <w:r>
              <w:rPr>
                <w:sz w:val="17"/>
              </w:rPr>
              <w:t>1,957</w:t>
            </w:r>
          </w:p>
        </w:tc>
        <w:tc>
          <w:tcPr>
            <w:tcW w:type="dxa" w:w="2016"/>
          </w:tcPr>
          <w:p>
            <w:r>
              <w:rPr>
                <w:sz w:val="17"/>
              </w:rPr>
              <w:t>4.09</w:t>
            </w:r>
          </w:p>
        </w:tc>
        <w:tc>
          <w:tcPr>
            <w:tcW w:type="dxa" w:w="2016"/>
          </w:tcPr>
          <w:p>
            <w:r>
              <w:rPr>
                <w:sz w:val="17"/>
              </w:rPr>
              <w:t>R$ 26.25</w:t>
            </w:r>
          </w:p>
        </w:tc>
        <w:tc>
          <w:tcPr>
            <w:tcW w:type="dxa" w:w="2016"/>
          </w:tcPr>
          <w:p>
            <w:r>
              <w:rPr>
                <w:sz w:val="17"/>
              </w:rPr>
              <w:t>8.18%</w:t>
            </w:r>
          </w:p>
        </w:tc>
      </w:tr>
    </w:tbl>
    <w:p>
      <w:r>
        <w:t>Lowest-review states among states with at least 300 orders: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8"/>
          </w:tcPr>
          <w:p>
            <w:r>
              <w:rPr>
                <w:b/>
                <w:color w:val="FFFFFF"/>
                <w:sz w:val="17"/>
              </w:rPr>
              <w:t>State</w:t>
            </w:r>
          </w:p>
        </w:tc>
        <w:tc>
          <w:tcPr>
            <w:tcW w:type="dxa" w:w="2016"/>
            <w:shd w:fill="1F4E78"/>
          </w:tcPr>
          <w:p>
            <w:r>
              <w:rPr>
                <w:b/>
                <w:color w:val="FFFFFF"/>
                <w:sz w:val="17"/>
              </w:rPr>
              <w:t>orders</w:t>
            </w:r>
          </w:p>
        </w:tc>
        <w:tc>
          <w:tcPr>
            <w:tcW w:type="dxa" w:w="2016"/>
            <w:shd w:fill="1F4E78"/>
          </w:tcPr>
          <w:p>
            <w:r>
              <w:rPr>
                <w:b/>
                <w:color w:val="FFFFFF"/>
                <w:sz w:val="17"/>
              </w:rPr>
              <w:t>avg_review</w:t>
            </w:r>
          </w:p>
        </w:tc>
        <w:tc>
          <w:tcPr>
            <w:tcW w:type="dxa" w:w="2016"/>
            <w:shd w:fill="1F4E78"/>
          </w:tcPr>
          <w:p>
            <w:r>
              <w:rPr>
                <w:b/>
                <w:color w:val="FFFFFF"/>
                <w:sz w:val="17"/>
              </w:rPr>
              <w:t>avg_freight</w:t>
            </w:r>
          </w:p>
        </w:tc>
        <w:tc>
          <w:tcPr>
            <w:tcW w:type="dxa" w:w="2016"/>
            <w:shd w:fill="1F4E78"/>
          </w:tcPr>
          <w:p>
            <w:r>
              <w:rPr>
                <w:b/>
                <w:color w:val="FFFFFF"/>
                <w:sz w:val="17"/>
              </w:rPr>
              <w:t>late_rate_pct</w:t>
            </w:r>
          </w:p>
        </w:tc>
      </w:tr>
      <w:tr>
        <w:tc>
          <w:tcPr>
            <w:tcW w:type="dxa" w:w="2016"/>
          </w:tcPr>
          <w:p>
            <w:r>
              <w:rPr>
                <w:sz w:val="17"/>
              </w:rPr>
              <w:t>MA</w:t>
            </w:r>
          </w:p>
        </w:tc>
        <w:tc>
          <w:tcPr>
            <w:tcW w:type="dxa" w:w="2016"/>
          </w:tcPr>
          <w:p>
            <w:r>
              <w:rPr>
                <w:sz w:val="17"/>
              </w:rPr>
              <w:t>717</w:t>
            </w:r>
          </w:p>
        </w:tc>
        <w:tc>
          <w:tcPr>
            <w:tcW w:type="dxa" w:w="2016"/>
          </w:tcPr>
          <w:p>
            <w:r>
              <w:rPr>
                <w:sz w:val="17"/>
              </w:rPr>
              <w:t>3.81</w:t>
            </w:r>
          </w:p>
        </w:tc>
        <w:tc>
          <w:tcPr>
            <w:tcW w:type="dxa" w:w="2016"/>
          </w:tcPr>
          <w:p>
            <w:r>
              <w:rPr>
                <w:sz w:val="17"/>
              </w:rPr>
              <w:t>R$ 42.95</w:t>
            </w:r>
          </w:p>
        </w:tc>
        <w:tc>
          <w:tcPr>
            <w:tcW w:type="dxa" w:w="2016"/>
          </w:tcPr>
          <w:p>
            <w:r>
              <w:rPr>
                <w:sz w:val="17"/>
              </w:rPr>
              <w:t>19.67%</w:t>
            </w:r>
          </w:p>
        </w:tc>
      </w:tr>
      <w:tr>
        <w:tc>
          <w:tcPr>
            <w:tcW w:type="dxa" w:w="2016"/>
          </w:tcPr>
          <w:p>
            <w:r>
              <w:rPr>
                <w:sz w:val="17"/>
              </w:rPr>
              <w:t>AL</w:t>
            </w:r>
          </w:p>
        </w:tc>
        <w:tc>
          <w:tcPr>
            <w:tcW w:type="dxa" w:w="2016"/>
          </w:tcPr>
          <w:p>
            <w:r>
              <w:rPr>
                <w:sz w:val="17"/>
              </w:rPr>
              <w:t>397</w:t>
            </w:r>
          </w:p>
        </w:tc>
        <w:tc>
          <w:tcPr>
            <w:tcW w:type="dxa" w:w="2016"/>
          </w:tcPr>
          <w:p>
            <w:r>
              <w:rPr>
                <w:sz w:val="17"/>
              </w:rPr>
              <w:t>3.83</w:t>
            </w:r>
          </w:p>
        </w:tc>
        <w:tc>
          <w:tcPr>
            <w:tcW w:type="dxa" w:w="2016"/>
          </w:tcPr>
          <w:p>
            <w:r>
              <w:rPr>
                <w:sz w:val="17"/>
              </w:rPr>
              <w:t>R$ 38.58</w:t>
            </w:r>
          </w:p>
        </w:tc>
        <w:tc>
          <w:tcPr>
            <w:tcW w:type="dxa" w:w="2016"/>
          </w:tcPr>
          <w:p>
            <w:r>
              <w:rPr>
                <w:sz w:val="17"/>
              </w:rPr>
              <w:t>23.93%</w:t>
            </w:r>
          </w:p>
        </w:tc>
      </w:tr>
      <w:tr>
        <w:tc>
          <w:tcPr>
            <w:tcW w:type="dxa" w:w="2016"/>
          </w:tcPr>
          <w:p>
            <w:r>
              <w:rPr>
                <w:sz w:val="17"/>
              </w:rPr>
              <w:t>PA</w:t>
            </w:r>
          </w:p>
        </w:tc>
        <w:tc>
          <w:tcPr>
            <w:tcW w:type="dxa" w:w="2016"/>
          </w:tcPr>
          <w:p>
            <w:r>
              <w:rPr>
                <w:sz w:val="17"/>
              </w:rPr>
              <w:t>946</w:t>
            </w:r>
          </w:p>
        </w:tc>
        <w:tc>
          <w:tcPr>
            <w:tcW w:type="dxa" w:w="2016"/>
          </w:tcPr>
          <w:p>
            <w:r>
              <w:rPr>
                <w:sz w:val="17"/>
              </w:rPr>
              <w:t>3.89</w:t>
            </w:r>
          </w:p>
        </w:tc>
        <w:tc>
          <w:tcPr>
            <w:tcW w:type="dxa" w:w="2016"/>
          </w:tcPr>
          <w:p>
            <w:r>
              <w:rPr>
                <w:sz w:val="17"/>
              </w:rPr>
              <w:t>R$ 39.70</w:t>
            </w:r>
          </w:p>
        </w:tc>
        <w:tc>
          <w:tcPr>
            <w:tcW w:type="dxa" w:w="2016"/>
          </w:tcPr>
          <w:p>
            <w:r>
              <w:rPr>
                <w:sz w:val="17"/>
              </w:rPr>
              <w:t>12.37%</w:t>
            </w:r>
          </w:p>
        </w:tc>
      </w:tr>
      <w:tr>
        <w:tc>
          <w:tcPr>
            <w:tcW w:type="dxa" w:w="2016"/>
          </w:tcPr>
          <w:p>
            <w:r>
              <w:rPr>
                <w:sz w:val="17"/>
              </w:rPr>
              <w:t>SE</w:t>
            </w:r>
          </w:p>
        </w:tc>
        <w:tc>
          <w:tcPr>
            <w:tcW w:type="dxa" w:w="2016"/>
          </w:tcPr>
          <w:p>
            <w:r>
              <w:rPr>
                <w:sz w:val="17"/>
              </w:rPr>
              <w:t>335</w:t>
            </w:r>
          </w:p>
        </w:tc>
        <w:tc>
          <w:tcPr>
            <w:tcW w:type="dxa" w:w="2016"/>
          </w:tcPr>
          <w:p>
            <w:r>
              <w:rPr>
                <w:sz w:val="17"/>
              </w:rPr>
              <w:t>3.90</w:t>
            </w:r>
          </w:p>
        </w:tc>
        <w:tc>
          <w:tcPr>
            <w:tcW w:type="dxa" w:w="2016"/>
          </w:tcPr>
          <w:p>
            <w:r>
              <w:rPr>
                <w:sz w:val="17"/>
              </w:rPr>
              <w:t>R$ 40.94</w:t>
            </w:r>
          </w:p>
        </w:tc>
        <w:tc>
          <w:tcPr>
            <w:tcW w:type="dxa" w:w="2016"/>
          </w:tcPr>
          <w:p>
            <w:r>
              <w:rPr>
                <w:sz w:val="17"/>
              </w:rPr>
              <w:t>15.22%</w:t>
            </w:r>
          </w:p>
        </w:tc>
      </w:tr>
      <w:tr>
        <w:tc>
          <w:tcPr>
            <w:tcW w:type="dxa" w:w="2016"/>
          </w:tcPr>
          <w:p>
            <w:r>
              <w:rPr>
                <w:sz w:val="17"/>
              </w:rPr>
              <w:t>BA</w:t>
            </w:r>
          </w:p>
        </w:tc>
        <w:tc>
          <w:tcPr>
            <w:tcW w:type="dxa" w:w="2016"/>
          </w:tcPr>
          <w:p>
            <w:r>
              <w:rPr>
                <w:sz w:val="17"/>
              </w:rPr>
              <w:t>3,256</w:t>
            </w:r>
          </w:p>
        </w:tc>
        <w:tc>
          <w:tcPr>
            <w:tcW w:type="dxa" w:w="2016"/>
          </w:tcPr>
          <w:p>
            <w:r>
              <w:rPr>
                <w:sz w:val="17"/>
              </w:rPr>
              <w:t>3.91</w:t>
            </w:r>
          </w:p>
        </w:tc>
        <w:tc>
          <w:tcPr>
            <w:tcW w:type="dxa" w:w="2016"/>
          </w:tcPr>
          <w:p>
            <w:r>
              <w:rPr>
                <w:sz w:val="17"/>
              </w:rPr>
              <w:t>R$ 29.96</w:t>
            </w:r>
          </w:p>
        </w:tc>
        <w:tc>
          <w:tcPr>
            <w:tcW w:type="dxa" w:w="2016"/>
          </w:tcPr>
          <w:p>
            <w:r>
              <w:rPr>
                <w:sz w:val="17"/>
              </w:rPr>
              <w:t>14.04%</w:t>
            </w:r>
          </w:p>
        </w:tc>
      </w:tr>
    </w:tbl>
    <w:p>
      <w:r>
        <w:t>Seller screening — primary seller field, minimum 100 orders: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8"/>
          </w:tcPr>
          <w:p>
            <w:r>
              <w:rPr>
                <w:b/>
                <w:color w:val="FFFFFF"/>
                <w:sz w:val="17"/>
              </w:rPr>
              <w:t>Seller</w:t>
            </w:r>
          </w:p>
        </w:tc>
        <w:tc>
          <w:tcPr>
            <w:tcW w:type="dxa" w:w="2016"/>
            <w:shd w:fill="1F4E78"/>
          </w:tcPr>
          <w:p>
            <w:r>
              <w:rPr>
                <w:b/>
                <w:color w:val="FFFFFF"/>
                <w:sz w:val="17"/>
              </w:rPr>
              <w:t>orders</w:t>
            </w:r>
          </w:p>
        </w:tc>
        <w:tc>
          <w:tcPr>
            <w:tcW w:type="dxa" w:w="2016"/>
            <w:shd w:fill="1F4E78"/>
          </w:tcPr>
          <w:p>
            <w:r>
              <w:rPr>
                <w:b/>
                <w:color w:val="FFFFFF"/>
                <w:sz w:val="17"/>
              </w:rPr>
              <w:t>avg_review</w:t>
            </w:r>
          </w:p>
        </w:tc>
        <w:tc>
          <w:tcPr>
            <w:tcW w:type="dxa" w:w="2016"/>
            <w:shd w:fill="1F4E78"/>
          </w:tcPr>
          <w:p>
            <w:r>
              <w:rPr>
                <w:b/>
                <w:color w:val="FFFFFF"/>
                <w:sz w:val="17"/>
              </w:rPr>
              <w:t>avg_freight</w:t>
            </w:r>
          </w:p>
        </w:tc>
        <w:tc>
          <w:tcPr>
            <w:tcW w:type="dxa" w:w="2016"/>
            <w:shd w:fill="1F4E78"/>
          </w:tcPr>
          <w:p>
            <w:r>
              <w:rPr>
                <w:b/>
                <w:color w:val="FFFFFF"/>
                <w:sz w:val="17"/>
              </w:rPr>
              <w:t>late_rate_pct</w:t>
            </w:r>
          </w:p>
        </w:tc>
      </w:tr>
      <w:tr>
        <w:tc>
          <w:tcPr>
            <w:tcW w:type="dxa" w:w="2016"/>
          </w:tcPr>
          <w:p>
            <w:r>
              <w:rPr>
                <w:sz w:val="17"/>
              </w:rPr>
              <w:t>1ca7077d890b907f89be8c954a02686a</w:t>
            </w:r>
          </w:p>
        </w:tc>
        <w:tc>
          <w:tcPr>
            <w:tcW w:type="dxa" w:w="2016"/>
          </w:tcPr>
          <w:p>
            <w:r>
              <w:rPr>
                <w:sz w:val="17"/>
              </w:rPr>
              <w:t>106</w:t>
            </w:r>
          </w:p>
        </w:tc>
        <w:tc>
          <w:tcPr>
            <w:tcW w:type="dxa" w:w="2016"/>
          </w:tcPr>
          <w:p>
            <w:r>
              <w:rPr>
                <w:sz w:val="17"/>
              </w:rPr>
              <w:t>2.38</w:t>
            </w:r>
          </w:p>
        </w:tc>
        <w:tc>
          <w:tcPr>
            <w:tcW w:type="dxa" w:w="2016"/>
          </w:tcPr>
          <w:p>
            <w:r>
              <w:rPr>
                <w:sz w:val="17"/>
              </w:rPr>
              <w:t>R$ 13.82</w:t>
            </w:r>
          </w:p>
        </w:tc>
        <w:tc>
          <w:tcPr>
            <w:tcW w:type="dxa" w:w="2016"/>
          </w:tcPr>
          <w:p>
            <w:r>
              <w:rPr>
                <w:sz w:val="17"/>
              </w:rPr>
              <w:t>22.64%</w:t>
            </w:r>
          </w:p>
        </w:tc>
      </w:tr>
      <w:tr>
        <w:tc>
          <w:tcPr>
            <w:tcW w:type="dxa" w:w="2016"/>
          </w:tcPr>
          <w:p>
            <w:r>
              <w:rPr>
                <w:sz w:val="17"/>
              </w:rPr>
              <w:t>2eb70248d66e0e3ef83659f71b244378</w:t>
            </w:r>
          </w:p>
        </w:tc>
        <w:tc>
          <w:tcPr>
            <w:tcW w:type="dxa" w:w="2016"/>
          </w:tcPr>
          <w:p>
            <w:r>
              <w:rPr>
                <w:sz w:val="17"/>
              </w:rPr>
              <w:t>186</w:t>
            </w:r>
          </w:p>
        </w:tc>
        <w:tc>
          <w:tcPr>
            <w:tcW w:type="dxa" w:w="2016"/>
          </w:tcPr>
          <w:p>
            <w:r>
              <w:rPr>
                <w:sz w:val="17"/>
              </w:rPr>
              <w:t>2.75</w:t>
            </w:r>
          </w:p>
        </w:tc>
        <w:tc>
          <w:tcPr>
            <w:tcW w:type="dxa" w:w="2016"/>
          </w:tcPr>
          <w:p>
            <w:r>
              <w:rPr>
                <w:sz w:val="17"/>
              </w:rPr>
              <w:t>R$ 16.22</w:t>
            </w:r>
          </w:p>
        </w:tc>
        <w:tc>
          <w:tcPr>
            <w:tcW w:type="dxa" w:w="2016"/>
          </w:tcPr>
          <w:p>
            <w:r>
              <w:rPr>
                <w:sz w:val="17"/>
              </w:rPr>
              <w:t>13.98%</w:t>
            </w:r>
          </w:p>
        </w:tc>
      </w:tr>
      <w:tr>
        <w:tc>
          <w:tcPr>
            <w:tcW w:type="dxa" w:w="2016"/>
          </w:tcPr>
          <w:p>
            <w:r>
              <w:rPr>
                <w:sz w:val="17"/>
              </w:rPr>
              <w:t>710e3548e02bc1d2831dfc4f1b5b14d4</w:t>
            </w:r>
          </w:p>
        </w:tc>
        <w:tc>
          <w:tcPr>
            <w:tcW w:type="dxa" w:w="2016"/>
          </w:tcPr>
          <w:p>
            <w:r>
              <w:rPr>
                <w:sz w:val="17"/>
              </w:rPr>
              <w:t>129</w:t>
            </w:r>
          </w:p>
        </w:tc>
        <w:tc>
          <w:tcPr>
            <w:tcW w:type="dxa" w:w="2016"/>
          </w:tcPr>
          <w:p>
            <w:r>
              <w:rPr>
                <w:sz w:val="17"/>
              </w:rPr>
              <w:t>3.42</w:t>
            </w:r>
          </w:p>
        </w:tc>
        <w:tc>
          <w:tcPr>
            <w:tcW w:type="dxa" w:w="2016"/>
          </w:tcPr>
          <w:p>
            <w:r>
              <w:rPr>
                <w:sz w:val="17"/>
              </w:rPr>
              <w:t>R$ 28.60</w:t>
            </w:r>
          </w:p>
        </w:tc>
        <w:tc>
          <w:tcPr>
            <w:tcW w:type="dxa" w:w="2016"/>
          </w:tcPr>
          <w:p>
            <w:r>
              <w:rPr>
                <w:sz w:val="17"/>
              </w:rPr>
              <w:t>4.65%</w:t>
            </w:r>
          </w:p>
        </w:tc>
      </w:tr>
      <w:tr>
        <w:tc>
          <w:tcPr>
            <w:tcW w:type="dxa" w:w="2016"/>
          </w:tcPr>
          <w:p>
            <w:r>
              <w:rPr>
                <w:sz w:val="17"/>
              </w:rPr>
              <w:t>88460e8ebdecbfecb5f9601833981930</w:t>
            </w:r>
          </w:p>
        </w:tc>
        <w:tc>
          <w:tcPr>
            <w:tcW w:type="dxa" w:w="2016"/>
          </w:tcPr>
          <w:p>
            <w:r>
              <w:rPr>
                <w:sz w:val="17"/>
              </w:rPr>
              <w:t>234</w:t>
            </w:r>
          </w:p>
        </w:tc>
        <w:tc>
          <w:tcPr>
            <w:tcW w:type="dxa" w:w="2016"/>
          </w:tcPr>
          <w:p>
            <w:r>
              <w:rPr>
                <w:sz w:val="17"/>
              </w:rPr>
              <w:t>3.49</w:t>
            </w:r>
          </w:p>
        </w:tc>
        <w:tc>
          <w:tcPr>
            <w:tcW w:type="dxa" w:w="2016"/>
          </w:tcPr>
          <w:p>
            <w:r>
              <w:rPr>
                <w:sz w:val="17"/>
              </w:rPr>
              <w:t>R$ 21.18</w:t>
            </w:r>
          </w:p>
        </w:tc>
        <w:tc>
          <w:tcPr>
            <w:tcW w:type="dxa" w:w="2016"/>
          </w:tcPr>
          <w:p>
            <w:r>
              <w:rPr>
                <w:sz w:val="17"/>
              </w:rPr>
              <w:t>20.51%</w:t>
            </w:r>
          </w:p>
        </w:tc>
      </w:tr>
      <w:tr>
        <w:tc>
          <w:tcPr>
            <w:tcW w:type="dxa" w:w="2016"/>
          </w:tcPr>
          <w:p>
            <w:r>
              <w:rPr>
                <w:sz w:val="17"/>
              </w:rPr>
              <w:t>7c67e1448b00f6e969d365cea6b010ab</w:t>
            </w:r>
          </w:p>
        </w:tc>
        <w:tc>
          <w:tcPr>
            <w:tcW w:type="dxa" w:w="2016"/>
          </w:tcPr>
          <w:p>
            <w:r>
              <w:rPr>
                <w:sz w:val="17"/>
              </w:rPr>
              <w:t>967</w:t>
            </w:r>
          </w:p>
        </w:tc>
        <w:tc>
          <w:tcPr>
            <w:tcW w:type="dxa" w:w="2016"/>
          </w:tcPr>
          <w:p>
            <w:r>
              <w:rPr>
                <w:sz w:val="17"/>
              </w:rPr>
              <w:t>3.50</w:t>
            </w:r>
          </w:p>
        </w:tc>
        <w:tc>
          <w:tcPr>
            <w:tcW w:type="dxa" w:w="2016"/>
          </w:tcPr>
          <w:p>
            <w:r>
              <w:rPr>
                <w:sz w:val="17"/>
              </w:rPr>
              <w:t>R$ 52.60</w:t>
            </w:r>
          </w:p>
        </w:tc>
        <w:tc>
          <w:tcPr>
            <w:tcW w:type="dxa" w:w="2016"/>
          </w:tcPr>
          <w:p>
            <w:r>
              <w:rPr>
                <w:sz w:val="17"/>
              </w:rPr>
              <w:t>10.13%</w:t>
            </w:r>
          </w:p>
        </w:tc>
      </w:tr>
      <w:tr>
        <w:tc>
          <w:tcPr>
            <w:tcW w:type="dxa" w:w="2016"/>
          </w:tcPr>
          <w:p>
            <w:r>
              <w:rPr>
                <w:sz w:val="17"/>
              </w:rPr>
              <w:t>229c3efbfb0ea2058de4ccdfbc3d784a</w:t>
            </w:r>
          </w:p>
        </w:tc>
        <w:tc>
          <w:tcPr>
            <w:tcW w:type="dxa" w:w="2016"/>
          </w:tcPr>
          <w:p>
            <w:r>
              <w:rPr>
                <w:sz w:val="17"/>
              </w:rPr>
              <w:t>118</w:t>
            </w:r>
          </w:p>
        </w:tc>
        <w:tc>
          <w:tcPr>
            <w:tcW w:type="dxa" w:w="2016"/>
          </w:tcPr>
          <w:p>
            <w:r>
              <w:rPr>
                <w:sz w:val="17"/>
              </w:rPr>
              <w:t>3.60</w:t>
            </w:r>
          </w:p>
        </w:tc>
        <w:tc>
          <w:tcPr>
            <w:tcW w:type="dxa" w:w="2016"/>
          </w:tcPr>
          <w:p>
            <w:r>
              <w:rPr>
                <w:sz w:val="17"/>
              </w:rPr>
              <w:t>R$ 19.50</w:t>
            </w:r>
          </w:p>
        </w:tc>
        <w:tc>
          <w:tcPr>
            <w:tcW w:type="dxa" w:w="2016"/>
          </w:tcPr>
          <w:p>
            <w:r>
              <w:rPr>
                <w:sz w:val="17"/>
              </w:rPr>
              <w:t>1.69%</w:t>
            </w:r>
          </w:p>
        </w:tc>
      </w:tr>
      <w:tr>
        <w:tc>
          <w:tcPr>
            <w:tcW w:type="dxa" w:w="2016"/>
          </w:tcPr>
          <w:p>
            <w:r>
              <w:rPr>
                <w:sz w:val="17"/>
              </w:rPr>
              <w:t>18a349e75d307f4b4cc646a691ed4216</w:t>
            </w:r>
          </w:p>
        </w:tc>
        <w:tc>
          <w:tcPr>
            <w:tcW w:type="dxa" w:w="2016"/>
          </w:tcPr>
          <w:p>
            <w:r>
              <w:rPr>
                <w:sz w:val="17"/>
              </w:rPr>
              <w:t>108</w:t>
            </w:r>
          </w:p>
        </w:tc>
        <w:tc>
          <w:tcPr>
            <w:tcW w:type="dxa" w:w="2016"/>
          </w:tcPr>
          <w:p>
            <w:r>
              <w:rPr>
                <w:sz w:val="17"/>
              </w:rPr>
              <w:t>3.61</w:t>
            </w:r>
          </w:p>
        </w:tc>
        <w:tc>
          <w:tcPr>
            <w:tcW w:type="dxa" w:w="2016"/>
          </w:tcPr>
          <w:p>
            <w:r>
              <w:rPr>
                <w:sz w:val="17"/>
              </w:rPr>
              <w:t>R$ 17.48</w:t>
            </w:r>
          </w:p>
        </w:tc>
        <w:tc>
          <w:tcPr>
            <w:tcW w:type="dxa" w:w="2016"/>
          </w:tcPr>
          <w:p>
            <w:r>
              <w:rPr>
                <w:sz w:val="17"/>
              </w:rPr>
              <w:t>6.48%</w:t>
            </w:r>
          </w:p>
        </w:tc>
      </w:tr>
      <w:tr>
        <w:tc>
          <w:tcPr>
            <w:tcW w:type="dxa" w:w="2016"/>
          </w:tcPr>
          <w:p>
            <w:r>
              <w:rPr>
                <w:sz w:val="17"/>
              </w:rPr>
              <w:t>7040e82f899a04d1b434b795a43b4617</w:t>
            </w:r>
          </w:p>
        </w:tc>
        <w:tc>
          <w:tcPr>
            <w:tcW w:type="dxa" w:w="2016"/>
          </w:tcPr>
          <w:p>
            <w:r>
              <w:rPr>
                <w:sz w:val="17"/>
              </w:rPr>
              <w:t>206</w:t>
            </w:r>
          </w:p>
        </w:tc>
        <w:tc>
          <w:tcPr>
            <w:tcW w:type="dxa" w:w="2016"/>
          </w:tcPr>
          <w:p>
            <w:r>
              <w:rPr>
                <w:sz w:val="17"/>
              </w:rPr>
              <w:t>3.63</w:t>
            </w:r>
          </w:p>
        </w:tc>
        <w:tc>
          <w:tcPr>
            <w:tcW w:type="dxa" w:w="2016"/>
          </w:tcPr>
          <w:p>
            <w:r>
              <w:rPr>
                <w:sz w:val="17"/>
              </w:rPr>
              <w:t>R$ 15.26</w:t>
            </w:r>
          </w:p>
        </w:tc>
        <w:tc>
          <w:tcPr>
            <w:tcW w:type="dxa" w:w="2016"/>
          </w:tcPr>
          <w:p>
            <w:r>
              <w:rPr>
                <w:sz w:val="17"/>
              </w:rPr>
              <w:t>9.71%</w:t>
            </w:r>
          </w:p>
        </w:tc>
      </w:tr>
      <w:tr>
        <w:tc>
          <w:tcPr>
            <w:tcW w:type="dxa" w:w="2016"/>
          </w:tcPr>
          <w:p>
            <w:r>
              <w:rPr>
                <w:sz w:val="17"/>
              </w:rPr>
              <w:t>1835b56ce799e6a4dc4eddc053f04066</w:t>
            </w:r>
          </w:p>
        </w:tc>
        <w:tc>
          <w:tcPr>
            <w:tcW w:type="dxa" w:w="2016"/>
          </w:tcPr>
          <w:p>
            <w:r>
              <w:rPr>
                <w:sz w:val="17"/>
              </w:rPr>
              <w:t>394</w:t>
            </w:r>
          </w:p>
        </w:tc>
        <w:tc>
          <w:tcPr>
            <w:tcW w:type="dxa" w:w="2016"/>
          </w:tcPr>
          <w:p>
            <w:r>
              <w:rPr>
                <w:sz w:val="17"/>
              </w:rPr>
              <w:t>3.68</w:t>
            </w:r>
          </w:p>
        </w:tc>
        <w:tc>
          <w:tcPr>
            <w:tcW w:type="dxa" w:w="2016"/>
          </w:tcPr>
          <w:p>
            <w:r>
              <w:rPr>
                <w:sz w:val="17"/>
              </w:rPr>
              <w:t>R$ 21.87</w:t>
            </w:r>
          </w:p>
        </w:tc>
        <w:tc>
          <w:tcPr>
            <w:tcW w:type="dxa" w:w="2016"/>
          </w:tcPr>
          <w:p>
            <w:r>
              <w:rPr>
                <w:sz w:val="17"/>
              </w:rPr>
              <w:t>12.44%</w:t>
            </w:r>
          </w:p>
        </w:tc>
      </w:tr>
      <w:tr>
        <w:tc>
          <w:tcPr>
            <w:tcW w:type="dxa" w:w="2016"/>
          </w:tcPr>
          <w:p>
            <w:r>
              <w:rPr>
                <w:sz w:val="17"/>
              </w:rPr>
              <w:t>897060da8b9a21f655304d50fd935913</w:t>
            </w:r>
          </w:p>
        </w:tc>
        <w:tc>
          <w:tcPr>
            <w:tcW w:type="dxa" w:w="2016"/>
          </w:tcPr>
          <w:p>
            <w:r>
              <w:rPr>
                <w:sz w:val="17"/>
              </w:rPr>
              <w:t>301</w:t>
            </w:r>
          </w:p>
        </w:tc>
        <w:tc>
          <w:tcPr>
            <w:tcW w:type="dxa" w:w="2016"/>
          </w:tcPr>
          <w:p>
            <w:r>
              <w:rPr>
                <w:sz w:val="17"/>
              </w:rPr>
              <w:t>3.70</w:t>
            </w:r>
          </w:p>
        </w:tc>
        <w:tc>
          <w:tcPr>
            <w:tcW w:type="dxa" w:w="2016"/>
          </w:tcPr>
          <w:p>
            <w:r>
              <w:rPr>
                <w:sz w:val="17"/>
              </w:rPr>
              <w:t>R$ 20.84</w:t>
            </w:r>
          </w:p>
        </w:tc>
        <w:tc>
          <w:tcPr>
            <w:tcW w:type="dxa" w:w="2016"/>
          </w:tcPr>
          <w:p>
            <w:r>
              <w:rPr>
                <w:sz w:val="17"/>
              </w:rPr>
              <w:t>11.96%</w:t>
            </w:r>
          </w:p>
        </w:tc>
      </w:tr>
    </w:tbl>
    <w:tbl>
      <w:tblPr>
        <w:tblStyle w:val="TableGrid"/>
        <w:tblW w:type="auto" w:w="0"/>
        <w:tblLook w:firstColumn="1" w:firstRow="1" w:lastColumn="0" w:lastRow="0" w:noHBand="0" w:noVBand="1" w:val="04A0"/>
      </w:tblPr>
      <w:tblGrid>
        <w:gridCol w:w="10080"/>
      </w:tblGrid>
      <w:tr>
        <w:tc>
          <w:tcPr>
            <w:tcW w:type="dxa" w:w="10080"/>
            <w:shd w:fill="EAF2F8"/>
          </w:tcPr>
          <w:p>
            <w:r>
              <w:rPr>
                <w:b/>
                <w:sz w:val="22"/>
              </w:rPr>
              <w:t>Business finding</w:t>
              <w:br/>
            </w:r>
            <w:r>
              <w:rPr>
                <w:sz w:val="20"/>
              </w:rPr>
              <w:t>Geography appears to matter through logistics: some regions combine higher freight and/or higher late-delivery rates with weaker satisfaction.</w:t>
            </w:r>
          </w:p>
        </w:tc>
      </w:tr>
    </w:tbl>
    <w:p/>
    <w:p>
      <w:pPr>
        <w:pStyle w:val="Heading1"/>
      </w:pPr>
      <w:r>
        <w:t>7. Question 4 — Product Category Performance</w:t>
      </w:r>
    </w:p>
    <w:p>
      <w:r>
        <w:t>The cleaned master does not contain product-category fields. Therefore the original order_items, products and category_translation tables were used only for this question and restricted to the cleaned delivered-order IDs. This preserves the delivered-order scope while recovering category information.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E78"/>
          </w:tcPr>
          <w:p>
            <w:r>
              <w:rPr>
                <w:b/>
                <w:color w:val="FFFFFF"/>
                <w:sz w:val="17"/>
              </w:rPr>
              <w:t>category</w:t>
            </w:r>
          </w:p>
        </w:tc>
        <w:tc>
          <w:tcPr>
            <w:tcW w:type="dxa" w:w="1680"/>
            <w:shd w:fill="1F4E78"/>
          </w:tcPr>
          <w:p>
            <w:r>
              <w:rPr>
                <w:b/>
                <w:color w:val="FFFFFF"/>
                <w:sz w:val="17"/>
              </w:rPr>
              <w:t>orders</w:t>
            </w:r>
          </w:p>
        </w:tc>
        <w:tc>
          <w:tcPr>
            <w:tcW w:type="dxa" w:w="1680"/>
            <w:shd w:fill="1F4E78"/>
          </w:tcPr>
          <w:p>
            <w:r>
              <w:rPr>
                <w:b/>
                <w:color w:val="FFFFFF"/>
                <w:sz w:val="17"/>
              </w:rPr>
              <w:t>items</w:t>
            </w:r>
          </w:p>
        </w:tc>
        <w:tc>
          <w:tcPr>
            <w:tcW w:type="dxa" w:w="1680"/>
            <w:shd w:fill="1F4E78"/>
          </w:tcPr>
          <w:p>
            <w:r>
              <w:rPr>
                <w:b/>
                <w:color w:val="FFFFFF"/>
                <w:sz w:val="17"/>
              </w:rPr>
              <w:t>revenue</w:t>
            </w:r>
          </w:p>
        </w:tc>
        <w:tc>
          <w:tcPr>
            <w:tcW w:type="dxa" w:w="1680"/>
            <w:shd w:fill="1F4E78"/>
          </w:tcPr>
          <w:p>
            <w:r>
              <w:rPr>
                <w:b/>
                <w:color w:val="FFFFFF"/>
                <w:sz w:val="17"/>
              </w:rPr>
              <w:t>avg_review</w:t>
            </w:r>
          </w:p>
        </w:tc>
        <w:tc>
          <w:tcPr>
            <w:tcW w:type="dxa" w:w="1680"/>
            <w:shd w:fill="1F4E78"/>
          </w:tcPr>
          <w:p>
            <w:r>
              <w:rPr>
                <w:b/>
                <w:color w:val="FFFFFF"/>
                <w:sz w:val="17"/>
              </w:rPr>
              <w:t>avg_revenue_per_order</w:t>
            </w:r>
          </w:p>
        </w:tc>
      </w:tr>
      <w:tr>
        <w:tc>
          <w:tcPr>
            <w:tcW w:type="dxa" w:w="1680"/>
          </w:tcPr>
          <w:p>
            <w:r>
              <w:rPr>
                <w:sz w:val="17"/>
              </w:rPr>
              <w:t>bed_bath_table</w:t>
            </w:r>
          </w:p>
        </w:tc>
        <w:tc>
          <w:tcPr>
            <w:tcW w:type="dxa" w:w="1680"/>
          </w:tcPr>
          <w:p>
            <w:r>
              <w:rPr>
                <w:sz w:val="17"/>
              </w:rPr>
              <w:t>9,272</w:t>
            </w:r>
          </w:p>
        </w:tc>
        <w:tc>
          <w:tcPr>
            <w:tcW w:type="dxa" w:w="1680"/>
          </w:tcPr>
          <w:p>
            <w:r>
              <w:rPr>
                <w:sz w:val="17"/>
              </w:rPr>
              <w:t>10,953</w:t>
            </w:r>
          </w:p>
        </w:tc>
        <w:tc>
          <w:tcPr>
            <w:tcW w:type="dxa" w:w="1680"/>
          </w:tcPr>
          <w:p>
            <w:r>
              <w:rPr>
                <w:sz w:val="17"/>
              </w:rPr>
              <w:t>R$ 1,023,434.76</w:t>
            </w:r>
          </w:p>
        </w:tc>
        <w:tc>
          <w:tcPr>
            <w:tcW w:type="dxa" w:w="1680"/>
          </w:tcPr>
          <w:p>
            <w:r>
              <w:rPr>
                <w:sz w:val="17"/>
              </w:rPr>
              <w:t>3.98</w:t>
            </w:r>
          </w:p>
        </w:tc>
        <w:tc>
          <w:tcPr>
            <w:tcW w:type="dxa" w:w="1680"/>
          </w:tcPr>
          <w:p>
            <w:r>
              <w:rPr>
                <w:sz w:val="17"/>
              </w:rPr>
              <w:t>R$ 110.38</w:t>
            </w:r>
          </w:p>
        </w:tc>
      </w:tr>
      <w:tr>
        <w:tc>
          <w:tcPr>
            <w:tcW w:type="dxa" w:w="1680"/>
          </w:tcPr>
          <w:p>
            <w:r>
              <w:rPr>
                <w:sz w:val="17"/>
              </w:rPr>
              <w:t>health_beauty</w:t>
            </w:r>
          </w:p>
        </w:tc>
        <w:tc>
          <w:tcPr>
            <w:tcW w:type="dxa" w:w="1680"/>
          </w:tcPr>
          <w:p>
            <w:r>
              <w:rPr>
                <w:sz w:val="17"/>
              </w:rPr>
              <w:t>8,647</w:t>
            </w:r>
          </w:p>
        </w:tc>
        <w:tc>
          <w:tcPr>
            <w:tcW w:type="dxa" w:w="1680"/>
          </w:tcPr>
          <w:p>
            <w:r>
              <w:rPr>
                <w:sz w:val="17"/>
              </w:rPr>
              <w:t>9,465</w:t>
            </w:r>
          </w:p>
        </w:tc>
        <w:tc>
          <w:tcPr>
            <w:tcW w:type="dxa" w:w="1680"/>
          </w:tcPr>
          <w:p>
            <w:r>
              <w:rPr>
                <w:sz w:val="17"/>
              </w:rPr>
              <w:t>R$ 1,233,131.72</w:t>
            </w:r>
          </w:p>
        </w:tc>
        <w:tc>
          <w:tcPr>
            <w:tcW w:type="dxa" w:w="1680"/>
          </w:tcPr>
          <w:p>
            <w:r>
              <w:rPr>
                <w:sz w:val="17"/>
              </w:rPr>
              <w:t>4.22</w:t>
            </w:r>
          </w:p>
        </w:tc>
        <w:tc>
          <w:tcPr>
            <w:tcW w:type="dxa" w:w="1680"/>
          </w:tcPr>
          <w:p>
            <w:r>
              <w:rPr>
                <w:sz w:val="17"/>
              </w:rPr>
              <w:t>R$ 142.61</w:t>
            </w:r>
          </w:p>
        </w:tc>
      </w:tr>
      <w:tr>
        <w:tc>
          <w:tcPr>
            <w:tcW w:type="dxa" w:w="1680"/>
          </w:tcPr>
          <w:p>
            <w:r>
              <w:rPr>
                <w:sz w:val="17"/>
              </w:rPr>
              <w:t>sports_leisure</w:t>
            </w:r>
          </w:p>
        </w:tc>
        <w:tc>
          <w:tcPr>
            <w:tcW w:type="dxa" w:w="1680"/>
          </w:tcPr>
          <w:p>
            <w:r>
              <w:rPr>
                <w:sz w:val="17"/>
              </w:rPr>
              <w:t>7,530</w:t>
            </w:r>
          </w:p>
        </w:tc>
        <w:tc>
          <w:tcPr>
            <w:tcW w:type="dxa" w:w="1680"/>
          </w:tcPr>
          <w:p>
            <w:r>
              <w:rPr>
                <w:sz w:val="17"/>
              </w:rPr>
              <w:t>8,431</w:t>
            </w:r>
          </w:p>
        </w:tc>
        <w:tc>
          <w:tcPr>
            <w:tcW w:type="dxa" w:w="1680"/>
          </w:tcPr>
          <w:p>
            <w:r>
              <w:rPr>
                <w:sz w:val="17"/>
              </w:rPr>
              <w:t>R$ 954,852.55</w:t>
            </w:r>
          </w:p>
        </w:tc>
        <w:tc>
          <w:tcPr>
            <w:tcW w:type="dxa" w:w="1680"/>
          </w:tcPr>
          <w:p>
            <w:r>
              <w:rPr>
                <w:sz w:val="17"/>
              </w:rPr>
              <w:t>4.22</w:t>
            </w:r>
          </w:p>
        </w:tc>
        <w:tc>
          <w:tcPr>
            <w:tcW w:type="dxa" w:w="1680"/>
          </w:tcPr>
          <w:p>
            <w:r>
              <w:rPr>
                <w:sz w:val="17"/>
              </w:rPr>
              <w:t>R$ 126.81</w:t>
            </w:r>
          </w:p>
        </w:tc>
      </w:tr>
      <w:tr>
        <w:tc>
          <w:tcPr>
            <w:tcW w:type="dxa" w:w="1680"/>
          </w:tcPr>
          <w:p>
            <w:r>
              <w:rPr>
                <w:sz w:val="17"/>
              </w:rPr>
              <w:t>computers_accessories</w:t>
            </w:r>
          </w:p>
        </w:tc>
        <w:tc>
          <w:tcPr>
            <w:tcW w:type="dxa" w:w="1680"/>
          </w:tcPr>
          <w:p>
            <w:r>
              <w:rPr>
                <w:sz w:val="17"/>
              </w:rPr>
              <w:t>6,530</w:t>
            </w:r>
          </w:p>
        </w:tc>
        <w:tc>
          <w:tcPr>
            <w:tcW w:type="dxa" w:w="1680"/>
          </w:tcPr>
          <w:p>
            <w:r>
              <w:rPr>
                <w:sz w:val="17"/>
              </w:rPr>
              <w:t>7,644</w:t>
            </w:r>
          </w:p>
        </w:tc>
        <w:tc>
          <w:tcPr>
            <w:tcW w:type="dxa" w:w="1680"/>
          </w:tcPr>
          <w:p>
            <w:r>
              <w:rPr>
                <w:sz w:val="17"/>
              </w:rPr>
              <w:t>R$ 888,724.61</w:t>
            </w:r>
          </w:p>
        </w:tc>
        <w:tc>
          <w:tcPr>
            <w:tcW w:type="dxa" w:w="1680"/>
          </w:tcPr>
          <w:p>
            <w:r>
              <w:rPr>
                <w:sz w:val="17"/>
              </w:rPr>
              <w:t>4.07</w:t>
            </w:r>
          </w:p>
        </w:tc>
        <w:tc>
          <w:tcPr>
            <w:tcW w:type="dxa" w:w="1680"/>
          </w:tcPr>
          <w:p>
            <w:r>
              <w:rPr>
                <w:sz w:val="17"/>
              </w:rPr>
              <w:t>R$ 136.10</w:t>
            </w:r>
          </w:p>
        </w:tc>
      </w:tr>
      <w:tr>
        <w:tc>
          <w:tcPr>
            <w:tcW w:type="dxa" w:w="1680"/>
          </w:tcPr>
          <w:p>
            <w:r>
              <w:rPr>
                <w:sz w:val="17"/>
              </w:rPr>
              <w:t>furniture_decor</w:t>
            </w:r>
          </w:p>
        </w:tc>
        <w:tc>
          <w:tcPr>
            <w:tcW w:type="dxa" w:w="1680"/>
          </w:tcPr>
          <w:p>
            <w:r>
              <w:rPr>
                <w:sz w:val="17"/>
              </w:rPr>
              <w:t>6,307</w:t>
            </w:r>
          </w:p>
        </w:tc>
        <w:tc>
          <w:tcPr>
            <w:tcW w:type="dxa" w:w="1680"/>
          </w:tcPr>
          <w:p>
            <w:r>
              <w:rPr>
                <w:sz w:val="17"/>
              </w:rPr>
              <w:t>8,160</w:t>
            </w:r>
          </w:p>
        </w:tc>
        <w:tc>
          <w:tcPr>
            <w:tcW w:type="dxa" w:w="1680"/>
          </w:tcPr>
          <w:p>
            <w:r>
              <w:rPr>
                <w:sz w:val="17"/>
              </w:rPr>
              <w:t>R$ 711,927.69</w:t>
            </w:r>
          </w:p>
        </w:tc>
        <w:tc>
          <w:tcPr>
            <w:tcW w:type="dxa" w:w="1680"/>
          </w:tcPr>
          <w:p>
            <w:r>
              <w:rPr>
                <w:sz w:val="17"/>
              </w:rPr>
              <w:t>4.04</w:t>
            </w:r>
          </w:p>
        </w:tc>
        <w:tc>
          <w:tcPr>
            <w:tcW w:type="dxa" w:w="1680"/>
          </w:tcPr>
          <w:p>
            <w:r>
              <w:rPr>
                <w:sz w:val="17"/>
              </w:rPr>
              <w:t>R$ 112.88</w:t>
            </w:r>
          </w:p>
        </w:tc>
      </w:tr>
      <w:tr>
        <w:tc>
          <w:tcPr>
            <w:tcW w:type="dxa" w:w="1680"/>
          </w:tcPr>
          <w:p>
            <w:r>
              <w:rPr>
                <w:sz w:val="17"/>
              </w:rPr>
              <w:t>housewares</w:t>
            </w:r>
          </w:p>
        </w:tc>
        <w:tc>
          <w:tcPr>
            <w:tcW w:type="dxa" w:w="1680"/>
          </w:tcPr>
          <w:p>
            <w:r>
              <w:rPr>
                <w:sz w:val="17"/>
              </w:rPr>
              <w:t>5,743</w:t>
            </w:r>
          </w:p>
        </w:tc>
        <w:tc>
          <w:tcPr>
            <w:tcW w:type="dxa" w:w="1680"/>
          </w:tcPr>
          <w:p>
            <w:r>
              <w:rPr>
                <w:sz w:val="17"/>
              </w:rPr>
              <w:t>6,795</w:t>
            </w:r>
          </w:p>
        </w:tc>
        <w:tc>
          <w:tcPr>
            <w:tcW w:type="dxa" w:w="1680"/>
          </w:tcPr>
          <w:p>
            <w:r>
              <w:rPr>
                <w:sz w:val="17"/>
              </w:rPr>
              <w:t>R$ 615,628.69</w:t>
            </w:r>
          </w:p>
        </w:tc>
        <w:tc>
          <w:tcPr>
            <w:tcW w:type="dxa" w:w="1680"/>
          </w:tcPr>
          <w:p>
            <w:r>
              <w:rPr>
                <w:sz w:val="17"/>
              </w:rPr>
              <w:t>4.18</w:t>
            </w:r>
          </w:p>
        </w:tc>
        <w:tc>
          <w:tcPr>
            <w:tcW w:type="dxa" w:w="1680"/>
          </w:tcPr>
          <w:p>
            <w:r>
              <w:rPr>
                <w:sz w:val="17"/>
              </w:rPr>
              <w:t>R$ 107.20</w:t>
            </w:r>
          </w:p>
        </w:tc>
      </w:tr>
      <w:tr>
        <w:tc>
          <w:tcPr>
            <w:tcW w:type="dxa" w:w="1680"/>
          </w:tcPr>
          <w:p>
            <w:r>
              <w:rPr>
                <w:sz w:val="17"/>
              </w:rPr>
              <w:t>watches_gifts</w:t>
            </w:r>
          </w:p>
        </w:tc>
        <w:tc>
          <w:tcPr>
            <w:tcW w:type="dxa" w:w="1680"/>
          </w:tcPr>
          <w:p>
            <w:r>
              <w:rPr>
                <w:sz w:val="17"/>
              </w:rPr>
              <w:t>5,495</w:t>
            </w:r>
          </w:p>
        </w:tc>
        <w:tc>
          <w:tcPr>
            <w:tcW w:type="dxa" w:w="1680"/>
          </w:tcPr>
          <w:p>
            <w:r>
              <w:rPr>
                <w:sz w:val="17"/>
              </w:rPr>
              <w:t>5,859</w:t>
            </w:r>
          </w:p>
        </w:tc>
        <w:tc>
          <w:tcPr>
            <w:tcW w:type="dxa" w:w="1680"/>
          </w:tcPr>
          <w:p>
            <w:r>
              <w:rPr>
                <w:sz w:val="17"/>
              </w:rPr>
              <w:t>R$ 1,166,176.98</w:t>
            </w:r>
          </w:p>
        </w:tc>
        <w:tc>
          <w:tcPr>
            <w:tcW w:type="dxa" w:w="1680"/>
          </w:tcPr>
          <w:p>
            <w:r>
              <w:rPr>
                <w:sz w:val="17"/>
              </w:rPr>
              <w:t>4.11</w:t>
            </w:r>
          </w:p>
        </w:tc>
        <w:tc>
          <w:tcPr>
            <w:tcW w:type="dxa" w:w="1680"/>
          </w:tcPr>
          <w:p>
            <w:r>
              <w:rPr>
                <w:sz w:val="17"/>
              </w:rPr>
              <w:t>R$ 212.23</w:t>
            </w:r>
          </w:p>
        </w:tc>
      </w:tr>
      <w:tr>
        <w:tc>
          <w:tcPr>
            <w:tcW w:type="dxa" w:w="1680"/>
          </w:tcPr>
          <w:p>
            <w:r>
              <w:rPr>
                <w:sz w:val="17"/>
              </w:rPr>
              <w:t>telephony</w:t>
            </w:r>
          </w:p>
        </w:tc>
        <w:tc>
          <w:tcPr>
            <w:tcW w:type="dxa" w:w="1680"/>
          </w:tcPr>
          <w:p>
            <w:r>
              <w:rPr>
                <w:sz w:val="17"/>
              </w:rPr>
              <w:t>4,093</w:t>
            </w:r>
          </w:p>
        </w:tc>
        <w:tc>
          <w:tcPr>
            <w:tcW w:type="dxa" w:w="1680"/>
          </w:tcPr>
          <w:p>
            <w:r>
              <w:rPr>
                <w:sz w:val="17"/>
              </w:rPr>
              <w:t>4,430</w:t>
            </w:r>
          </w:p>
        </w:tc>
        <w:tc>
          <w:tcPr>
            <w:tcW w:type="dxa" w:w="1680"/>
          </w:tcPr>
          <w:p>
            <w:r>
              <w:rPr>
                <w:sz w:val="17"/>
              </w:rPr>
              <w:t>R$ 309,860.23</w:t>
            </w:r>
          </w:p>
        </w:tc>
        <w:tc>
          <w:tcPr>
            <w:tcW w:type="dxa" w:w="1680"/>
          </w:tcPr>
          <w:p>
            <w:r>
              <w:rPr>
                <w:sz w:val="17"/>
              </w:rPr>
              <w:t>4.04</w:t>
            </w:r>
          </w:p>
        </w:tc>
        <w:tc>
          <w:tcPr>
            <w:tcW w:type="dxa" w:w="1680"/>
          </w:tcPr>
          <w:p>
            <w:r>
              <w:rPr>
                <w:sz w:val="17"/>
              </w:rPr>
              <w:t>R$ 75.70</w:t>
            </w:r>
          </w:p>
        </w:tc>
      </w:tr>
      <w:tr>
        <w:tc>
          <w:tcPr>
            <w:tcW w:type="dxa" w:w="1680"/>
          </w:tcPr>
          <w:p>
            <w:r>
              <w:rPr>
                <w:sz w:val="17"/>
              </w:rPr>
              <w:t>auto</w:t>
            </w:r>
          </w:p>
        </w:tc>
        <w:tc>
          <w:tcPr>
            <w:tcW w:type="dxa" w:w="1680"/>
          </w:tcPr>
          <w:p>
            <w:r>
              <w:rPr>
                <w:sz w:val="17"/>
              </w:rPr>
              <w:t>3,810</w:t>
            </w:r>
          </w:p>
        </w:tc>
        <w:tc>
          <w:tcPr>
            <w:tcW w:type="dxa" w:w="1680"/>
          </w:tcPr>
          <w:p>
            <w:r>
              <w:rPr>
                <w:sz w:val="17"/>
              </w:rPr>
              <w:t>4,140</w:t>
            </w:r>
          </w:p>
        </w:tc>
        <w:tc>
          <w:tcPr>
            <w:tcW w:type="dxa" w:w="1680"/>
          </w:tcPr>
          <w:p>
            <w:r>
              <w:rPr>
                <w:sz w:val="17"/>
              </w:rPr>
              <w:t>R$ 578,966.65</w:t>
            </w:r>
          </w:p>
        </w:tc>
        <w:tc>
          <w:tcPr>
            <w:tcW w:type="dxa" w:w="1680"/>
          </w:tcPr>
          <w:p>
            <w:r>
              <w:rPr>
                <w:sz w:val="17"/>
              </w:rPr>
              <w:t>4.14</w:t>
            </w:r>
          </w:p>
        </w:tc>
        <w:tc>
          <w:tcPr>
            <w:tcW w:type="dxa" w:w="1680"/>
          </w:tcPr>
          <w:p>
            <w:r>
              <w:rPr>
                <w:sz w:val="17"/>
              </w:rPr>
              <w:t>R$ 151.96</w:t>
            </w:r>
          </w:p>
        </w:tc>
      </w:tr>
      <w:tr>
        <w:tc>
          <w:tcPr>
            <w:tcW w:type="dxa" w:w="1680"/>
          </w:tcPr>
          <w:p>
            <w:r>
              <w:rPr>
                <w:sz w:val="17"/>
              </w:rPr>
              <w:t>toys</w:t>
            </w:r>
          </w:p>
        </w:tc>
        <w:tc>
          <w:tcPr>
            <w:tcW w:type="dxa" w:w="1680"/>
          </w:tcPr>
          <w:p>
            <w:r>
              <w:rPr>
                <w:sz w:val="17"/>
              </w:rPr>
              <w:t>3,804</w:t>
            </w:r>
          </w:p>
        </w:tc>
        <w:tc>
          <w:tcPr>
            <w:tcW w:type="dxa" w:w="1680"/>
          </w:tcPr>
          <w:p>
            <w:r>
              <w:rPr>
                <w:sz w:val="17"/>
              </w:rPr>
              <w:t>4,030</w:t>
            </w:r>
          </w:p>
        </w:tc>
        <w:tc>
          <w:tcPr>
            <w:tcW w:type="dxa" w:w="1680"/>
          </w:tcPr>
          <w:p>
            <w:r>
              <w:rPr>
                <w:sz w:val="17"/>
              </w:rPr>
              <w:t>R$ 471,286.48</w:t>
            </w:r>
          </w:p>
        </w:tc>
        <w:tc>
          <w:tcPr>
            <w:tcW w:type="dxa" w:w="1680"/>
          </w:tcPr>
          <w:p>
            <w:r>
              <w:rPr>
                <w:sz w:val="17"/>
              </w:rPr>
              <w:t>4.22</w:t>
            </w:r>
          </w:p>
        </w:tc>
        <w:tc>
          <w:tcPr>
            <w:tcW w:type="dxa" w:w="1680"/>
          </w:tcPr>
          <w:p>
            <w:r>
              <w:rPr>
                <w:sz w:val="17"/>
              </w:rPr>
              <w:t>R$ 123.89</w:t>
            </w:r>
          </w:p>
        </w:tc>
      </w:tr>
    </w:tbl>
    <w:p>
      <w:pPr>
        <w:jc w:val="center"/>
      </w:pPr>
      <w:r>
        <w:drawing>
          <wp:inline xmlns:a="http://schemas.openxmlformats.org/drawingml/2006/main" xmlns:pic="http://schemas.openxmlformats.org/drawingml/2006/picture">
            <wp:extent cx="6035040" cy="3369202"/>
            <wp:docPr id="5" name="Picture 5"/>
            <wp:cNvGraphicFramePr>
              <a:graphicFrameLocks noChangeAspect="1"/>
            </wp:cNvGraphicFramePr>
            <a:graphic>
              <a:graphicData uri="http://schemas.openxmlformats.org/drawingml/2006/picture">
                <pic:pic>
                  <pic:nvPicPr>
                    <pic:cNvPr id="0" name="category_volume.png"/>
                    <pic:cNvPicPr/>
                  </pic:nvPicPr>
                  <pic:blipFill>
                    <a:blip r:embed="rId13"/>
                    <a:stretch>
                      <a:fillRect/>
                    </a:stretch>
                  </pic:blipFill>
                  <pic:spPr>
                    <a:xfrm>
                      <a:off x="0" y="0"/>
                      <a:ext cx="6035040" cy="3369202"/>
                    </a:xfrm>
                    <a:prstGeom prst="rect"/>
                  </pic:spPr>
                </pic:pic>
              </a:graphicData>
            </a:graphic>
          </wp:inline>
        </w:drawing>
      </w:r>
    </w:p>
    <w:p>
      <w:r>
        <w:t>Lowest-rated categories among categories with at least 100 orders: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tcPr>
          <w:p>
            <w:r>
              <w:rPr>
                <w:b/>
                <w:color w:val="FFFFFF"/>
                <w:sz w:val="17"/>
              </w:rPr>
              <w:t>category</w:t>
            </w:r>
          </w:p>
        </w:tc>
        <w:tc>
          <w:tcPr>
            <w:tcW w:type="dxa" w:w="2520"/>
            <w:shd w:fill="1F4E78"/>
          </w:tcPr>
          <w:p>
            <w:r>
              <w:rPr>
                <w:b/>
                <w:color w:val="FFFFFF"/>
                <w:sz w:val="17"/>
              </w:rPr>
              <w:t>orders</w:t>
            </w:r>
          </w:p>
        </w:tc>
        <w:tc>
          <w:tcPr>
            <w:tcW w:type="dxa" w:w="2520"/>
            <w:shd w:fill="1F4E78"/>
          </w:tcPr>
          <w:p>
            <w:r>
              <w:rPr>
                <w:b/>
                <w:color w:val="FFFFFF"/>
                <w:sz w:val="17"/>
              </w:rPr>
              <w:t>revenue</w:t>
            </w:r>
          </w:p>
        </w:tc>
        <w:tc>
          <w:tcPr>
            <w:tcW w:type="dxa" w:w="2520"/>
            <w:shd w:fill="1F4E78"/>
          </w:tcPr>
          <w:p>
            <w:r>
              <w:rPr>
                <w:b/>
                <w:color w:val="FFFFFF"/>
                <w:sz w:val="17"/>
              </w:rPr>
              <w:t>avg_review</w:t>
            </w:r>
          </w:p>
        </w:tc>
      </w:tr>
      <w:tr>
        <w:tc>
          <w:tcPr>
            <w:tcW w:type="dxa" w:w="2520"/>
          </w:tcPr>
          <w:p>
            <w:r>
              <w:rPr>
                <w:sz w:val="17"/>
              </w:rPr>
              <w:t>office_furniture</w:t>
            </w:r>
          </w:p>
        </w:tc>
        <w:tc>
          <w:tcPr>
            <w:tcW w:type="dxa" w:w="2520"/>
          </w:tcPr>
          <w:p>
            <w:r>
              <w:rPr>
                <w:sz w:val="17"/>
              </w:rPr>
              <w:t>1,254</w:t>
            </w:r>
          </w:p>
        </w:tc>
        <w:tc>
          <w:tcPr>
            <w:tcW w:type="dxa" w:w="2520"/>
          </w:tcPr>
          <w:p>
            <w:r>
              <w:rPr>
                <w:sz w:val="17"/>
              </w:rPr>
              <w:t>R$ 268,154.31</w:t>
            </w:r>
          </w:p>
        </w:tc>
        <w:tc>
          <w:tcPr>
            <w:tcW w:type="dxa" w:w="2520"/>
          </w:tcPr>
          <w:p>
            <w:r>
              <w:rPr>
                <w:sz w:val="17"/>
              </w:rPr>
              <w:t>3.63</w:t>
            </w:r>
          </w:p>
        </w:tc>
      </w:tr>
      <w:tr>
        <w:tc>
          <w:tcPr>
            <w:tcW w:type="dxa" w:w="2520"/>
          </w:tcPr>
          <w:p>
            <w:r>
              <w:rPr>
                <w:sz w:val="17"/>
              </w:rPr>
              <w:t>fashion_male_clothing</w:t>
            </w:r>
          </w:p>
        </w:tc>
        <w:tc>
          <w:tcPr>
            <w:tcW w:type="dxa" w:w="2520"/>
          </w:tcPr>
          <w:p>
            <w:r>
              <w:rPr>
                <w:sz w:val="17"/>
              </w:rPr>
              <w:t>106</w:t>
            </w:r>
          </w:p>
        </w:tc>
        <w:tc>
          <w:tcPr>
            <w:tcW w:type="dxa" w:w="2520"/>
          </w:tcPr>
          <w:p>
            <w:r>
              <w:rPr>
                <w:sz w:val="17"/>
              </w:rPr>
              <w:t>R$ 10,452.33</w:t>
            </w:r>
          </w:p>
        </w:tc>
        <w:tc>
          <w:tcPr>
            <w:tcW w:type="dxa" w:w="2520"/>
          </w:tcPr>
          <w:p>
            <w:r>
              <w:rPr>
                <w:sz w:val="17"/>
              </w:rPr>
              <w:t>3.79</w:t>
            </w:r>
          </w:p>
        </w:tc>
      </w:tr>
      <w:tr>
        <w:tc>
          <w:tcPr>
            <w:tcW w:type="dxa" w:w="2520"/>
          </w:tcPr>
          <w:p>
            <w:r>
              <w:rPr>
                <w:sz w:val="17"/>
              </w:rPr>
              <w:t>audio</w:t>
            </w:r>
          </w:p>
        </w:tc>
        <w:tc>
          <w:tcPr>
            <w:tcW w:type="dxa" w:w="2520"/>
          </w:tcPr>
          <w:p>
            <w:r>
              <w:rPr>
                <w:sz w:val="17"/>
              </w:rPr>
              <w:t>348</w:t>
            </w:r>
          </w:p>
        </w:tc>
        <w:tc>
          <w:tcPr>
            <w:tcW w:type="dxa" w:w="2520"/>
          </w:tcPr>
          <w:p>
            <w:r>
              <w:rPr>
                <w:sz w:val="17"/>
              </w:rPr>
              <w:t>R$ 50,570.60</w:t>
            </w:r>
          </w:p>
        </w:tc>
        <w:tc>
          <w:tcPr>
            <w:tcW w:type="dxa" w:w="2520"/>
          </w:tcPr>
          <w:p>
            <w:r>
              <w:rPr>
                <w:sz w:val="17"/>
              </w:rPr>
              <w:t>3.82</w:t>
            </w:r>
          </w:p>
        </w:tc>
      </w:tr>
      <w:tr>
        <w:tc>
          <w:tcPr>
            <w:tcW w:type="dxa" w:w="2520"/>
          </w:tcPr>
          <w:p>
            <w:r>
              <w:rPr>
                <w:sz w:val="17"/>
              </w:rPr>
              <w:t>home_confort</w:t>
            </w:r>
          </w:p>
        </w:tc>
        <w:tc>
          <w:tcPr>
            <w:tcW w:type="dxa" w:w="2520"/>
          </w:tcPr>
          <w:p>
            <w:r>
              <w:rPr>
                <w:sz w:val="17"/>
              </w:rPr>
              <w:t>392</w:t>
            </w:r>
          </w:p>
        </w:tc>
        <w:tc>
          <w:tcPr>
            <w:tcW w:type="dxa" w:w="2520"/>
          </w:tcPr>
          <w:p>
            <w:r>
              <w:rPr>
                <w:sz w:val="17"/>
              </w:rPr>
              <w:t>R$ 58,008.45</w:t>
            </w:r>
          </w:p>
        </w:tc>
        <w:tc>
          <w:tcPr>
            <w:tcW w:type="dxa" w:w="2520"/>
          </w:tcPr>
          <w:p>
            <w:r>
              <w:rPr>
                <w:sz w:val="17"/>
              </w:rPr>
              <w:t>3.88</w:t>
            </w:r>
          </w:p>
        </w:tc>
      </w:tr>
      <w:tr>
        <w:tc>
          <w:tcPr>
            <w:tcW w:type="dxa" w:w="2520"/>
          </w:tcPr>
          <w:p>
            <w:r>
              <w:rPr>
                <w:sz w:val="17"/>
              </w:rPr>
              <w:t>fixed_telephony</w:t>
            </w:r>
          </w:p>
        </w:tc>
        <w:tc>
          <w:tcPr>
            <w:tcW w:type="dxa" w:w="2520"/>
          </w:tcPr>
          <w:p>
            <w:r>
              <w:rPr>
                <w:sz w:val="17"/>
              </w:rPr>
              <w:t>212</w:t>
            </w:r>
          </w:p>
        </w:tc>
        <w:tc>
          <w:tcPr>
            <w:tcW w:type="dxa" w:w="2520"/>
          </w:tcPr>
          <w:p>
            <w:r>
              <w:rPr>
                <w:sz w:val="17"/>
              </w:rPr>
              <w:t>R$ 55,315.21</w:t>
            </w:r>
          </w:p>
        </w:tc>
        <w:tc>
          <w:tcPr>
            <w:tcW w:type="dxa" w:w="2520"/>
          </w:tcPr>
          <w:p>
            <w:r>
              <w:rPr>
                <w:sz w:val="17"/>
              </w:rPr>
              <w:t>3.95</w:t>
            </w:r>
          </w:p>
        </w:tc>
      </w:tr>
    </w:tbl>
    <w:tbl>
      <w:tblPr>
        <w:tblStyle w:val="TableGrid"/>
        <w:tblW w:type="auto" w:w="0"/>
        <w:tblLook w:firstColumn="1" w:firstRow="1" w:lastColumn="0" w:lastRow="0" w:noHBand="0" w:noVBand="1" w:val="04A0"/>
      </w:tblPr>
      <w:tblGrid>
        <w:gridCol w:w="10080"/>
      </w:tblGrid>
      <w:tr>
        <w:tc>
          <w:tcPr>
            <w:tcW w:type="dxa" w:w="10080"/>
            <w:shd w:fill="EAF2F8"/>
          </w:tcPr>
          <w:p>
            <w:r>
              <w:rPr>
                <w:b/>
                <w:sz w:val="22"/>
              </w:rPr>
              <w:t>Business finding</w:t>
              <w:br/>
            </w:r>
            <w:r>
              <w:rPr>
                <w:sz w:val="20"/>
              </w:rPr>
              <w:t>The most actionable category targets are categories with meaningful demand or revenue combined with below-average reviews.</w:t>
            </w:r>
          </w:p>
        </w:tc>
      </w:tr>
    </w:tbl>
    <w:p/>
    <w:p>
      <w:pPr>
        <w:pStyle w:val="Heading1"/>
      </w:pPr>
      <w:r>
        <w:t>8. Question 5 — Payment Behavior</w:t>
      </w:r>
    </w:p>
    <w:p>
      <w:r>
        <w:t>Credit card was used for 73,220 orders, approximately 75.9% of cleaned delivered orders. Payment type is more closely associated with transaction value than with customer satisfaction.</w:t>
      </w:r>
    </w:p>
    <w:p>
      <w:pPr>
        <w:jc w:val="center"/>
      </w:pPr>
      <w:r>
        <w:drawing>
          <wp:inline xmlns:a="http://schemas.openxmlformats.org/drawingml/2006/main" xmlns:pic="http://schemas.openxmlformats.org/drawingml/2006/picture">
            <wp:extent cx="6035040" cy="3253227"/>
            <wp:docPr id="6" name="Picture 6"/>
            <wp:cNvGraphicFramePr>
              <a:graphicFrameLocks noChangeAspect="1"/>
            </wp:cNvGraphicFramePr>
            <a:graphic>
              <a:graphicData uri="http://schemas.openxmlformats.org/drawingml/2006/picture">
                <pic:pic>
                  <pic:nvPicPr>
                    <pic:cNvPr id="0" name="payment_value.png"/>
                    <pic:cNvPicPr/>
                  </pic:nvPicPr>
                  <pic:blipFill>
                    <a:blip r:embed="rId14"/>
                    <a:stretch>
                      <a:fillRect/>
                    </a:stretch>
                  </pic:blipFill>
                  <pic:spPr>
                    <a:xfrm>
                      <a:off x="0" y="0"/>
                      <a:ext cx="6035040" cy="3253227"/>
                    </a:xfrm>
                    <a:prstGeom prst="rect"/>
                  </pic:spPr>
                </pic:pic>
              </a:graphicData>
            </a:graphic>
          </wp:inline>
        </w:drawing>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8"/>
          </w:tcPr>
          <w:p>
            <w:r>
              <w:rPr>
                <w:b/>
                <w:color w:val="FFFFFF"/>
                <w:sz w:val="17"/>
              </w:rPr>
              <w:t>primary_payment_type</w:t>
            </w:r>
          </w:p>
        </w:tc>
        <w:tc>
          <w:tcPr>
            <w:tcW w:type="dxa" w:w="2016"/>
            <w:shd w:fill="1F4E78"/>
          </w:tcPr>
          <w:p>
            <w:r>
              <w:rPr>
                <w:b/>
                <w:color w:val="FFFFFF"/>
                <w:sz w:val="17"/>
              </w:rPr>
              <w:t>orders</w:t>
            </w:r>
          </w:p>
        </w:tc>
        <w:tc>
          <w:tcPr>
            <w:tcW w:type="dxa" w:w="2016"/>
            <w:shd w:fill="1F4E78"/>
          </w:tcPr>
          <w:p>
            <w:r>
              <w:rPr>
                <w:b/>
                <w:color w:val="FFFFFF"/>
                <w:sz w:val="17"/>
              </w:rPr>
              <w:t>avg_order_value</w:t>
            </w:r>
          </w:p>
        </w:tc>
        <w:tc>
          <w:tcPr>
            <w:tcW w:type="dxa" w:w="2016"/>
            <w:shd w:fill="1F4E78"/>
          </w:tcPr>
          <w:p>
            <w:r>
              <w:rPr>
                <w:b/>
                <w:color w:val="FFFFFF"/>
                <w:sz w:val="17"/>
              </w:rPr>
              <w:t>avg_installments</w:t>
            </w:r>
          </w:p>
        </w:tc>
        <w:tc>
          <w:tcPr>
            <w:tcW w:type="dxa" w:w="2016"/>
            <w:shd w:fill="1F4E78"/>
          </w:tcPr>
          <w:p>
            <w:r>
              <w:rPr>
                <w:b/>
                <w:color w:val="FFFFFF"/>
                <w:sz w:val="17"/>
              </w:rPr>
              <w:t>avg_review</w:t>
            </w:r>
          </w:p>
        </w:tc>
      </w:tr>
      <w:tr>
        <w:tc>
          <w:tcPr>
            <w:tcW w:type="dxa" w:w="2016"/>
          </w:tcPr>
          <w:p>
            <w:r>
              <w:rPr>
                <w:sz w:val="17"/>
              </w:rPr>
              <w:t>credit_card</w:t>
            </w:r>
          </w:p>
        </w:tc>
        <w:tc>
          <w:tcPr>
            <w:tcW w:type="dxa" w:w="2016"/>
          </w:tcPr>
          <w:p>
            <w:r>
              <w:rPr>
                <w:sz w:val="17"/>
              </w:rPr>
              <w:t>73,220</w:t>
            </w:r>
          </w:p>
        </w:tc>
        <w:tc>
          <w:tcPr>
            <w:tcW w:type="dxa" w:w="2016"/>
          </w:tcPr>
          <w:p>
            <w:r>
              <w:rPr>
                <w:sz w:val="17"/>
              </w:rPr>
              <w:t>R$ 165.56</w:t>
            </w:r>
          </w:p>
        </w:tc>
        <w:tc>
          <w:tcPr>
            <w:tcW w:type="dxa" w:w="2016"/>
          </w:tcPr>
          <w:p>
            <w:r>
              <w:rPr>
                <w:sz w:val="17"/>
              </w:rPr>
              <w:t>3.52</w:t>
            </w:r>
          </w:p>
        </w:tc>
        <w:tc>
          <w:tcPr>
            <w:tcW w:type="dxa" w:w="2016"/>
          </w:tcPr>
          <w:p>
            <w:r>
              <w:rPr>
                <w:sz w:val="17"/>
              </w:rPr>
              <w:t>4.14</w:t>
            </w:r>
          </w:p>
        </w:tc>
      </w:tr>
      <w:tr>
        <w:tc>
          <w:tcPr>
            <w:tcW w:type="dxa" w:w="2016"/>
          </w:tcPr>
          <w:p>
            <w:r>
              <w:rPr>
                <w:sz w:val="17"/>
              </w:rPr>
              <w:t>boleto</w:t>
            </w:r>
          </w:p>
        </w:tc>
        <w:tc>
          <w:tcPr>
            <w:tcW w:type="dxa" w:w="2016"/>
          </w:tcPr>
          <w:p>
            <w:r>
              <w:rPr>
                <w:sz w:val="17"/>
              </w:rPr>
              <w:t>19,191</w:t>
            </w:r>
          </w:p>
        </w:tc>
        <w:tc>
          <w:tcPr>
            <w:tcW w:type="dxa" w:w="2016"/>
          </w:tcPr>
          <w:p>
            <w:r>
              <w:rPr>
                <w:sz w:val="17"/>
              </w:rPr>
              <w:t>R$ 144.33</w:t>
            </w:r>
          </w:p>
        </w:tc>
        <w:tc>
          <w:tcPr>
            <w:tcW w:type="dxa" w:w="2016"/>
          </w:tcPr>
          <w:p>
            <w:r>
              <w:rPr>
                <w:sz w:val="17"/>
              </w:rPr>
              <w:t>1.00</w:t>
            </w:r>
          </w:p>
        </w:tc>
        <w:tc>
          <w:tcPr>
            <w:tcW w:type="dxa" w:w="2016"/>
          </w:tcPr>
          <w:p>
            <w:r>
              <w:rPr>
                <w:sz w:val="17"/>
              </w:rPr>
              <w:t>4.14</w:t>
            </w:r>
          </w:p>
        </w:tc>
      </w:tr>
      <w:tr>
        <w:tc>
          <w:tcPr>
            <w:tcW w:type="dxa" w:w="2016"/>
          </w:tcPr>
          <w:p>
            <w:r>
              <w:rPr>
                <w:sz w:val="17"/>
              </w:rPr>
              <w:t>voucher</w:t>
            </w:r>
          </w:p>
        </w:tc>
        <w:tc>
          <w:tcPr>
            <w:tcW w:type="dxa" w:w="2016"/>
          </w:tcPr>
          <w:p>
            <w:r>
              <w:rPr>
                <w:sz w:val="17"/>
              </w:rPr>
              <w:t>2,582</w:t>
            </w:r>
          </w:p>
        </w:tc>
        <w:tc>
          <w:tcPr>
            <w:tcW w:type="dxa" w:w="2016"/>
          </w:tcPr>
          <w:p>
            <w:r>
              <w:rPr>
                <w:sz w:val="17"/>
              </w:rPr>
              <w:t>R$ 124.75</w:t>
            </w:r>
          </w:p>
        </w:tc>
        <w:tc>
          <w:tcPr>
            <w:tcW w:type="dxa" w:w="2016"/>
          </w:tcPr>
          <w:p>
            <w:r>
              <w:rPr>
                <w:sz w:val="17"/>
              </w:rPr>
              <w:t>1.47</w:t>
            </w:r>
          </w:p>
        </w:tc>
        <w:tc>
          <w:tcPr>
            <w:tcW w:type="dxa" w:w="2016"/>
          </w:tcPr>
          <w:p>
            <w:r>
              <w:rPr>
                <w:sz w:val="17"/>
              </w:rPr>
              <w:t>4.11</w:t>
            </w:r>
          </w:p>
        </w:tc>
      </w:tr>
      <w:tr>
        <w:tc>
          <w:tcPr>
            <w:tcW w:type="dxa" w:w="2016"/>
          </w:tcPr>
          <w:p>
            <w:r>
              <w:rPr>
                <w:sz w:val="17"/>
              </w:rPr>
              <w:t>debit_card</w:t>
            </w:r>
          </w:p>
        </w:tc>
        <w:tc>
          <w:tcPr>
            <w:tcW w:type="dxa" w:w="2016"/>
          </w:tcPr>
          <w:p>
            <w:r>
              <w:rPr>
                <w:sz w:val="17"/>
              </w:rPr>
              <w:t>1,484</w:t>
            </w:r>
          </w:p>
        </w:tc>
        <w:tc>
          <w:tcPr>
            <w:tcW w:type="dxa" w:w="2016"/>
          </w:tcPr>
          <w:p>
            <w:r>
              <w:rPr>
                <w:sz w:val="17"/>
              </w:rPr>
              <w:t>R$ 140.41</w:t>
            </w:r>
          </w:p>
        </w:tc>
        <w:tc>
          <w:tcPr>
            <w:tcW w:type="dxa" w:w="2016"/>
          </w:tcPr>
          <w:p>
            <w:r>
              <w:rPr>
                <w:sz w:val="17"/>
              </w:rPr>
              <w:t>1.00</w:t>
            </w:r>
          </w:p>
        </w:tc>
        <w:tc>
          <w:tcPr>
            <w:tcW w:type="dxa" w:w="2016"/>
          </w:tcPr>
          <w:p>
            <w:r>
              <w:rPr>
                <w:sz w:val="17"/>
              </w:rPr>
              <w:t>4.23</w:t>
            </w:r>
          </w:p>
        </w:tc>
      </w:tr>
    </w:tbl>
    <w:tbl>
      <w:tblPr>
        <w:tblStyle w:val="TableGrid"/>
        <w:tblW w:type="auto" w:w="0"/>
        <w:tblLook w:firstColumn="1" w:firstRow="1" w:lastColumn="0" w:lastRow="0" w:noHBand="0" w:noVBand="1" w:val="04A0"/>
      </w:tblPr>
      <w:tblGrid>
        <w:gridCol w:w="10080"/>
      </w:tblGrid>
      <w:tr>
        <w:tc>
          <w:tcPr>
            <w:tcW w:type="dxa" w:w="10080"/>
            <w:shd w:fill="EAF2F8"/>
          </w:tcPr>
          <w:p>
            <w:r>
              <w:rPr>
                <w:b/>
                <w:sz w:val="22"/>
              </w:rPr>
              <w:t>Business finding</w:t>
              <w:br/>
            </w:r>
            <w:r>
              <w:rPr>
                <w:sz w:val="20"/>
              </w:rPr>
              <w:t>Payment should be treated as a secondary commercial optimization rather than the primary customer-experience lever.</w:t>
            </w:r>
          </w:p>
        </w:tc>
      </w:tr>
    </w:tbl>
    <w:p/>
    <w:p>
      <w:pPr>
        <w:pStyle w:val="Heading1"/>
      </w:pPr>
      <w:r>
        <w:t>9. Question 6 — Root Cause Analysis</w:t>
      </w:r>
    </w:p>
    <w:p>
      <w:pPr>
        <w:jc w:val="center"/>
      </w:pPr>
      <w:r>
        <w:drawing>
          <wp:inline xmlns:a="http://schemas.openxmlformats.org/drawingml/2006/main" xmlns:pic="http://schemas.openxmlformats.org/drawingml/2006/picture">
            <wp:extent cx="6035040" cy="3262562"/>
            <wp:docPr id="7" name="Picture 7"/>
            <wp:cNvGraphicFramePr>
              <a:graphicFrameLocks noChangeAspect="1"/>
            </wp:cNvGraphicFramePr>
            <a:graphic>
              <a:graphicData uri="http://schemas.openxmlformats.org/drawingml/2006/picture">
                <pic:pic>
                  <pic:nvPicPr>
                    <pic:cNvPr id="0" name="root_cause.png"/>
                    <pic:cNvPicPr/>
                  </pic:nvPicPr>
                  <pic:blipFill>
                    <a:blip r:embed="rId15"/>
                    <a:stretch>
                      <a:fillRect/>
                    </a:stretch>
                  </pic:blipFill>
                  <pic:spPr>
                    <a:xfrm>
                      <a:off x="0" y="0"/>
                      <a:ext cx="6035040" cy="3262562"/>
                    </a:xfrm>
                    <a:prstGeom prst="rect"/>
                  </pic:spPr>
                </pic:pic>
              </a:graphicData>
            </a:graphic>
          </wp:inline>
        </w:drawing>
      </w:r>
    </w:p>
    <w:p>
      <w:r>
        <w:t>The root-cause analysis compares low and high satisfaction groups and ranks candidate factors by their observed association with review score.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E78"/>
          </w:tcPr>
          <w:p>
            <w:r>
              <w:rPr>
                <w:b/>
                <w:color w:val="FFFFFF"/>
                <w:sz w:val="17"/>
              </w:rPr>
              <w:t>Group</w:t>
            </w:r>
          </w:p>
        </w:tc>
        <w:tc>
          <w:tcPr>
            <w:tcW w:type="dxa" w:w="1680"/>
            <w:shd w:fill="1F4E78"/>
          </w:tcPr>
          <w:p>
            <w:r>
              <w:rPr>
                <w:b/>
                <w:color w:val="FFFFFF"/>
                <w:sz w:val="17"/>
              </w:rPr>
              <w:t>Orders</w:t>
            </w:r>
          </w:p>
        </w:tc>
        <w:tc>
          <w:tcPr>
            <w:tcW w:type="dxa" w:w="1680"/>
            <w:shd w:fill="1F4E78"/>
          </w:tcPr>
          <w:p>
            <w:r>
              <w:rPr>
                <w:b/>
                <w:color w:val="FFFFFF"/>
                <w:sz w:val="17"/>
              </w:rPr>
              <w:t>Avg review</w:t>
            </w:r>
          </w:p>
        </w:tc>
        <w:tc>
          <w:tcPr>
            <w:tcW w:type="dxa" w:w="1680"/>
            <w:shd w:fill="1F4E78"/>
          </w:tcPr>
          <w:p>
            <w:r>
              <w:rPr>
                <w:b/>
                <w:color w:val="FFFFFF"/>
                <w:sz w:val="17"/>
              </w:rPr>
              <w:t>Late rate %</w:t>
            </w:r>
          </w:p>
        </w:tc>
        <w:tc>
          <w:tcPr>
            <w:tcW w:type="dxa" w:w="1680"/>
            <w:shd w:fill="1F4E78"/>
          </w:tcPr>
          <w:p>
            <w:r>
              <w:rPr>
                <w:b/>
                <w:color w:val="FFFFFF"/>
                <w:sz w:val="17"/>
              </w:rPr>
              <w:t>Avg freight</w:t>
            </w:r>
          </w:p>
        </w:tc>
        <w:tc>
          <w:tcPr>
            <w:tcW w:type="dxa" w:w="1680"/>
            <w:shd w:fill="1F4E78"/>
          </w:tcPr>
          <w:p>
            <w:r>
              <w:rPr>
                <w:b/>
                <w:color w:val="FFFFFF"/>
                <w:sz w:val="17"/>
              </w:rPr>
              <w:t>Avg order value</w:t>
            </w:r>
          </w:p>
        </w:tc>
      </w:tr>
      <w:tr>
        <w:tc>
          <w:tcPr>
            <w:tcW w:type="dxa" w:w="1680"/>
          </w:tcPr>
          <w:p>
            <w:r>
              <w:rPr>
                <w:sz w:val="17"/>
              </w:rPr>
              <w:t>Low rating (1–2)</w:t>
            </w:r>
          </w:p>
        </w:tc>
        <w:tc>
          <w:tcPr>
            <w:tcW w:type="dxa" w:w="1680"/>
          </w:tcPr>
          <w:p>
            <w:r>
              <w:rPr>
                <w:sz w:val="17"/>
              </w:rPr>
              <w:t>12,655</w:t>
            </w:r>
          </w:p>
        </w:tc>
        <w:tc>
          <w:tcPr>
            <w:tcW w:type="dxa" w:w="1680"/>
          </w:tcPr>
          <w:p>
            <w:r>
              <w:rPr>
                <w:sz w:val="17"/>
              </w:rPr>
              <w:t>1.24</w:t>
            </w:r>
          </w:p>
        </w:tc>
        <w:tc>
          <w:tcPr>
            <w:tcW w:type="dxa" w:w="1680"/>
          </w:tcPr>
          <w:p>
            <w:r>
              <w:rPr>
                <w:sz w:val="17"/>
              </w:rPr>
              <w:t>33.74%</w:t>
            </w:r>
          </w:p>
        </w:tc>
        <w:tc>
          <w:tcPr>
            <w:tcW w:type="dxa" w:w="1680"/>
          </w:tcPr>
          <w:p>
            <w:r>
              <w:rPr>
                <w:sz w:val="17"/>
              </w:rPr>
              <w:t>R$ 27.74</w:t>
            </w:r>
          </w:p>
        </w:tc>
        <w:tc>
          <w:tcPr>
            <w:tcW w:type="dxa" w:w="1680"/>
          </w:tcPr>
          <w:p>
            <w:r>
              <w:rPr>
                <w:sz w:val="17"/>
              </w:rPr>
              <w:t>R$ 188.55</w:t>
            </w:r>
          </w:p>
        </w:tc>
      </w:tr>
      <w:tr>
        <w:tc>
          <w:tcPr>
            <w:tcW w:type="dxa" w:w="1680"/>
          </w:tcPr>
          <w:p>
            <w:r>
              <w:rPr>
                <w:sz w:val="17"/>
              </w:rPr>
              <w:t>High rating (4–5)</w:t>
            </w:r>
          </w:p>
        </w:tc>
        <w:tc>
          <w:tcPr>
            <w:tcW w:type="dxa" w:w="1680"/>
          </w:tcPr>
          <w:p>
            <w:r>
              <w:rPr>
                <w:sz w:val="17"/>
              </w:rPr>
              <w:t>75,758</w:t>
            </w:r>
          </w:p>
        </w:tc>
        <w:tc>
          <w:tcPr>
            <w:tcW w:type="dxa" w:w="1680"/>
          </w:tcPr>
          <w:p>
            <w:r>
              <w:rPr>
                <w:sz w:val="17"/>
              </w:rPr>
              <w:t>4.75</w:t>
            </w:r>
          </w:p>
        </w:tc>
        <w:tc>
          <w:tcPr>
            <w:tcW w:type="dxa" w:w="1680"/>
          </w:tcPr>
          <w:p>
            <w:r>
              <w:rPr>
                <w:sz w:val="17"/>
              </w:rPr>
              <w:t>3.51%</w:t>
            </w:r>
          </w:p>
        </w:tc>
        <w:tc>
          <w:tcPr>
            <w:tcW w:type="dxa" w:w="1680"/>
          </w:tcPr>
          <w:p>
            <w:r>
              <w:rPr>
                <w:sz w:val="17"/>
              </w:rPr>
              <w:t>R$ 21.88</w:t>
            </w:r>
          </w:p>
        </w:tc>
        <w:tc>
          <w:tcPr>
            <w:tcW w:type="dxa" w:w="1680"/>
          </w:tcPr>
          <w:p>
            <w:r>
              <w:rPr>
                <w:sz w:val="17"/>
              </w:rPr>
              <w:t>R$ 156.00</w:t>
            </w:r>
          </w:p>
        </w:tc>
      </w:tr>
    </w:tbl>
    <w:tbl>
      <w:tblPr>
        <w:tblStyle w:val="TableGrid"/>
        <w:tblW w:type="auto" w:w="0"/>
        <w:tblLook w:firstColumn="1" w:firstRow="1" w:lastColumn="0" w:lastRow="0" w:noHBand="0" w:noVBand="1" w:val="04A0"/>
      </w:tblPr>
      <w:tblGrid>
        <w:gridCol w:w="10080"/>
      </w:tblGrid>
      <w:tr>
        <w:tc>
          <w:tcPr>
            <w:tcW w:type="dxa" w:w="10080"/>
            <w:shd w:fill="EAF2F8"/>
          </w:tcPr>
          <w:p>
            <w:r>
              <w:rPr>
                <w:b/>
                <w:sz w:val="22"/>
              </w:rPr>
              <w:t>Root-cause conclusion</w:t>
              <w:br/>
            </w:r>
            <w:r>
              <w:rPr>
                <w:sz w:val="20"/>
              </w:rPr>
              <w:t>Primary contributor: delivery reliability. Secondary contributor: freight/logistics burden. Weaker contributors: order value, product value and installment count. These are associations, not causal estimates. Comment presence is not treated as a cause because it is a customer response behavior.</w:t>
            </w:r>
          </w:p>
        </w:tc>
      </w:tr>
    </w:tbl>
    <w:p/>
    <w:p>
      <w:pPr>
        <w:pStyle w:val="Heading1"/>
      </w:pPr>
      <w:r>
        <w:t>10. Actionable Recommendations</w:t>
      </w:r>
    </w:p>
    <w:p>
      <w:r>
        <w:rPr>
          <w:b/>
          <w:sz w:val="23"/>
        </w:rPr>
        <w:t>1. Make delivery reliability the primary operational KPI.</w:t>
      </w:r>
    </w:p>
    <w:p>
      <w:r>
        <w:t>Track late-delivery rate with average review at marketplace, region, seller and category levels. Focus on reducing materially late orders.</w:t>
      </w:r>
    </w:p>
    <w:p>
      <w:r>
        <w:rPr>
          <w:b/>
          <w:sz w:val="23"/>
        </w:rPr>
        <w:t>2. Prioritize high-risk regions.</w:t>
      </w:r>
    </w:p>
    <w:p>
      <w:r>
        <w:t>Create a regional watchlist for late rate, freight and review score. Investigate carrier coverage, routing and fulfillment capacity where all three deteriorate.</w:t>
      </w:r>
    </w:p>
    <w:p>
      <w:r>
        <w:rPr>
          <w:b/>
          <w:sz w:val="23"/>
        </w:rPr>
        <w:t>3. Identify and coach high-risk sellers.</w:t>
      </w:r>
    </w:p>
    <w:p>
      <w:r>
        <w:t>Use seller screening to flag sufficiently large sellers with unusually high late rates or weak reviews; investigate dispatch and carrier handoff processes.</w:t>
      </w:r>
    </w:p>
    <w:p>
      <w:r>
        <w:rPr>
          <w:b/>
          <w:sz w:val="23"/>
        </w:rPr>
        <w:t>4. Protect customer experience during demand peaks.</w:t>
      </w:r>
    </w:p>
    <w:p>
      <w:r>
        <w:t>Use peak-month evidence to strengthen fulfillment-capacity monitoring, carrier coordination and estimated-date accuracy during high-volume periods.</w:t>
      </w:r>
    </w:p>
    <w:p>
      <w:r>
        <w:rPr>
          <w:b/>
          <w:sz w:val="23"/>
        </w:rPr>
        <w:t>5. Prioritize high-demand, low-satisfaction categories.</w:t>
      </w:r>
    </w:p>
    <w:p>
      <w:r>
        <w:t>Separate product-quality problems from logistics problems before selecting category-specific interventions.</w:t>
      </w:r>
    </w:p>
    <w:p>
      <w:r>
        <w:rPr>
          <w:b/>
          <w:sz w:val="23"/>
        </w:rPr>
        <w:t>6. Keep payment optimization secondary.</w:t>
      </w:r>
    </w:p>
    <w:p>
      <w:r>
        <w:t>Use payment analysis to improve basket value and financing convenience, but do not treat payment type as the main satisfaction problem.</w:t>
      </w:r>
    </w:p>
    <w:p>
      <w:r>
        <w:rPr>
          <w:b/>
          <w:sz w:val="23"/>
        </w:rPr>
        <w:t>7. Build an operational dashboard.</w:t>
      </w:r>
    </w:p>
    <w:p>
      <w:r>
        <w:t>Monitor orders, total order value, late rate, review score, low-rating share, freight and regional/seller/category breakdowns on a recurring basis.</w:t>
      </w:r>
    </w:p>
    <w:p>
      <w:pPr>
        <w:pStyle w:val="Heading1"/>
      </w:pPr>
      <w:r>
        <w:t>11. Limitations</w:t>
      </w:r>
    </w:p>
    <w:p>
      <w:pPr>
        <w:pStyle w:val="ListBullet"/>
        <w:spacing w:after="40"/>
      </w:pPr>
      <w:r>
        <w:t>The main analysis is restricted to delivered orders.</w:t>
      </w:r>
    </w:p>
    <w:p>
      <w:pPr>
        <w:pStyle w:val="ListBullet"/>
        <w:spacing w:after="40"/>
      </w:pPr>
      <w:r>
        <w:t>The data is observational, so the relationships identified should not be interpreted as proven causality.</w:t>
      </w:r>
    </w:p>
    <w:p>
      <w:pPr>
        <w:pStyle w:val="ListBullet"/>
        <w:spacing w:after="40"/>
      </w:pPr>
      <w:r>
        <w:t>Seller analysis uses the primary_seller_id field in the cleaned master and is therefore a screening view.</w:t>
      </w:r>
    </w:p>
    <w:p>
      <w:pPr>
        <w:pStyle w:val="ListBullet"/>
        <w:spacing w:after="40"/>
      </w:pPr>
      <w:r>
        <w:t>Very small state or seller groups can produce unstable averages; minimum-volume thresholds are used where appropriate.</w:t>
      </w:r>
    </w:p>
    <w:p>
      <w:pPr>
        <w:pStyle w:val="ListBullet"/>
        <w:spacing w:after="40"/>
      </w:pPr>
      <w:r>
        <w:t>Product category analysis requires the original product tables because category information is absent from the cleaned master.</w:t>
      </w:r>
    </w:p>
    <w:p>
      <w:pPr>
        <w:pStyle w:val="Heading1"/>
      </w:pPr>
      <w:r>
        <w:t>12. Conclusion</w:t>
      </w:r>
    </w:p>
    <w:p>
      <w:r>
        <w:t>Olist scaled strongly across the observed period, but customer experience did not scale uniformly with marketplace volume. The strongest and most actionable signal is delivery reliability: as delivery becomes later, review scores fall sharply, and low-rated orders have a substantially higher incidence of late delivery. Geographic and freight differences reinforce the importance of logistics as the main operational lens.</w:t>
      </w:r>
    </w:p>
    <w:p>
      <w:r>
        <w:t>The recommended priority is therefore to improve delivery reliability, supported by regional, seller and category diagnostics. Payment behavior should remain a secondary commercial optimization. This approach directly connects marketplace performance analysis to operational action while keeping the conclusions appropriately evidence-based.</w:t>
      </w:r>
    </w:p>
    <w:p>
      <w:pPr>
        <w:pStyle w:val="Heading1"/>
      </w:pPr>
      <w:r>
        <w:t>Appendix — Key Metrics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7"/>
              </w:rPr>
              <w:t>Metric</w:t>
            </w:r>
          </w:p>
        </w:tc>
        <w:tc>
          <w:tcPr>
            <w:tcW w:type="dxa" w:w="5040"/>
            <w:shd w:fill="1F4E78"/>
          </w:tcPr>
          <w:p>
            <w:r>
              <w:rPr>
                <w:b/>
                <w:color w:val="FFFFFF"/>
                <w:sz w:val="17"/>
              </w:rPr>
              <w:t>Value</w:t>
            </w:r>
          </w:p>
        </w:tc>
      </w:tr>
      <w:tr>
        <w:tc>
          <w:tcPr>
            <w:tcW w:type="dxa" w:w="5040"/>
          </w:tcPr>
          <w:p>
            <w:r>
              <w:rPr>
                <w:sz w:val="17"/>
              </w:rPr>
              <w:t>Delivered orders</w:t>
            </w:r>
          </w:p>
        </w:tc>
        <w:tc>
          <w:tcPr>
            <w:tcW w:type="dxa" w:w="5040"/>
          </w:tcPr>
          <w:p>
            <w:r>
              <w:rPr>
                <w:sz w:val="17"/>
              </w:rPr>
              <w:t>96,478</w:t>
            </w:r>
          </w:p>
        </w:tc>
      </w:tr>
      <w:tr>
        <w:tc>
          <w:tcPr>
            <w:tcW w:type="dxa" w:w="5040"/>
          </w:tcPr>
          <w:p>
            <w:r>
              <w:rPr>
                <w:sz w:val="17"/>
              </w:rPr>
              <w:t>Product revenue</w:t>
            </w:r>
          </w:p>
        </w:tc>
        <w:tc>
          <w:tcPr>
            <w:tcW w:type="dxa" w:w="5040"/>
          </w:tcPr>
          <w:p>
            <w:r>
              <w:rPr>
                <w:sz w:val="17"/>
              </w:rPr>
              <w:t>R$ 13,221,498.11</w:t>
            </w:r>
          </w:p>
        </w:tc>
      </w:tr>
      <w:tr>
        <w:tc>
          <w:tcPr>
            <w:tcW w:type="dxa" w:w="5040"/>
          </w:tcPr>
          <w:p>
            <w:r>
              <w:rPr>
                <w:sz w:val="17"/>
              </w:rPr>
              <w:t>Freight value</w:t>
            </w:r>
          </w:p>
        </w:tc>
        <w:tc>
          <w:tcPr>
            <w:tcW w:type="dxa" w:w="5040"/>
          </w:tcPr>
          <w:p>
            <w:r>
              <w:rPr>
                <w:sz w:val="17"/>
              </w:rPr>
              <w:t>R$ 2,198,275.64</w:t>
            </w:r>
          </w:p>
        </w:tc>
      </w:tr>
      <w:tr>
        <w:tc>
          <w:tcPr>
            <w:tcW w:type="dxa" w:w="5040"/>
          </w:tcPr>
          <w:p>
            <w:r>
              <w:rPr>
                <w:sz w:val="17"/>
              </w:rPr>
              <w:t>Total order value</w:t>
            </w:r>
          </w:p>
        </w:tc>
        <w:tc>
          <w:tcPr>
            <w:tcW w:type="dxa" w:w="5040"/>
          </w:tcPr>
          <w:p>
            <w:r>
              <w:rPr>
                <w:sz w:val="17"/>
              </w:rPr>
              <w:t>R$ 15,422,605.23</w:t>
            </w:r>
          </w:p>
        </w:tc>
      </w:tr>
      <w:tr>
        <w:tc>
          <w:tcPr>
            <w:tcW w:type="dxa" w:w="5040"/>
          </w:tcPr>
          <w:p>
            <w:r>
              <w:rPr>
                <w:sz w:val="17"/>
              </w:rPr>
              <w:t>Average review</w:t>
            </w:r>
          </w:p>
        </w:tc>
        <w:tc>
          <w:tcPr>
            <w:tcW w:type="dxa" w:w="5040"/>
          </w:tcPr>
          <w:p>
            <w:r>
              <w:rPr>
                <w:sz w:val="17"/>
              </w:rPr>
              <w:t>4.14/5</w:t>
            </w:r>
          </w:p>
        </w:tc>
      </w:tr>
      <w:tr>
        <w:tc>
          <w:tcPr>
            <w:tcW w:type="dxa" w:w="5040"/>
          </w:tcPr>
          <w:p>
            <w:r>
              <w:rPr>
                <w:sz w:val="17"/>
              </w:rPr>
              <w:t>Late delivery rate</w:t>
            </w:r>
          </w:p>
        </w:tc>
        <w:tc>
          <w:tcPr>
            <w:tcW w:type="dxa" w:w="5040"/>
          </w:tcPr>
          <w:p>
            <w:r>
              <w:rPr>
                <w:sz w:val="17"/>
              </w:rPr>
              <w:t>8.11%</w:t>
            </w:r>
          </w:p>
        </w:tc>
      </w:tr>
      <w:tr>
        <w:tc>
          <w:tcPr>
            <w:tcW w:type="dxa" w:w="5040"/>
          </w:tcPr>
          <w:p>
            <w:r>
              <w:rPr>
                <w:sz w:val="17"/>
              </w:rPr>
              <w:t>Peak month</w:t>
            </w:r>
          </w:p>
        </w:tc>
        <w:tc>
          <w:tcPr>
            <w:tcW w:type="dxa" w:w="5040"/>
          </w:tcPr>
          <w:p>
            <w:r>
              <w:rPr>
                <w:sz w:val="17"/>
              </w:rPr>
              <w:t>November 2017</w:t>
            </w:r>
          </w:p>
        </w:tc>
      </w:tr>
      <w:tr>
        <w:tc>
          <w:tcPr>
            <w:tcW w:type="dxa" w:w="5040"/>
          </w:tcPr>
          <w:p>
            <w:r>
              <w:rPr>
                <w:sz w:val="17"/>
              </w:rPr>
              <w:t>Peak month orders</w:t>
            </w:r>
          </w:p>
        </w:tc>
        <w:tc>
          <w:tcPr>
            <w:tcW w:type="dxa" w:w="5040"/>
          </w:tcPr>
          <w:p>
            <w:r>
              <w:rPr>
                <w:sz w:val="17"/>
              </w:rPr>
              <w:t>7,289</w:t>
            </w:r>
          </w:p>
        </w:tc>
      </w:tr>
      <w:tr>
        <w:tc>
          <w:tcPr>
            <w:tcW w:type="dxa" w:w="5040"/>
          </w:tcPr>
          <w:p>
            <w:r>
              <w:rPr>
                <w:sz w:val="17"/>
              </w:rPr>
              <w:t>Low-rating late rate</w:t>
            </w:r>
          </w:p>
        </w:tc>
        <w:tc>
          <w:tcPr>
            <w:tcW w:type="dxa" w:w="5040"/>
          </w:tcPr>
          <w:p>
            <w:r>
              <w:rPr>
                <w:sz w:val="17"/>
              </w:rPr>
              <w:t>33.74%</w:t>
            </w:r>
          </w:p>
        </w:tc>
      </w:tr>
      <w:tr>
        <w:tc>
          <w:tcPr>
            <w:tcW w:type="dxa" w:w="5040"/>
          </w:tcPr>
          <w:p>
            <w:r>
              <w:rPr>
                <w:sz w:val="17"/>
              </w:rPr>
              <w:t>High-rating late rate</w:t>
            </w:r>
          </w:p>
        </w:tc>
        <w:tc>
          <w:tcPr>
            <w:tcW w:type="dxa" w:w="5040"/>
          </w:tcPr>
          <w:p>
            <w:r>
              <w:rPr>
                <w:sz w:val="17"/>
              </w:rPr>
              <w:t>3.51%</w:t>
            </w:r>
          </w:p>
        </w:tc>
      </w:tr>
      <w:tr>
        <w:tc>
          <w:tcPr>
            <w:tcW w:type="dxa" w:w="5040"/>
          </w:tcPr>
          <w:p>
            <w:r>
              <w:rPr>
                <w:sz w:val="17"/>
              </w:rPr>
              <w:t>Low/high late-rate ratio</w:t>
            </w:r>
          </w:p>
        </w:tc>
        <w:tc>
          <w:tcPr>
            <w:tcW w:type="dxa" w:w="5040"/>
          </w:tcPr>
          <w:p>
            <w:r>
              <w:rPr>
                <w:sz w:val="17"/>
              </w:rPr>
              <w:t>9.6×</w:t>
            </w:r>
          </w:p>
        </w:tc>
      </w:tr>
    </w:tbl>
    <w:p>
      <w:r>
        <w:br w:type="page"/>
      </w:r>
    </w:p>
    <w:p>
      <w:pPr>
        <w:pStyle w:val="Heading1"/>
      </w:pPr>
      <w:r>
        <w:t>13. Teammate Dashboard — Supporting Evidence</w:t>
      </w:r>
    </w:p>
    <w:p>
      <w:r>
        <w:t>The team’s Power BI-style dashboard was reviewed and incorporated as a supporting visual layer for the analytical report. It presents the same marketplace story through executive KPI cards, trend charts, geographic breakdowns, category performance, payment behavior and a driver-ranking view. The dashboard covers September 2016 to August 2018.</w:t>
      </w:r>
    </w:p>
    <w:p>
      <w:r>
        <w:t>On page 1 of the teammate dashboard, the executive summary reports approximately R$15.42M total revenue, 96.5K delivered orders, a 4.14 average review score, an 8.11% late-delivery rate and R$22.79 average freight cost. The revenue/order-volume chart shows strong growth through 2017, while the satisfaction chart shows that review scores move differently from revenue.</w:t>
      </w:r>
    </w:p>
    <w:p>
      <w:r>
        <w:drawing>
          <wp:inline xmlns:a="http://schemas.openxmlformats.org/drawingml/2006/main" xmlns:pic="http://schemas.openxmlformats.org/drawingml/2006/picture">
            <wp:extent cx="6217920" cy="3597906"/>
            <wp:docPr id="8" name="Picture 8"/>
            <wp:cNvGraphicFramePr>
              <a:graphicFrameLocks noChangeAspect="1"/>
            </wp:cNvGraphicFramePr>
            <a:graphic>
              <a:graphicData uri="http://schemas.openxmlformats.org/drawingml/2006/picture">
                <pic:pic>
                  <pic:nvPicPr>
                    <pic:cNvPr id="0" name="teammate_dashboard_page_1.png"/>
                    <pic:cNvPicPr/>
                  </pic:nvPicPr>
                  <pic:blipFill>
                    <a:blip r:embed="rId16"/>
                    <a:stretch>
                      <a:fillRect/>
                    </a:stretch>
                  </pic:blipFill>
                  <pic:spPr>
                    <a:xfrm>
                      <a:off x="0" y="0"/>
                      <a:ext cx="6217920" cy="3597906"/>
                    </a:xfrm>
                    <a:prstGeom prst="rect"/>
                  </pic:spPr>
                </pic:pic>
              </a:graphicData>
            </a:graphic>
          </wp:inline>
        </w:drawing>
      </w:r>
    </w:p>
    <w:p>
      <w:pPr>
        <w:jc w:val="center"/>
      </w:pPr>
      <w:r>
        <w:rPr>
          <w:i/>
          <w:sz w:val="18"/>
        </w:rPr>
        <w:t>Figure 13.1 — Teammate dashboard: executive marketplace performance view</w:t>
      </w:r>
    </w:p>
    <w:p>
      <w:r>
        <w:t>Page 2 focuses on delivery and geography. It reports an average review score of about 4.28 for on-time orders versus 2.55 for late orders. It also highlights regional differences in delivery penalty, with the largest penalty shown for RJ, and identifies state-level logistics bottlenecks using orders, days early, freight, review and late rate.</w:t>
      </w:r>
    </w:p>
    <w:p>
      <w:r>
        <w:drawing>
          <wp:inline xmlns:a="http://schemas.openxmlformats.org/drawingml/2006/main" xmlns:pic="http://schemas.openxmlformats.org/drawingml/2006/picture">
            <wp:extent cx="6217920" cy="3597906"/>
            <wp:docPr id="9" name="Picture 9"/>
            <wp:cNvGraphicFramePr>
              <a:graphicFrameLocks noChangeAspect="1"/>
            </wp:cNvGraphicFramePr>
            <a:graphic>
              <a:graphicData uri="http://schemas.openxmlformats.org/drawingml/2006/picture">
                <pic:pic>
                  <pic:nvPicPr>
                    <pic:cNvPr id="0" name="teammate_dashboard_page_2.png"/>
                    <pic:cNvPicPr/>
                  </pic:nvPicPr>
                  <pic:blipFill>
                    <a:blip r:embed="rId17"/>
                    <a:stretch>
                      <a:fillRect/>
                    </a:stretch>
                  </pic:blipFill>
                  <pic:spPr>
                    <a:xfrm>
                      <a:off x="0" y="0"/>
                      <a:ext cx="6217920" cy="3597906"/>
                    </a:xfrm>
                    <a:prstGeom prst="rect"/>
                  </pic:spPr>
                </pic:pic>
              </a:graphicData>
            </a:graphic>
          </wp:inline>
        </w:drawing>
      </w:r>
    </w:p>
    <w:p>
      <w:pPr>
        <w:jc w:val="center"/>
      </w:pPr>
      <w:r>
        <w:rPr>
          <w:i/>
          <w:sz w:val="18"/>
        </w:rPr>
        <w:t>Figure 13.2 — Teammate dashboard: delivery and geographic analysis</w:t>
      </w:r>
    </w:p>
    <w:p>
      <w:r>
        <w:t>Page 3 provides a category and payment view. The category matrix compares orders, average price, average freight, average review and late rate. It identifies books_general_interest as the highest-rated category at about 4.53, while office_furniture is the lowest at about 3.64 among the displayed categories. The payment charts show credit card as the dominant revenue source and show increasing order value with higher installment bands, while review scores decline.</w:t>
      </w:r>
    </w:p>
    <w:p>
      <w:r>
        <w:drawing>
          <wp:inline xmlns:a="http://schemas.openxmlformats.org/drawingml/2006/main" xmlns:pic="http://schemas.openxmlformats.org/drawingml/2006/picture">
            <wp:extent cx="6217920" cy="3597906"/>
            <wp:docPr id="10" name="Picture 10"/>
            <wp:cNvGraphicFramePr>
              <a:graphicFrameLocks noChangeAspect="1"/>
            </wp:cNvGraphicFramePr>
            <a:graphic>
              <a:graphicData uri="http://schemas.openxmlformats.org/drawingml/2006/picture">
                <pic:pic>
                  <pic:nvPicPr>
                    <pic:cNvPr id="0" name="teammate_dashboard_page_3.png"/>
                    <pic:cNvPicPr/>
                  </pic:nvPicPr>
                  <pic:blipFill>
                    <a:blip r:embed="rId18"/>
                    <a:stretch>
                      <a:fillRect/>
                    </a:stretch>
                  </pic:blipFill>
                  <pic:spPr>
                    <a:xfrm>
                      <a:off x="0" y="0"/>
                      <a:ext cx="6217920" cy="3597906"/>
                    </a:xfrm>
                    <a:prstGeom prst="rect"/>
                  </pic:spPr>
                </pic:pic>
              </a:graphicData>
            </a:graphic>
          </wp:inline>
        </w:drawing>
      </w:r>
    </w:p>
    <w:p>
      <w:pPr>
        <w:jc w:val="center"/>
      </w:pPr>
      <w:r>
        <w:rPr>
          <w:i/>
          <w:sz w:val="18"/>
        </w:rPr>
        <w:t>Figure 13.3 — Teammate dashboard: category and payment economics</w:t>
      </w:r>
    </w:p>
    <w:p>
      <w:r>
        <w:t>Page 4 presents a driver-ranking framework for low review scores. The dashboard ranks delivery timing as the primary driver, followed by product category, geography, installment count and payment type. The displayed review-score spreads are 1.74, 0.89, 0.42, 0.27 and 0.12 points respectively. This reinforces the main report conclusion that delivery reliability deserves the highest operational priority, while category and geography are useful secondary diagnostic lenses.</w:t>
      </w:r>
    </w:p>
    <w:p>
      <w:r>
        <w:drawing>
          <wp:inline xmlns:a="http://schemas.openxmlformats.org/drawingml/2006/main" xmlns:pic="http://schemas.openxmlformats.org/drawingml/2006/picture">
            <wp:extent cx="6217920" cy="3597906"/>
            <wp:docPr id="11" name="Picture 11"/>
            <wp:cNvGraphicFramePr>
              <a:graphicFrameLocks noChangeAspect="1"/>
            </wp:cNvGraphicFramePr>
            <a:graphic>
              <a:graphicData uri="http://schemas.openxmlformats.org/drawingml/2006/picture">
                <pic:pic>
                  <pic:nvPicPr>
                    <pic:cNvPr id="0" name="teammate_dashboard_page_4.png"/>
                    <pic:cNvPicPr/>
                  </pic:nvPicPr>
                  <pic:blipFill>
                    <a:blip r:embed="rId19"/>
                    <a:stretch>
                      <a:fillRect/>
                    </a:stretch>
                  </pic:blipFill>
                  <pic:spPr>
                    <a:xfrm>
                      <a:off x="0" y="0"/>
                      <a:ext cx="6217920" cy="3597906"/>
                    </a:xfrm>
                    <a:prstGeom prst="rect"/>
                  </pic:spPr>
                </pic:pic>
              </a:graphicData>
            </a:graphic>
          </wp:inline>
        </w:drawing>
      </w:r>
    </w:p>
    <w:p>
      <w:pPr>
        <w:jc w:val="center"/>
      </w:pPr>
      <w:r>
        <w:rPr>
          <w:i/>
          <w:sz w:val="18"/>
        </w:rPr>
        <w:t>Figure 13.4 — Teammate dashboard: ranking of low-review drivers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8"/>
              </w:rPr>
              <w:t>Dashboard driver</w:t>
            </w:r>
          </w:p>
        </w:tc>
        <w:tc>
          <w:tcPr>
            <w:tcW w:type="dxa" w:w="5040"/>
            <w:shd w:fill="1F4E78"/>
          </w:tcPr>
          <w:p>
            <w:r>
              <w:rPr>
                <w:b/>
                <w:color w:val="FFFFFF"/>
                <w:sz w:val="18"/>
              </w:rPr>
              <w:t>Teammate dashboard evidence</w:t>
            </w:r>
          </w:p>
        </w:tc>
      </w:tr>
      <w:tr>
        <w:tc>
          <w:tcPr>
            <w:tcW w:type="dxa" w:w="5040"/>
          </w:tcPr>
          <w:p>
            <w:r>
              <w:rPr>
                <w:sz w:val="18"/>
              </w:rPr>
              <w:t>Delivery timing</w:t>
            </w:r>
          </w:p>
        </w:tc>
        <w:tc>
          <w:tcPr>
            <w:tcW w:type="dxa" w:w="5040"/>
          </w:tcPr>
          <w:p>
            <w:r>
              <w:rPr>
                <w:sz w:val="18"/>
              </w:rPr>
              <w:t>Primary driver; dashboard shows a 1.74-point review spread and approximately −0.27 correlation with review score.</w:t>
            </w:r>
          </w:p>
        </w:tc>
      </w:tr>
      <w:tr>
        <w:tc>
          <w:tcPr>
            <w:tcW w:type="dxa" w:w="5040"/>
          </w:tcPr>
          <w:p>
            <w:r>
              <w:rPr>
                <w:sz w:val="18"/>
              </w:rPr>
              <w:t>Product category</w:t>
            </w:r>
          </w:p>
        </w:tc>
        <w:tc>
          <w:tcPr>
            <w:tcW w:type="dxa" w:w="5040"/>
          </w:tcPr>
          <w:p>
            <w:r>
              <w:rPr>
                <w:sz w:val="18"/>
              </w:rPr>
              <w:t>Secondary driver; dashboard shows a 0.89-point review-score spread and meaningful variation in freight and review performance.</w:t>
            </w:r>
          </w:p>
        </w:tc>
      </w:tr>
      <w:tr>
        <w:tc>
          <w:tcPr>
            <w:tcW w:type="dxa" w:w="5040"/>
          </w:tcPr>
          <w:p>
            <w:r>
              <w:rPr>
                <w:sz w:val="18"/>
              </w:rPr>
              <w:t>Geography</w:t>
            </w:r>
          </w:p>
        </w:tc>
        <w:tc>
          <w:tcPr>
            <w:tcW w:type="dxa" w:w="5040"/>
          </w:tcPr>
          <w:p>
            <w:r>
              <w:rPr>
                <w:sz w:val="18"/>
              </w:rPr>
              <w:t>Contributing driver; dashboard shows a 0.42-point spread and highlights regional logistics bottlenecks.</w:t>
            </w:r>
          </w:p>
        </w:tc>
      </w:tr>
      <w:tr>
        <w:tc>
          <w:tcPr>
            <w:tcW w:type="dxa" w:w="5040"/>
          </w:tcPr>
          <w:p>
            <w:r>
              <w:rPr>
                <w:sz w:val="18"/>
              </w:rPr>
              <w:t>Installment count</w:t>
            </w:r>
          </w:p>
        </w:tc>
        <w:tc>
          <w:tcPr>
            <w:tcW w:type="dxa" w:w="5040"/>
          </w:tcPr>
          <w:p>
            <w:r>
              <w:rPr>
                <w:sz w:val="18"/>
              </w:rPr>
              <w:t>Minor driver; dashboard shows a 0.27-point spread, with higher installment bands associated with lower reviews.</w:t>
            </w:r>
          </w:p>
        </w:tc>
      </w:tr>
      <w:tr>
        <w:tc>
          <w:tcPr>
            <w:tcW w:type="dxa" w:w="5040"/>
          </w:tcPr>
          <w:p>
            <w:r>
              <w:rPr>
                <w:sz w:val="18"/>
              </w:rPr>
              <w:t>Payment type</w:t>
            </w:r>
          </w:p>
        </w:tc>
        <w:tc>
          <w:tcPr>
            <w:tcW w:type="dxa" w:w="5040"/>
          </w:tcPr>
          <w:p>
            <w:r>
              <w:rPr>
                <w:sz w:val="18"/>
              </w:rPr>
              <w:t>Weak/negligible driver; dashboard shows only a 0.12-point difference across payment types.</w:t>
            </w:r>
          </w:p>
        </w:tc>
      </w:tr>
    </w:tbl>
    <w:p>
      <w:r>
        <w:t>Important interpretation: the teammate dashboard is treated as supporting evidence rather than as a replacement for the cleaned-data analysis. Its driver ranking is an observed association/segment comparison, not a causal model. Where the dashboard uses different aggregation or segmentation, its figures are presented as dashboard evidence and are not silently substituted for the main cleaned-data figures in this report.</w:t>
      </w:r>
    </w:p>
    <w:p>
      <w:pPr>
        <w:pStyle w:val="Heading1"/>
      </w:pPr>
      <w:r>
        <w:t>14. Integrated Business Interpretation</w:t>
      </w:r>
    </w:p>
    <w:p>
      <w:r>
        <w:t>Combining the cleaned-data analysis with the teammate dashboard creates a consistent decision story. The marketplace has substantial scale and revenue, but satisfaction is not perfectly synchronized with growth. Delivery timing is the most actionable operational lever. Geography and product category help identify where the delivery and experience problems are concentrated, while payment behavior is less important for satisfaction.</w:t>
      </w:r>
    </w:p>
    <w:p>
      <w:r>
        <w:t>For management, the practical implication is to move from a marketplace-wide average view to a segmented operating model: monitor late-delivery performance by region, seller and category; investigate high-risk combinations; and protect service quality during demand peaks.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