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80"/>
      </w:pPr>
      <w:r>
        <w:rPr>
          <w:rFonts w:ascii="Arial" w:cs="Arial" w:eastAsia="Arial" w:hAnsi="Arial"/>
          <w:b/>
          <w:bCs/>
          <w:color w:val="888888"/>
          <w:sz w:val="20"/>
          <w:szCs w:val="20"/>
        </w:rPr>
        <w:t xml:space="preserve">SYSTEM ARCHITECTURE DOCUMENT</w:t>
      </w:r>
    </w:p>
    <w:p>
      <w:pPr>
        <w:spacing w:after="80"/>
      </w:pPr>
      <w:r>
        <w:rPr>
          <w:rFonts w:ascii="Arial" w:cs="Arial" w:eastAsia="Arial" w:hAnsi="Arial"/>
          <w:b/>
          <w:bCs/>
          <w:color w:val="1F3B7A"/>
          <w:sz w:val="68"/>
          <w:szCs w:val="68"/>
        </w:rPr>
        <w:t xml:space="preserve">CyberRisk IQ</w:t>
      </w:r>
    </w:p>
    <w:p>
      <w:pPr>
        <w:spacing w:after="60"/>
      </w:pPr>
      <w:r>
        <w:rPr>
          <w:rFonts w:ascii="Arial" w:cs="Arial" w:eastAsia="Arial" w:hAnsi="Arial"/>
          <w:color w:val="0F6E56"/>
          <w:sz w:val="26"/>
          <w:szCs w:val="26"/>
        </w:rPr>
        <w:t xml:space="preserve">5 Spring Boot Services  ·  Apache Kafka  ·  PostgreSQL  ·  React</w:t>
      </w:r>
    </w:p>
    <w:p>
      <w:pPr>
        <w:spacing w:after="500"/>
      </w:pPr>
      <w:r>
        <w:rPr>
          <w:rFonts w:ascii="Arial" w:cs="Arial" w:eastAsia="Arial" w:hAnsi="Arial"/>
          <w:i/>
          <w:iCs/>
          <w:color w:val="888888"/>
          <w:sz w:val="22"/>
          <w:szCs w:val="22"/>
        </w:rPr>
        <w:t xml:space="preserve">Complete technical reference for architect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69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 + TypeScript + Recharts + REST consumption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Cloud Gateway 4 — JWT, routing, rate limiting, CORS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services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Boot 3 (Java 21) — 4 microservices + 1 Python sidecar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Event bus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Apache Kafka — 6 topics, event-driven inter-service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16 — schema-per-tenant, Spring Data JPA, Flyway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ML sidecar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 Flask — GNN (PyTorch Geometric), LSTM (TensorFlow), SHAP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 RBAC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OAuth2 + SAML2, Spring Security, Open Policy Agent (OPA)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Container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Docker + Kubernetes (K8s), Helm charts, GitHub Actions CI/CD</w:t>
            </w:r>
          </w:p>
        </w:tc>
      </w:tr>
    </w:tbl>
    <w:p>
      <w:pPr>
        <w:spacing w:after="4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1. System Architecture Diagram</w:t>
      </w:r>
    </w:p>
    <w:p>
      <w:pPr>
        <w:spacing w:after="80" w:before="60"/>
        <w:ind/>
        <w:jc w:val="left"/>
      </w:pPr>
      <w:r>
        <w:rPr>
          <w:rFonts w:ascii="Arial" w:cs="Arial" w:eastAsia="Arial" w:hAnsi="Arial"/>
          <w:b w:val="false"/>
          <w:bCs w:val="false"/>
          <w:i w:val="false"/>
          <w:iCs w:val="false"/>
          <w:color w:val="1A1A2E"/>
          <w:sz w:val="22"/>
          <w:szCs w:val="22"/>
        </w:rPr>
        <w:t xml:space="preserve">The diagram below shows all five layers of the CyberRisk IQ platform. Click any service box in the interactive version above. This static version is embedded for offline reading.</w:t>
      </w:r>
    </w:p>
    <w:p>
      <w:pPr>
        <w:spacing w:after="100"/>
      </w:pPr>
      <w:r>
        <w:t xml:space="preserve"/>
      </w:r>
    </w:p>
    <w:p>
      <w:pPr>
        <w:spacing w:after="120" w:before="60"/>
        <w:jc w:val="center"/>
      </w:pPr>
      <w:r>
        <w:drawing>
          <wp:inline distT="0" distB="0" distL="0" distR="0">
            <wp:extent cx="6000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810125"/>
                    </a:xfrm>
                    <a:prstGeom prst="rect">
                      <a:avLst/>
                    </a:prstGeom>
                  </pic:spPr>
                </pic:pic>
              </a:graphicData>
            </a:graphic>
          </wp:inline>
        </w:drawing>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7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Solid arrow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request flow (React → Gateway → Services) or Kafka event published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Bidirectional arrow ↕</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Services both publish AND consume on this Kafka topic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Dashed amber arrow -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call from crq-engine to ml-inference Python sidecar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Dashed gray arrow - →</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JPA direct database write from Spring Boot service to PostgreSQL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Teal boxes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Boot 3 (Java 21) microservices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Amber box</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 Flask ML sidecar (optional, called via 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Purple box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Cloud Gateway — single entry point for all traffic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Blue box</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18 TypeScript frontend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Coral box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Kafka event streaming bus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Gray box</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 16 — shared database, schema-per-tenant</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40"/>
              <w:left w:type="dxa" w:w="220"/>
              <w:bottom w:type="dxa" w:w="140"/>
              <w:right w:type="dxa" w:w="220"/>
            </w:tcMar>
          </w:tcPr>
          <w:p>
            <w:pPr>
              <w:spacing w:after="60"/>
            </w:pPr>
            <w:r>
              <w:rPr>
                <w:rFonts w:ascii="Arial" w:cs="Arial" w:eastAsia="Arial" w:hAnsi="Arial"/>
                <w:b/>
                <w:bCs/>
                <w:color w:val="0C447C"/>
                <w:sz w:val="18"/>
                <w:szCs w:val="18"/>
              </w:rPr>
              <w:t xml:space="preserve">ONE-PARAGRAPH SUMMARY</w:t>
            </w:r>
          </w:p>
          <w:p>
            <w:pPr>
              <w:spacing w:after="0"/>
            </w:pPr>
            <w:r>
              <w:rPr>
                <w:rFonts w:ascii="Arial" w:cs="Arial" w:eastAsia="Arial" w:hAnsi="Arial"/>
                <w:color w:val="0C447C"/>
                <w:sz w:val="22"/>
                <w:szCs w:val="22"/>
              </w:rPr>
              <w:t xml:space="preserve">CyberRisk IQ is a five-layer, event-driven microservices platform. React consumes a REST API exposed by Spring Cloud Gateway. The gateway routes requests to four backend services. Services publish and consume events via Apache Kafka — decoupling them completely. All Spring Boot services persist to a shared PostgreSQL database using schema-per-tenant isolation. An optional Python Flask sidecar handles AI/ML inference and is called by the CRQ engine via REST.</w:t>
            </w:r>
          </w:p>
        </w:tc>
      </w:tr>
    </w:tbl>
    <w:p>
      <w:pPr>
        <w:spacing w:after="100"/>
      </w:pPr>
      <w:r>
        <w:t xml:space="preserve"/>
      </w:r>
    </w:p>
    <w:p>
      <w:pPr>
        <w:pStyle w:val="Heading2"/>
        <w:spacing w:after="100" w:before="260"/>
      </w:pPr>
      <w:r>
        <w:rPr>
          <w:rFonts w:ascii="Arial" w:cs="Arial" w:eastAsia="Arial" w:hAnsi="Arial"/>
          <w:b/>
          <w:bCs/>
          <w:color w:val="0F6E56"/>
        </w:rPr>
        <w:t xml:space="preserve">2.1 Why event-driven — the key design decision</w:t>
      </w:r>
    </w:p>
    <w:p>
      <w:pPr>
        <w:spacing w:after="80" w:before="60"/>
        <w:ind/>
        <w:jc w:val="left"/>
      </w:pPr>
      <w:r>
        <w:rPr>
          <w:rFonts w:ascii="Arial" w:cs="Arial" w:eastAsia="Arial" w:hAnsi="Arial"/>
          <w:b w:val="false"/>
          <w:bCs w:val="false"/>
          <w:i w:val="false"/>
          <w:iCs w:val="false"/>
          <w:color w:val="1A1A2E"/>
          <w:sz w:val="22"/>
          <w:szCs w:val="22"/>
        </w:rPr>
        <w:t xml:space="preserve">All inter-service communication uses Apache Kafka, not direct REST calls between services. This is the most important architectural decision to defend to your CTO.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ECEC" w:val="clear"/>
            <w:tcMar>
              <w:top w:type="dxa" w:w="120"/>
              <w:left w:type="dxa" w:w="160"/>
              <w:bottom w:type="dxa" w:w="120"/>
              <w:right w:type="dxa" w:w="120"/>
            </w:tcMar>
          </w:tcPr>
          <w:p>
            <w:pPr>
              <w:spacing w:after="80"/>
            </w:pPr>
            <w:r>
              <w:rPr>
                <w:rFonts w:ascii="Arial" w:cs="Arial" w:eastAsia="Arial" w:hAnsi="Arial"/>
                <w:b/>
                <w:bCs/>
                <w:color w:val="A32D2D"/>
                <w:sz w:val="19"/>
                <w:szCs w:val="19"/>
              </w:rPr>
              <w:t xml:space="preserve">Without Kafka — direct REST</w:t>
            </w:r>
          </w:p>
          <w:p>
            <w:r>
              <w:rPr>
                <w:rFonts w:ascii="Arial" w:cs="Arial" w:eastAsia="Arial" w:hAnsi="Arial"/>
                <w:color w:val="1A1A2E"/>
                <w:sz w:val="20"/>
                <w:szCs w:val="20"/>
              </w:rPr>
              <w:t xml:space="preserve">If Asset service is slow or down, CRQ stalls. Services are tightly coupled. One failure cascades to everything. A new CVE cannot trigger automatic ALE recalculation without a synchronous call chain.</w:t>
            </w:r>
          </w:p>
        </w:tc>
        <w:tc>
          <w:tcPr>
            <w:tcW w:type="dxa" w:w="4680"/>
            <w:tcBorders>
              <w:top w:val="none" w:color="FFFFFF" w:sz="0"/>
              <w:left w:val="none" w:color="FFFFFF" w:sz="0"/>
              <w:bottom w:val="none" w:color="FFFFFF" w:sz="0"/>
              <w:right w:val="none" w:color="FFFFFF" w:sz="0"/>
            </w:tcBorders>
            <w:shd w:fill="E8F8F0" w:val="clear"/>
            <w:tcMar>
              <w:top w:type="dxa" w:w="120"/>
              <w:left w:type="dxa" w:w="160"/>
              <w:bottom w:type="dxa" w:w="120"/>
              <w:right w:type="dxa" w:w="120"/>
            </w:tcMar>
          </w:tcPr>
          <w:p>
            <w:pPr>
              <w:spacing w:after="80"/>
            </w:pPr>
            <w:r>
              <w:rPr>
                <w:rFonts w:ascii="Arial" w:cs="Arial" w:eastAsia="Arial" w:hAnsi="Arial"/>
                <w:b/>
                <w:bCs/>
                <w:color w:val="0F6E56"/>
                <w:sz w:val="19"/>
                <w:szCs w:val="19"/>
              </w:rPr>
              <w:t xml:space="preserve">With Kafka — event streaming</w:t>
            </w:r>
          </w:p>
          <w:p>
            <w:r>
              <w:rPr>
                <w:rFonts w:ascii="Arial" w:cs="Arial" w:eastAsia="Arial" w:hAnsi="Arial"/>
                <w:color w:val="1A1A2E"/>
                <w:sz w:val="20"/>
                <w:szCs w:val="20"/>
              </w:rPr>
              <w:t xml:space="preserve">Asset service publishes vulnerability.discovered. CRQ subscribes and recalculates ALE automatically. Services are fully decoupled. CRQ can be offline, come back up, and replay all missed events.</w:t>
            </w:r>
          </w:p>
        </w:tc>
      </w:tr>
    </w:tbl>
    <w:p>
      <w:pPr>
        <w:spacing w:after="200"/>
      </w:pPr>
      <w:r>
        <w:t xml:space="preserve"/>
      </w:r>
    </w:p>
    <w:p>
      <w:pPr>
        <w:pStyle w:val="Heading1"/>
        <w:pBdr>
          <w:bottom w:val="single" w:color="1F3B7A" w:sz="6" w:space="4"/>
        </w:pBdr>
        <w:spacing w:after="160" w:before="360"/>
      </w:pPr>
      <w:r>
        <w:rPr>
          <w:rFonts w:ascii="Arial" w:cs="Arial" w:eastAsia="Arial" w:hAnsi="Arial"/>
          <w:b/>
          <w:bCs/>
          <w:color w:val="1F3B7A"/>
        </w:rPr>
        <w:t xml:space="preserve">3. Apache Kafka — Event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360"/>
      </w:tblGrid>
      <w:tr>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Published by</w:t>
            </w:r>
          </w:p>
        </w:tc>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When triggered</w:t>
            </w:r>
          </w:p>
        </w:tc>
        <w:tc>
          <w:tcPr>
            <w:tcW w:type="dxa" w:w="2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Payload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asset.discovered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crq-engine, grc-workflow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asset found or changed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asset_id, hostname, business_value, regulatory_scope, tenant_id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vuln.discovered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asset-ingestion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crq-engine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CVE matched to a customer asset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cve_id, cvss_score, epss_score, is_kev, affected_asset_ids, mitre_ttps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ale.calculated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FAIR + Monte Carlo completes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asset_id, cve_id, ale_p10, ale_p50, ale_p90, vulnerability_ratio, roi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grc.risk.updated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grc-workflow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api-gateway (cache)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Risk register entry changed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risk_id, treatment, ale_p50, regulatory_flags, updated_at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regulatory.event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grc-workflow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grc-workflow (async)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DORA incident or NIS2 obligation triggered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event_type, tenant_id, classification, deadline, report_url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anomaly.detected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ml-inference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crq-engine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LSTM detects unusual telemetry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asset_id, reconstruction_error, severity, anomalous_features</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4. The Five Services —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C3489" w:val="clear"/>
            <w:tcMar>
              <w:top w:type="dxa" w:w="120"/>
              <w:left w:type="dxa" w:w="120"/>
              <w:bottom w:type="dxa" w:w="120"/>
              <w:right w:type="dxa" w:w="80"/>
            </w:tcMar>
          </w:tcPr>
          <w:p>
            <w:pPr>
              <w:jc w:val="center"/>
            </w:pPr>
            <w:r>
              <w:rPr>
                <w:rFonts w:ascii="Arial" w:cs="Arial" w:eastAsia="Arial" w:hAnsi="Arial"/>
                <w:b/>
                <w:bCs/>
                <w:color w:val="FFFFFF"/>
                <w:sz w:val="32"/>
                <w:szCs w:val="32"/>
              </w:rPr>
              <w:t xml:space="preserve">S1</w:t>
            </w:r>
          </w:p>
        </w:tc>
        <w:tc>
          <w:tcPr>
            <w:tcW w:type="dxa" w:w="8800"/>
            <w:tcBorders>
              <w:top w:val="none" w:color="FFFFFF" w:sz="0"/>
              <w:left w:val="single" w:color="3C3489" w:sz="8"/>
              <w:bottom w:val="none" w:color="FFFFFF" w:sz="0"/>
              <w:right w:val="none" w:color="FFFFFF" w:sz="0"/>
            </w:tcBorders>
            <w:shd w:fill="F5F5F5" w:val="clear"/>
            <w:tcMar>
              <w:top w:type="dxa" w:w="100"/>
              <w:left w:type="dxa" w:w="160"/>
              <w:bottom w:type="dxa" w:w="100"/>
              <w:right w:type="dxa" w:w="120"/>
            </w:tcMar>
          </w:tcPr>
          <w:p>
            <w:pPr>
              <w:spacing w:after="30"/>
            </w:pPr>
            <w:r>
              <w:rPr>
                <w:rFonts w:ascii="Arial" w:cs="Arial" w:eastAsia="Arial" w:hAnsi="Arial"/>
                <w:b/>
                <w:bCs/>
                <w:color w:val="1F3B7A"/>
                <w:sz w:val="24"/>
                <w:szCs w:val="24"/>
              </w:rPr>
              <w:t xml:space="preserve">api-gateway  —  Spring Cloud Gateway</w:t>
            </w:r>
          </w:p>
          <w:p>
            <w:r>
              <w:rPr>
                <w:rFonts w:ascii="Arial" w:cs="Arial" w:eastAsia="Arial" w:hAnsi="Arial"/>
                <w:color w:val="888888"/>
                <w:sz w:val="19"/>
                <w:szCs w:val="19"/>
              </w:rPr>
              <w:t xml:space="preserve">Layer 2 · Entry point · JWT · routing · rate limiting · CORS</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Single entry point for all external traffic. Validates every JWT before routing. Enforces per-tenant rate limits via Redis. Injects X-Tenant-ID header for downstream schema switching.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71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validation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Security OAuth2 Resource Server. Validates RS256 tokens. Extracts tenant_id and role claims, forwards as request headers.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Cloud Gateway routes in application.yml. /api/v1/risks/** → crq-engine-service, /api/v1/regulatory/** → grc-workflow-service.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RequestRateLimiter filter. Redis-backed sliding window. 100 req/min per tenant (standard), 500 (professional).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Multi-tenancy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Extracts tenant_id from JWT, adds X-Tenant-ID header. Backend services use this to execute SET search_path before DB queries.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85041" w:val="clear"/>
            <w:tcMar>
              <w:top w:type="dxa" w:w="120"/>
              <w:left w:type="dxa" w:w="120"/>
              <w:bottom w:type="dxa" w:w="120"/>
              <w:right w:type="dxa" w:w="80"/>
            </w:tcMar>
          </w:tcPr>
          <w:p>
            <w:pPr>
              <w:jc w:val="center"/>
            </w:pPr>
            <w:r>
              <w:rPr>
                <w:rFonts w:ascii="Arial" w:cs="Arial" w:eastAsia="Arial" w:hAnsi="Arial"/>
                <w:b/>
                <w:bCs/>
                <w:color w:val="FFFFFF"/>
                <w:sz w:val="32"/>
                <w:szCs w:val="32"/>
              </w:rPr>
              <w:t xml:space="preserve">S2</w:t>
            </w:r>
          </w:p>
        </w:tc>
        <w:tc>
          <w:tcPr>
            <w:tcW w:type="dxa" w:w="8800"/>
            <w:tcBorders>
              <w:top w:val="none" w:color="FFFFFF" w:sz="0"/>
              <w:left w:val="single" w:color="085041" w:sz="8"/>
              <w:bottom w:val="none" w:color="FFFFFF" w:sz="0"/>
              <w:right w:val="none" w:color="FFFFFF" w:sz="0"/>
            </w:tcBorders>
            <w:shd w:fill="F5F5F5" w:val="clear"/>
            <w:tcMar>
              <w:top w:type="dxa" w:w="100"/>
              <w:left w:type="dxa" w:w="160"/>
              <w:bottom w:type="dxa" w:w="100"/>
              <w:right w:type="dxa" w:w="120"/>
            </w:tcMar>
          </w:tcPr>
          <w:p>
            <w:pPr>
              <w:spacing w:after="30"/>
            </w:pPr>
            <w:r>
              <w:rPr>
                <w:rFonts w:ascii="Arial" w:cs="Arial" w:eastAsia="Arial" w:hAnsi="Arial"/>
                <w:b/>
                <w:bCs/>
                <w:color w:val="1F3B7A"/>
                <w:sz w:val="24"/>
                <w:szCs w:val="24"/>
              </w:rPr>
              <w:t xml:space="preserve">asset-ingestion-service  —  Spring Boot</w:t>
            </w:r>
          </w:p>
          <w:p>
            <w:r>
              <w:rPr>
                <w:rFonts w:ascii="Arial" w:cs="Arial" w:eastAsia="Arial" w:hAnsi="Arial"/>
                <w:color w:val="888888"/>
                <w:sz w:val="19"/>
                <w:szCs w:val="19"/>
              </w:rPr>
              <w:t xml:space="preserve">Layer 3 · CVE ingestion · Asset discovery · Shadow AI · NHI · Connector framework</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Data foundation of the platform. Connects to external security scanners via pluggable connector interface, normalises data to internal schema, and publishes Kafka events that trigger all downstream processing.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71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 discovery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@Scheduled polling every 15 min. QualysConnector, TenableConnector implement SecurityConnector interface. Each runs as an independent Spring Bean, conditionally enabled via @ConditionalOnProperty.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CVE ingestion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NVD CVE feed every 6h. CISA KEV daily. EPSS (FIRST.org) daily. CVEs mapped to assets via CPE string matching. Publishes vuln.discovered to Kafka.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Shadow AI detection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DNS query log analysis. Known AI provider domain list. Outbound HTTP proxy log scan. Results stored as shadow_ai_tools 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NHI discovery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Okta and Azure AD API scan every 24h. Credential risk scoring on 4 dimensions: days_since_last_use, privilege_level, mfa_enabled, graph-based blast radius.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BaseConnector.java — all connectors implement this</w:t>
            </w:r>
          </w:p>
          <w:p>
            <w:pPr>
              <w:spacing w:after="0" w:before="0"/>
            </w:pPr>
            <w:r>
              <w:rPr>
                <w:rFonts w:ascii="Courier New" w:cs="Courier New" w:eastAsia="Courier New" w:hAnsi="Courier New"/>
                <w:color w:val="24292F"/>
                <w:sz w:val="18"/>
                <w:szCs w:val="18"/>
              </w:rPr>
              <w:t xml:space="preserve">public interface SecurityConnector {</w:t>
            </w:r>
          </w:p>
          <w:p>
            <w:pPr>
              <w:spacing w:after="0" w:before="0"/>
            </w:pPr>
            <w:r>
              <w:rPr>
                <w:rFonts w:ascii="Courier New" w:cs="Courier New" w:eastAsia="Courier New" w:hAnsi="Courier New"/>
                <w:color w:val="24292F"/>
                <w:sz w:val="18"/>
                <w:szCs w:val="18"/>
              </w:rPr>
              <w:t xml:space="preserve">    List&lt;RawAsset&gt; fetchAssets();</w:t>
            </w:r>
          </w:p>
          <w:p>
            <w:pPr>
              <w:spacing w:after="0" w:before="0"/>
            </w:pPr>
            <w:r>
              <w:rPr>
                <w:rFonts w:ascii="Courier New" w:cs="Courier New" w:eastAsia="Courier New" w:hAnsi="Courier New"/>
                <w:color w:val="24292F"/>
                <w:sz w:val="18"/>
                <w:szCs w:val="18"/>
              </w:rPr>
              <w:t xml:space="preserve">    List&lt;RawVulnerability&gt; fetchVulnerabilities();</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After normalisation, publish to Kafka:</w:t>
            </w:r>
          </w:p>
          <w:p>
            <w:pPr>
              <w:spacing w:after="0" w:before="0"/>
            </w:pPr>
            <w:r>
              <w:rPr>
                <w:rFonts w:ascii="Courier New" w:cs="Courier New" w:eastAsia="Courier New" w:hAnsi="Courier New"/>
                <w:color w:val="24292F"/>
                <w:sz w:val="18"/>
                <w:szCs w:val="18"/>
              </w:rPr>
              <w:t xml:space="preserve">kafkaTemplate.send(vuln.discovered,</w:t>
            </w:r>
          </w:p>
          <w:p>
            <w:pPr>
              <w:spacing w:after="0" w:before="0"/>
            </w:pPr>
            <w:r>
              <w:rPr>
                <w:rFonts w:ascii="Courier New" w:cs="Courier New" w:eastAsia="Courier New" w:hAnsi="Courier New"/>
                <w:color w:val="24292F"/>
                <w:sz w:val="18"/>
                <w:szCs w:val="18"/>
              </w:rPr>
              <w:t xml:space="preserve">    tenantId.toString(), VulnerabilityEvent.from(saved));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85041" w:val="clear"/>
            <w:tcMar>
              <w:top w:type="dxa" w:w="120"/>
              <w:left w:type="dxa" w:w="120"/>
              <w:bottom w:type="dxa" w:w="120"/>
              <w:right w:type="dxa" w:w="80"/>
            </w:tcMar>
          </w:tcPr>
          <w:p>
            <w:pPr>
              <w:jc w:val="center"/>
            </w:pPr>
            <w:r>
              <w:rPr>
                <w:rFonts w:ascii="Arial" w:cs="Arial" w:eastAsia="Arial" w:hAnsi="Arial"/>
                <w:b/>
                <w:bCs/>
                <w:color w:val="FFFFFF"/>
                <w:sz w:val="32"/>
                <w:szCs w:val="32"/>
              </w:rPr>
              <w:t xml:space="preserve">S3</w:t>
            </w:r>
          </w:p>
        </w:tc>
        <w:tc>
          <w:tcPr>
            <w:tcW w:type="dxa" w:w="8800"/>
            <w:tcBorders>
              <w:top w:val="none" w:color="FFFFFF" w:sz="0"/>
              <w:left w:val="single" w:color="085041" w:sz="8"/>
              <w:bottom w:val="none" w:color="FFFFFF" w:sz="0"/>
              <w:right w:val="none" w:color="FFFFFF" w:sz="0"/>
            </w:tcBorders>
            <w:shd w:fill="F5F5F5" w:val="clear"/>
            <w:tcMar>
              <w:top w:type="dxa" w:w="100"/>
              <w:left w:type="dxa" w:w="160"/>
              <w:bottom w:type="dxa" w:w="100"/>
              <w:right w:type="dxa" w:w="120"/>
            </w:tcMar>
          </w:tcPr>
          <w:p>
            <w:pPr>
              <w:spacing w:after="30"/>
            </w:pPr>
            <w:r>
              <w:rPr>
                <w:rFonts w:ascii="Arial" w:cs="Arial" w:eastAsia="Arial" w:hAnsi="Arial"/>
                <w:b/>
                <w:bCs/>
                <w:color w:val="1F3B7A"/>
                <w:sz w:val="24"/>
                <w:szCs w:val="24"/>
              </w:rPr>
              <w:t xml:space="preserve">crq-engine-service  —  Spring Boot</w:t>
            </w:r>
          </w:p>
          <w:p>
            <w:r>
              <w:rPr>
                <w:rFonts w:ascii="Arial" w:cs="Arial" w:eastAsia="Arial" w:hAnsi="Arial"/>
                <w:color w:val="888888"/>
                <w:sz w:val="19"/>
                <w:szCs w:val="19"/>
              </w:rPr>
              <w:t xml:space="preserve">Layer 3 · FAIR model · Monte Carlo · ALE calculation · Remediation ROI</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The intellectual core of the product. Listens for Kafka events, runs the FAIR model, executes 10,000-iteration Monte Carlo simulation using Apache Commons Math, and publishes ALE results.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FAIR component</w:t>
            </w:r>
          </w:p>
        </w:tc>
        <w:tc>
          <w:tcPr>
            <w:tcW w:type="dxa" w:w="2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Java class</w:t>
            </w:r>
          </w:p>
        </w:tc>
        <w:tc>
          <w:tcPr>
            <w:tcW w:type="dxa" w:w="4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Key 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Threat Event Frequency (TEF)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TefCalculatorService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 baseline × exposure multiplier (2.5x internet-facing) × EPSS boost × KEV boost (3x). Returns BetaPertDistribution.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Vulnerability (V = TC/CS)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VulnerabilityCalculatorService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Threat Capability 0-100 from exploit availability + EPSS. Control Strength 0-100 from 7 control types. Ratio capped at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Loss Magnitude (LM)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LossMagnitudeService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IR + regulatory fines (DORA/NIS2 schedule) + downtime revenue loss. Secondary: churn + legal liability + reputation. Returns BetaPertDistribution.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Monte Carlo ALE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MonteCarloService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10,000 iterations. Each: sample TEF × V = LEF, sample LM, ALE = LEF × LM. Output: P10, P50, P90 using Apache Commons Math Percentile.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 ROI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Re-run Monte Carlo with patch_applied=true (CS += 40). ROI = (current P50 − projected P50) / remediation_cost. Sort descending.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MonteCarloService.java — core ALE calculation (Apache Commons Math)</w:t>
            </w:r>
          </w:p>
          <w:p>
            <w:pPr>
              <w:spacing w:after="0" w:before="0"/>
            </w:pPr>
            <w:r>
              <w:rPr>
                <w:rFonts w:ascii="Courier New" w:cs="Courier New" w:eastAsia="Courier New" w:hAnsi="Courier New"/>
                <w:color w:val="24292F"/>
                <w:sz w:val="18"/>
                <w:szCs w:val="18"/>
              </w:rPr>
              <w:t xml:space="preserve">public AleResult simulate(BetaPertDistribution tef, double vuln,</w:t>
            </w:r>
          </w:p>
          <w:p>
            <w:pPr>
              <w:spacing w:after="0" w:before="0"/>
            </w:pPr>
            <w:r>
              <w:rPr>
                <w:rFonts w:ascii="Courier New" w:cs="Courier New" w:eastAsia="Courier New" w:hAnsi="Courier New"/>
                <w:color w:val="24292F"/>
                <w:sz w:val="18"/>
                <w:szCs w:val="18"/>
              </w:rPr>
              <w:t xml:space="preserve">                          BetaPertDistribution lm) {</w:t>
            </w:r>
          </w:p>
          <w:p>
            <w:pPr>
              <w:spacing w:after="0" w:before="0"/>
            </w:pPr>
            <w:r>
              <w:rPr>
                <w:rFonts w:ascii="Courier New" w:cs="Courier New" w:eastAsia="Courier New" w:hAnsi="Courier New"/>
                <w:color w:val="24292F"/>
                <w:sz w:val="18"/>
                <w:szCs w:val="18"/>
              </w:rPr>
              <w:t xml:space="preserve">    double[] results = new double[10_000];</w:t>
            </w:r>
          </w:p>
          <w:p>
            <w:pPr>
              <w:spacing w:after="0" w:before="0"/>
            </w:pPr>
            <w:r>
              <w:rPr>
                <w:rFonts w:ascii="Courier New" w:cs="Courier New" w:eastAsia="Courier New" w:hAnsi="Courier New"/>
                <w:color w:val="24292F"/>
                <w:sz w:val="18"/>
                <w:szCs w:val="18"/>
              </w:rPr>
              <w:t xml:space="preserve">    Random rng = new Random();</w:t>
            </w:r>
          </w:p>
          <w:p>
            <w:pPr>
              <w:spacing w:after="0" w:before="0"/>
            </w:pPr>
            <w:r>
              <w:rPr>
                <w:rFonts w:ascii="Courier New" w:cs="Courier New" w:eastAsia="Courier New" w:hAnsi="Courier New"/>
                <w:color w:val="24292F"/>
                <w:sz w:val="18"/>
                <w:szCs w:val="18"/>
              </w:rPr>
              <w:t xml:space="preserve">    for (int i = 0; i &lt; 10_000; i++)</w:t>
            </w:r>
          </w:p>
          <w:p>
            <w:pPr>
              <w:spacing w:after="0" w:before="0"/>
            </w:pPr>
            <w:r>
              <w:rPr>
                <w:rFonts w:ascii="Courier New" w:cs="Courier New" w:eastAsia="Courier New" w:hAnsi="Courier New"/>
                <w:color w:val="24292F"/>
                <w:sz w:val="18"/>
                <w:szCs w:val="18"/>
              </w:rPr>
              <w:t xml:space="preserve">        results[i] = (tef.sample(rng) * vuln) * lm.sample(rng);</w:t>
            </w:r>
          </w:p>
          <w:p>
            <w:pPr>
              <w:spacing w:after="0" w:before="0"/>
            </w:pPr>
            <w:r>
              <w:rPr>
                <w:rFonts w:ascii="Courier New" w:cs="Courier New" w:eastAsia="Courier New" w:hAnsi="Courier New"/>
                <w:color w:val="24292F"/>
                <w:sz w:val="18"/>
                <w:szCs w:val="18"/>
              </w:rPr>
              <w:t xml:space="preserve">    Percentile p = new Percentile();</w:t>
            </w:r>
          </w:p>
          <w:p>
            <w:pPr>
              <w:spacing w:after="0" w:before="0"/>
            </w:pPr>
            <w:r>
              <w:rPr>
                <w:rFonts w:ascii="Courier New" w:cs="Courier New" w:eastAsia="Courier New" w:hAnsi="Courier New"/>
                <w:color w:val="24292F"/>
                <w:sz w:val="18"/>
                <w:szCs w:val="18"/>
              </w:rPr>
              <w:t xml:space="preserve">    p.setData(results);</w:t>
            </w:r>
          </w:p>
          <w:p>
            <w:pPr>
              <w:spacing w:after="0" w:before="0"/>
            </w:pPr>
            <w:r>
              <w:rPr>
                <w:rFonts w:ascii="Courier New" w:cs="Courier New" w:eastAsia="Courier New" w:hAnsi="Courier New"/>
                <w:color w:val="24292F"/>
                <w:sz w:val="18"/>
                <w:szCs w:val="18"/>
              </w:rPr>
              <w:t xml:space="preserve">    return AleResult.builder()</w:t>
            </w:r>
          </w:p>
          <w:p>
            <w:pPr>
              <w:spacing w:after="0" w:before="0"/>
            </w:pPr>
            <w:r>
              <w:rPr>
                <w:rFonts w:ascii="Courier New" w:cs="Courier New" w:eastAsia="Courier New" w:hAnsi="Courier New"/>
                <w:color w:val="24292F"/>
                <w:sz w:val="18"/>
                <w:szCs w:val="18"/>
              </w:rPr>
              <w:t xml:space="preserve">        .aleP10((long) p.evaluate(10))   // EUR best case</w:t>
            </w:r>
          </w:p>
          <w:p>
            <w:pPr>
              <w:spacing w:after="0" w:before="0"/>
            </w:pPr>
            <w:r>
              <w:rPr>
                <w:rFonts w:ascii="Courier New" w:cs="Courier New" w:eastAsia="Courier New" w:hAnsi="Courier New"/>
                <w:color w:val="24292F"/>
                <w:sz w:val="18"/>
                <w:szCs w:val="18"/>
              </w:rPr>
              <w:t xml:space="preserve">        .aleP50((long) p.evaluate(50))   // EUR most likely</w:t>
            </w:r>
          </w:p>
          <w:p>
            <w:pPr>
              <w:spacing w:after="0" w:before="0"/>
            </w:pPr>
            <w:r>
              <w:rPr>
                <w:rFonts w:ascii="Courier New" w:cs="Courier New" w:eastAsia="Courier New" w:hAnsi="Courier New"/>
                <w:color w:val="24292F"/>
                <w:sz w:val="18"/>
                <w:szCs w:val="18"/>
              </w:rPr>
              <w:t xml:space="preserve">        .aleP90((long) p.evaluate(90))   // EUR worst case</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633806" w:val="clear"/>
            <w:tcMar>
              <w:top w:type="dxa" w:w="120"/>
              <w:left w:type="dxa" w:w="120"/>
              <w:bottom w:type="dxa" w:w="120"/>
              <w:right w:type="dxa" w:w="80"/>
            </w:tcMar>
          </w:tcPr>
          <w:p>
            <w:pPr>
              <w:jc w:val="center"/>
            </w:pPr>
            <w:r>
              <w:rPr>
                <w:rFonts w:ascii="Arial" w:cs="Arial" w:eastAsia="Arial" w:hAnsi="Arial"/>
                <w:b/>
                <w:bCs/>
                <w:color w:val="FFFFFF"/>
                <w:sz w:val="32"/>
                <w:szCs w:val="32"/>
              </w:rPr>
              <w:t xml:space="preserve">S4</w:t>
            </w:r>
          </w:p>
        </w:tc>
        <w:tc>
          <w:tcPr>
            <w:tcW w:type="dxa" w:w="8800"/>
            <w:tcBorders>
              <w:top w:val="none" w:color="FFFFFF" w:sz="0"/>
              <w:left w:val="single" w:color="633806" w:sz="8"/>
              <w:bottom w:val="none" w:color="FFFFFF" w:sz="0"/>
              <w:right w:val="none" w:color="FFFFFF" w:sz="0"/>
            </w:tcBorders>
            <w:shd w:fill="F5F5F5" w:val="clear"/>
            <w:tcMar>
              <w:top w:type="dxa" w:w="100"/>
              <w:left w:type="dxa" w:w="160"/>
              <w:bottom w:type="dxa" w:w="100"/>
              <w:right w:type="dxa" w:w="120"/>
            </w:tcMar>
          </w:tcPr>
          <w:p>
            <w:pPr>
              <w:spacing w:after="30"/>
            </w:pPr>
            <w:r>
              <w:rPr>
                <w:rFonts w:ascii="Arial" w:cs="Arial" w:eastAsia="Arial" w:hAnsi="Arial"/>
                <w:b/>
                <w:bCs/>
                <w:color w:val="1F3B7A"/>
                <w:sz w:val="24"/>
                <w:szCs w:val="24"/>
              </w:rPr>
              <w:t xml:space="preserve">ml-inference-service  —  Python Flask</w:t>
            </w:r>
          </w:p>
          <w:p>
            <w:r>
              <w:rPr>
                <w:rFonts w:ascii="Arial" w:cs="Arial" w:eastAsia="Arial" w:hAnsi="Arial"/>
                <w:color w:val="888888"/>
                <w:sz w:val="19"/>
                <w:szCs w:val="19"/>
              </w:rPr>
              <w:t xml:space="preserve">Layer 3 · Optional sidecar · Called by crq-engine via REST · GNN · LSTM · SHAP</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Python Flask microservice deployed alongside Spring Boot services. crq-engine calls it via REST using MlInferenceClient.java backed by Resilience4j circuit breaker. This is the standard Java + Python sidecar pattern used by Netflix, Uber, and Spotify.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360"/>
        <w:gridCol w:w="220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REST endpoint</w:t>
            </w:r>
          </w:p>
        </w:tc>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Library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GraphSAGE GNN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Models risk propagation through the asset graph — blast radius of a compromise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/api/v1/risk-propagation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PyTorch Geometric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LSTM Autoencoder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Detects behavioural anomalies in asset telemetry without labelled attack data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 /api/v1/anomaly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TensorFlow/Keras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Isolation Forest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Identifies unusual risk scenarios outside standard FAIR patterns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/api/v1/outlier-scenarios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scikit-learn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Explains which features drove each ALE score — stored as JSONB for EU AI Act compliance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 /api/v1/explain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SHAP library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85041" w:val="clear"/>
            <w:tcMar>
              <w:top w:type="dxa" w:w="120"/>
              <w:left w:type="dxa" w:w="120"/>
              <w:bottom w:type="dxa" w:w="120"/>
              <w:right w:type="dxa" w:w="80"/>
            </w:tcMar>
          </w:tcPr>
          <w:p>
            <w:pPr>
              <w:jc w:val="center"/>
            </w:pPr>
            <w:r>
              <w:rPr>
                <w:rFonts w:ascii="Arial" w:cs="Arial" w:eastAsia="Arial" w:hAnsi="Arial"/>
                <w:b/>
                <w:bCs/>
                <w:color w:val="FFFFFF"/>
                <w:sz w:val="32"/>
                <w:szCs w:val="32"/>
              </w:rPr>
              <w:t xml:space="preserve">S5</w:t>
            </w:r>
          </w:p>
        </w:tc>
        <w:tc>
          <w:tcPr>
            <w:tcW w:type="dxa" w:w="8800"/>
            <w:tcBorders>
              <w:top w:val="none" w:color="FFFFFF" w:sz="0"/>
              <w:left w:val="single" w:color="085041" w:sz="8"/>
              <w:bottom w:val="none" w:color="FFFFFF" w:sz="0"/>
              <w:right w:val="none" w:color="FFFFFF" w:sz="0"/>
            </w:tcBorders>
            <w:shd w:fill="F5F5F5" w:val="clear"/>
            <w:tcMar>
              <w:top w:type="dxa" w:w="100"/>
              <w:left w:type="dxa" w:w="160"/>
              <w:bottom w:type="dxa" w:w="100"/>
              <w:right w:type="dxa" w:w="120"/>
            </w:tcMar>
          </w:tcPr>
          <w:p>
            <w:pPr>
              <w:spacing w:after="30"/>
            </w:pPr>
            <w:r>
              <w:rPr>
                <w:rFonts w:ascii="Arial" w:cs="Arial" w:eastAsia="Arial" w:hAnsi="Arial"/>
                <w:b/>
                <w:bCs/>
                <w:color w:val="1F3B7A"/>
                <w:sz w:val="24"/>
                <w:szCs w:val="24"/>
              </w:rPr>
              <w:t xml:space="preserve">grc-workflow-service  —  Spring Boot</w:t>
            </w:r>
          </w:p>
          <w:p>
            <w:r>
              <w:rPr>
                <w:rFonts w:ascii="Arial" w:cs="Arial" w:eastAsia="Arial" w:hAnsi="Arial"/>
                <w:color w:val="888888"/>
                <w:sz w:val="19"/>
                <w:szCs w:val="19"/>
              </w:rPr>
              <w:t xml:space="preserve">Layer 3 · DORA · NIS2 · EU AI Act · GRC register sync · RBAC · Board reporting</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The first-mover capability of the platform. Consumes ale.calculated Kafka events and routes financial risk data into GRC registers, DORA ICT risk tables, NIS2 obligation trackers, board reports, and regulatory export formats. No current competitor does this automatically.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71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 register sync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Consumes ale.calculated events. Creates/updates grc_risk_entries with ALE values, regulatory flags, SHAP explanation. Syncs to ServiceNow or MetricStream via REST connector every 15 minutes.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DORA compliance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DoraIncidentClassificationService evaluates 6 RTS criteria for Major vs Non-Major. Major triggers 72-hour workflow: Compliance Officer notification, EBA template generation, deadline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NIS2 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 classification (Essential/Important). 10-domain obligation tracker. Incident notification with per-country authority endpoints and 24/72-hour deadlines.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EU AI 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Shadow AI discovery classified against risk tiers. Conformity assessment workflow for High-Risk systems. SHAP-explainable outputs satisfy Article 13 transparency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RBAC enforcement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Security @PreAuthorize on all endpoints. 8 roles: PLATFORM_ADMIN, CISO, SOC_ANALYST, COMPLIANCE_OFFICER, RISK_MANAGER, CFO, BOARD_MEMBER, IT_ENGINEER.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Board reporting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Auto-generated CISO briefing pack, CFO insurance gap analysis, board top-10 summary in EUR. PDF via iText 7. Zero manual assembly required.</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5. PostgreSQL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40"/>
              <w:left w:type="dxa" w:w="220"/>
              <w:bottom w:type="dxa" w:w="140"/>
              <w:right w:type="dxa" w:w="220"/>
            </w:tcMar>
          </w:tcPr>
          <w:p>
            <w:pPr>
              <w:spacing w:after="60"/>
            </w:pPr>
            <w:r>
              <w:rPr>
                <w:rFonts w:ascii="Arial" w:cs="Arial" w:eastAsia="Arial" w:hAnsi="Arial"/>
                <w:b/>
                <w:bCs/>
                <w:color w:val="085041"/>
                <w:sz w:val="18"/>
                <w:szCs w:val="18"/>
              </w:rPr>
              <w:t xml:space="preserve">MULTI-TENANCY: SCHEMA-PER-TENANT</w:t>
            </w:r>
          </w:p>
          <w:p>
            <w:pPr>
              <w:spacing w:after="0"/>
            </w:pPr>
            <w:r>
              <w:rPr>
                <w:rFonts w:ascii="Arial" w:cs="Arial" w:eastAsia="Arial" w:hAnsi="Arial"/>
                <w:color w:val="085041"/>
                <w:sz w:val="22"/>
                <w:szCs w:val="22"/>
              </w:rPr>
              <w:t xml:space="preserve">Every tenant gets a dedicated PostgreSQL schema (tenant_abc123). TenantInterceptor extracts tenant_id from JWT and runs SET search_path TO tenant_{id} before every query. Complete SQL-level isolation — a query in one tenant schema physically cannot access another.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Key design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row per customer organisation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Lives in shared public schema. annual_revenue and daily_revenue stored as BIGINT cents to avoid float drift.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assets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discovered IT assets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business_value DECIMAL(4,1) drives Loss Magnitude. regulatory_scope TEXT[] avoids join table. ale_p10/p50/p90 BIGINT (EUR cents) updated by CRQ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asset_connections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Asset-to-asset relationships for blast radius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Self-referencing join table. Queried via PostgreSQL recursive CTE — replaces Neo4j graph database entirely.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vulnerabilities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CVEs matched to customer assets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epss_score DECIMAL(5,4) for precision. is_kev BOOLEAN flags CISA Known Exploited. mitre_ttps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asset_controls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controls per asset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Boolean columns: mfa_enabled, edr_deployed, waf_enabled, siem_monitoring, privileged_access_mgmt, patch_applied. Drives Vulnerability ratio calculation.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risk_scenarios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 values per asset+CVE — core output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ale_p10/p50/p90 BIGINT. roi DECIMAL(8,2). shap_explanation JSONB (GIN indexed). treatment VARCHAR(20). Indexed on (tenant_id, ale_p50 DESC).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grc_risk_entries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 register entries linked to risk scenarios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grc_platform_ref stores ServiceNow/MetricStream record ID for bi-directional sync.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ale_history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Time-series ALE for trend 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Append-only table. Indexed on (asset_id, recorded_at DESC). Separated from hot risk_scenarios to avoid table bloat.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dora_ict_risks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DORA ICT risk register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financial_impact BIGINT mapped from ale_p50. dora_articles TEXT[]. Formatted for EBA XBRL export.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dora_incidents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DORA incident log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classification MAJOR/NON_MAJOR. report_deadline TIMESTAMPTZ. criteria_met JSONB records which RTS criteria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nis2_obligations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NIS2 10-domain obligation tracker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entity_class ESSENTIAL/IMPORTANT. domain VARCHAR(50). status NOT_STARTED/IN_PROGRESS/COMPLIANT/NON_COMPLIANT.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shadow_ai_tools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Shadow AI tools discovered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eu_ai_act_risk_tier VARCHAR. financial_exposure_eur BIGINT from FAIR scoring. users_detected INTEGER.</w:t>
            </w:r>
          </w:p>
        </w:tc>
      </w:tr>
    </w:tbl>
    <w:p>
      <w:pPr>
        <w:spacing w:after="200"/>
      </w:pPr>
      <w:r>
        <w:t xml:space="preserve"/>
      </w:r>
    </w:p>
    <w:p>
      <w:pPr>
        <w:pStyle w:val="Heading1"/>
        <w:pBdr>
          <w:bottom w:val="single" w:color="1F3B7A" w:sz="6" w:space="4"/>
        </w:pBdr>
        <w:spacing w:after="160" w:before="360"/>
      </w:pPr>
      <w:r>
        <w:rPr>
          <w:rFonts w:ascii="Arial" w:cs="Arial" w:eastAsia="Arial" w:hAnsi="Arial"/>
          <w:b/>
          <w:bCs/>
          <w:color w:val="1F3B7A"/>
        </w:rPr>
        <w:t xml:space="preserve">6. Technology Stack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 + TypeScript + Vite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Role-based dashboards, ALE Recharts visualisations, JWT auth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Cloud Gateway 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JWT validation, routing, rate limiting, CORS, tenant header injection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(x3)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Boot 3 (Java 21)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asset-ingestion, crq-engine, grc-workflow — stateless, horizontally scalable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ML sidecar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 Flask + PyTorch + TensorFlow + SHAP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GNN, LSTM autoencoder, Isolation Forest, SHAP explainability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bus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Kafka 3.x + Spring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topics, 3 partitions each, 7-day retention, manual offset commit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 16 + Spring Data JPA + Flyway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Schema-per-tenant, 12 tables, JPA repositories, migration versioning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Gateway rate limiting, session tokens, Celery async task broker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Access control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Security + OPA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@PreAuthorize RBAC + externally auditable OPA policies in Git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HashiCorp Vault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keys, DB credentials, certificates — no secrets in env vars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Containers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Docker + Kubernetes + Helm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Service deployment, HPA autoscaling on Kafka consumer lag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 + Terraform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tests, Docker builds, K8s rolling deploys, IaC cloud-agnostic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Prometheus + Grafana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 calc latency, Kafka consumer lag, service error rates, DB pool metrics</w:t>
            </w:r>
          </w:p>
        </w:tc>
      </w:tr>
    </w:tbl>
    <w:p>
      <w:pPr>
        <w:spacing w:after="100"/>
      </w:pPr>
      <w:r>
        <w:t xml:space="preserve"/>
      </w:r>
    </w:p>
    <w:p>
      <w:pPr>
        <w:pStyle w:val="Heading2"/>
        <w:spacing w:after="100" w:before="260"/>
      </w:pPr>
      <w:r>
        <w:rPr>
          <w:rFonts w:ascii="Arial" w:cs="Arial" w:eastAsia="Arial" w:hAnsi="Arial"/>
          <w:b/>
          <w:bCs/>
          <w:color w:val="0F6E56"/>
        </w:rPr>
        <w:t xml:space="preserve">6.1 Service startup order — critical for local dev and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Why this order matters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Flyway runs DB migrations on Spring Boot startup. All services fail if DB is not ready.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 gateway rate limiter connects to Redis on startup. Gateway health check fails without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Kafka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@KafkaListener attempts broker connection on startup. Start Kafka before any service that consumes topics.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ml-inference-service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crq-engine calls this via REST. Resilience4j handles unavailability gracefully but start early to avoid circuit trips.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5th (parallel)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asset-ingestion + crq-engine + grc-workflow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cross-service startup dependency. All three can start simultaneously once Kafka is ready.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api-gateway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Start last so all backend services are healthy before accepting traffic from React.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app — loads after gateway is accepting requests.</w:t>
            </w:r>
          </w:p>
        </w:tc>
      </w:tr>
    </w:tbl>
    <w:p>
      <w:pPr>
        <w:spacing w:after="200"/>
      </w:pPr>
      <w:r>
        <w:t xml:space="preserve"/>
      </w:r>
    </w:p>
    <w:p>
      <w:pPr>
        <w:jc w:val="center"/>
      </w:pPr>
      <w:r>
        <w:rPr>
          <w:rFonts w:ascii="Arial" w:cs="Arial" w:eastAsia="Arial" w:hAnsi="Arial"/>
          <w:i/>
          <w:iCs/>
          <w:color w:val="888888"/>
          <w:sz w:val="18"/>
          <w:szCs w:val="18"/>
        </w:rPr>
        <w:t xml:space="preserve">System Architecture Document  ·  v1.0  ·  11 May 2026  ·  Confidential — architect assessment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Architect Assessment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CyberRisk IQ  |  System Architecture Document  |  React · Spring Boot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b3bd679ee556a4b951d29c29ac4c98a5ef98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2026-05-11T07:28:49.872Z</dcterms:created>
  <dcterms:modified xsi:type="dcterms:W3CDTF">2026-05-11T07:28:49.873Z</dcterms:modified>
</cp:coreProperties>
</file>

<file path=docProps/custom.xml><?xml version="1.0" encoding="utf-8"?>
<Properties xmlns="http://schemas.openxmlformats.org/officeDocument/2006/custom-properties" xmlns:vt="http://schemas.openxmlformats.org/officeDocument/2006/docPropsVTypes"/>
</file>