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val="false"/>
          <w:bCs w:val="false"/>
          <w:i w:val="false"/>
          <w:iCs w:val="false"/>
          <w:color w:val="1C2833"/>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F2F3F4" w:val="clear"/>
            <w:tcMar>
              <w:top w:type="dxa" w:w="160"/>
              <w:left w:type="dxa" w:w="280"/>
              <w:bottom w:type="dxa" w:w="160"/>
              <w:right w:type="dxa" w:w="280"/>
            </w:tcMar>
          </w:tcPr>
          <w:p>
            <w:pPr>
              <w:spacing w:after="30" w:before="0"/>
              <w:jc w:val="left"/>
            </w:pPr>
            <w:r>
              <w:rPr>
                <w:rFonts w:ascii="Arial" w:cs="Arial" w:eastAsia="Arial" w:hAnsi="Arial"/>
                <w:b/>
                <w:bCs/>
                <w:i w:val="false"/>
                <w:iCs w:val="false"/>
                <w:color w:val="0D7377"/>
                <w:sz w:val="16"/>
                <w:szCs w:val="16"/>
              </w:rPr>
              <w:t xml:space="preserve">PROJECT PROPOSAL</w:t>
            </w:r>
          </w:p>
          <w:p>
            <w:pPr>
              <w:spacing w:after="40" w:before="0"/>
              <w:jc w:val="left"/>
            </w:pPr>
            <w:r>
              <w:rPr>
                <w:rFonts w:ascii="Arial" w:cs="Arial" w:eastAsia="Arial" w:hAnsi="Arial"/>
                <w:b/>
                <w:bCs/>
                <w:i w:val="false"/>
                <w:iCs w:val="false"/>
                <w:color w:val="1C2833"/>
                <w:sz w:val="44"/>
                <w:szCs w:val="44"/>
              </w:rPr>
              <w:t xml:space="preserve">DairySense AI</w:t>
            </w:r>
          </w:p>
          <w:p>
            <w:pPr>
              <w:spacing w:after="60" w:before="0"/>
              <w:jc w:val="left"/>
            </w:pPr>
            <w:r>
              <w:rPr>
                <w:rFonts w:ascii="Arial" w:cs="Arial" w:eastAsia="Arial" w:hAnsi="Arial"/>
                <w:b w:val="false"/>
                <w:bCs w:val="false"/>
                <w:i w:val="false"/>
                <w:iCs w:val="false"/>
                <w:color w:val="4A5568"/>
                <w:sz w:val="19"/>
                <w:szCs w:val="19"/>
              </w:rPr>
              <w:t xml:space="preserve">An AI-powered precision livestock management platform leveraging Random Forest machine learning for real-time milk yield prediction and early-stage disease detection in dairy cattle.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00"/>
            </w:tblGrid>
            <w:tr>
              <w:tc>
                <w:tcPr>
                  <w:tcW w:type="dxa" w:w="2200"/>
                  <w:tcBorders>
                    <w:top w:val="single" w:color="0D7377" w:sz="1"/>
                    <w:left w:val="single" w:color="0D7377" w:sz="1"/>
                    <w:bottom w:val="single" w:color="0D7377" w:sz="1"/>
                    <w:right w:val="single" w:color="0D7377" w:sz="1"/>
                  </w:tcBorders>
                  <w:shd w:fill="E8F6F3" w:val="clear"/>
                  <w:tcMar>
                    <w:top w:type="dxa" w:w="40"/>
                    <w:left w:type="dxa" w:w="80"/>
                    <w:bottom w:type="dxa" w:w="40"/>
                    <w:right w:type="dxa" w:w="80"/>
                  </w:tcMar>
                </w:tcPr>
                <w:p>
                  <w:pPr>
                    <w:spacing w:after="0" w:before="0"/>
                    <w:jc w:val="center"/>
                  </w:pPr>
                  <w:r>
                    <w:rPr>
                      <w:rFonts w:ascii="Arial" w:cs="Arial" w:eastAsia="Arial" w:hAnsi="Arial"/>
                      <w:b/>
                      <w:bCs/>
                      <w:i w:val="false"/>
                      <w:iCs w:val="false"/>
                      <w:color w:val="0D7377"/>
                      <w:sz w:val="16"/>
                      <w:szCs w:val="16"/>
                    </w:rPr>
                    <w:t xml:space="preserve">Machine Learning</w:t>
                  </w:r>
                </w:p>
              </w:tc>
              <w:tc>
                <w:tcPr>
                  <w:tcW w:type="dxa" w:w="2200"/>
                  <w:tcBorders>
                    <w:top w:val="single" w:color="F39C12" w:sz="1"/>
                    <w:left w:val="single" w:color="F39C12" w:sz="1"/>
                    <w:bottom w:val="single" w:color="F39C12" w:sz="1"/>
                    <w:right w:val="single" w:color="F39C12" w:sz="1"/>
                  </w:tcBorders>
                  <w:shd w:fill="FEF9E7" w:val="clear"/>
                  <w:tcMar>
                    <w:top w:type="dxa" w:w="40"/>
                    <w:left w:type="dxa" w:w="80"/>
                    <w:bottom w:type="dxa" w:w="40"/>
                    <w:right w:type="dxa" w:w="80"/>
                  </w:tcMar>
                </w:tcPr>
                <w:p>
                  <w:pPr>
                    <w:spacing w:after="0" w:before="0"/>
                    <w:jc w:val="center"/>
                  </w:pPr>
                  <w:r>
                    <w:rPr>
                      <w:rFonts w:ascii="Arial" w:cs="Arial" w:eastAsia="Arial" w:hAnsi="Arial"/>
                      <w:b/>
                      <w:bCs/>
                      <w:i w:val="false"/>
                      <w:iCs w:val="false"/>
                      <w:color w:val="F39C12"/>
                      <w:sz w:val="16"/>
                      <w:szCs w:val="16"/>
                    </w:rPr>
                    <w:t xml:space="preserve">Veterinary AI</w:t>
                  </w:r>
                </w:p>
              </w:tc>
              <w:tc>
                <w:tcPr>
                  <w:tcW w:type="dxa" w:w="2200"/>
                  <w:tcBorders>
                    <w:top w:val="single" w:color="1ABC9C" w:sz="1"/>
                    <w:left w:val="single" w:color="1ABC9C" w:sz="1"/>
                    <w:bottom w:val="single" w:color="1ABC9C" w:sz="1"/>
                    <w:right w:val="single" w:color="1ABC9C" w:sz="1"/>
                  </w:tcBorders>
                  <w:shd w:fill="EAFAF1" w:val="clear"/>
                  <w:tcMar>
                    <w:top w:type="dxa" w:w="40"/>
                    <w:left w:type="dxa" w:w="80"/>
                    <w:bottom w:type="dxa" w:w="40"/>
                    <w:right w:type="dxa" w:w="80"/>
                  </w:tcMar>
                </w:tcPr>
                <w:p>
                  <w:pPr>
                    <w:spacing w:after="0" w:before="0"/>
                    <w:jc w:val="center"/>
                  </w:pPr>
                  <w:r>
                    <w:rPr>
                      <w:rFonts w:ascii="Arial" w:cs="Arial" w:eastAsia="Arial" w:hAnsi="Arial"/>
                      <w:b/>
                      <w:bCs/>
                      <w:i w:val="false"/>
                      <w:iCs w:val="false"/>
                      <w:color w:val="1ABC9C"/>
                      <w:sz w:val="16"/>
                      <w:szCs w:val="16"/>
                    </w:rPr>
                    <w:t xml:space="preserve">Bio Integration</w:t>
                  </w:r>
                </w:p>
              </w:tc>
              <w:tc>
                <w:tcPr>
                  <w:tcW w:type="dxa" w:w="2200"/>
                  <w:tcBorders>
                    <w:top w:val="single" w:color="4A5568" w:sz="1"/>
                    <w:left w:val="single" w:color="4A5568" w:sz="1"/>
                    <w:bottom w:val="single" w:color="4A5568" w:sz="1"/>
                    <w:right w:val="single" w:color="4A5568" w:sz="1"/>
                  </w:tcBorders>
                  <w:shd w:fill="F2F3F4" w:val="clear"/>
                  <w:tcMar>
                    <w:top w:type="dxa" w:w="40"/>
                    <w:left w:type="dxa" w:w="80"/>
                    <w:bottom w:type="dxa" w:w="40"/>
                    <w:right w:type="dxa" w:w="80"/>
                  </w:tcMar>
                </w:tcPr>
                <w:p>
                  <w:pPr>
                    <w:spacing w:after="0" w:before="0"/>
                    <w:jc w:val="center"/>
                  </w:pPr>
                  <w:r>
                    <w:rPr>
                      <w:rFonts w:ascii="Arial" w:cs="Arial" w:eastAsia="Arial" w:hAnsi="Arial"/>
                      <w:b/>
                      <w:bCs/>
                      <w:i w:val="false"/>
                      <w:iCs w:val="false"/>
                      <w:color w:val="4A5568"/>
                      <w:sz w:val="16"/>
                      <w:szCs w:val="16"/>
                    </w:rPr>
                    <w:t xml:space="preserve">Predictive Analytics</w:t>
                  </w:r>
                </w:p>
              </w:tc>
            </w:tr>
          </w:tbl>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01  Introduction</w:t>
      </w:r>
    </w:p>
    <w:p>
      <w:pPr>
        <w:spacing w:after="60" w:before="40"/>
        <w:jc w:val="left"/>
      </w:pPr>
      <w:r>
        <w:rPr>
          <w:rFonts w:ascii="Arial" w:cs="Arial" w:eastAsia="Arial" w:hAnsi="Arial"/>
          <w:b w:val="false"/>
          <w:bCs w:val="false"/>
          <w:i w:val="false"/>
          <w:iCs w:val="false"/>
          <w:color w:val="1C2833"/>
          <w:sz w:val="20"/>
          <w:szCs w:val="20"/>
        </w:rPr>
        <w:t xml:space="preserve">Global dairy farming is a $500B+ industry yet operates largely on instinct and lagging indicators. Farmers face three compounding challenges: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BDC3C7" w:sz="1"/>
              <w:left w:val="single" w:color="BDC3C7" w:sz="1"/>
              <w:bottom w:val="single" w:color="BDC3C7" w:sz="1"/>
              <w:right w:val="single" w:color="BDC3C7" w:sz="1"/>
            </w:tcBorders>
            <w:shd w:fill="E8F6F3"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0D7377"/>
                <w:sz w:val="19"/>
                <w:szCs w:val="19"/>
              </w:rPr>
              <w:t xml:space="preserve">📉  Unpredictable Yield</w:t>
            </w:r>
          </w:p>
          <w:p>
            <w:pPr>
              <w:spacing w:after="0" w:before="0"/>
              <w:jc w:val="left"/>
            </w:pPr>
            <w:r>
              <w:rPr>
                <w:rFonts w:ascii="Arial" w:cs="Arial" w:eastAsia="Arial" w:hAnsi="Arial"/>
                <w:b w:val="false"/>
                <w:bCs w:val="false"/>
                <w:i w:val="false"/>
                <w:iCs w:val="false"/>
                <w:color w:val="4A5568"/>
                <w:sz w:val="17"/>
                <w:szCs w:val="17"/>
              </w:rPr>
              <w:t xml:space="preserve">Milk output fluctuates due to breed, feed, season, and lactation stage — with no predictive model to anticipate drops.</w:t>
            </w:r>
          </w:p>
        </w:tc>
        <w:tc>
          <w:tcPr>
            <w:tcW w:type="dxa" w:w="3280"/>
            <w:tcBorders>
              <w:top w:val="single" w:color="BDC3C7" w:sz="1"/>
              <w:left w:val="single" w:color="BDC3C7" w:sz="1"/>
              <w:bottom w:val="single" w:color="BDC3C7" w:sz="1"/>
              <w:right w:val="single" w:color="BDC3C7" w:sz="1"/>
            </w:tcBorders>
            <w:shd w:fill="E8F6F3"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0D7377"/>
                <w:sz w:val="19"/>
                <w:szCs w:val="19"/>
              </w:rPr>
              <w:t xml:space="preserve">🦠  Late Disease Detection</w:t>
            </w:r>
          </w:p>
          <w:p>
            <w:pPr>
              <w:spacing w:after="0" w:before="0"/>
              <w:jc w:val="left"/>
            </w:pPr>
            <w:r>
              <w:rPr>
                <w:rFonts w:ascii="Arial" w:cs="Arial" w:eastAsia="Arial" w:hAnsi="Arial"/>
                <w:b w:val="false"/>
                <w:bCs w:val="false"/>
                <w:i w:val="false"/>
                <w:iCs w:val="false"/>
                <w:color w:val="4A5568"/>
                <w:sz w:val="17"/>
                <w:szCs w:val="17"/>
              </w:rPr>
              <w:t xml:space="preserve">Mastitis, ketosis, and metabolic disorders are diagnosed only after clinical signs appear, increasing mortality risk and treatment cost.</w:t>
            </w:r>
          </w:p>
        </w:tc>
        <w:tc>
          <w:tcPr>
            <w:tcW w:type="dxa" w:w="3280"/>
            <w:tcBorders>
              <w:top w:val="single" w:color="BDC3C7" w:sz="1"/>
              <w:left w:val="single" w:color="BDC3C7" w:sz="1"/>
              <w:bottom w:val="single" w:color="BDC3C7" w:sz="1"/>
              <w:right w:val="single" w:color="BDC3C7" w:sz="1"/>
            </w:tcBorders>
            <w:shd w:fill="E8F6F3" w:val="clear"/>
            <w:tcMar>
              <w:top w:type="dxa" w:w="120"/>
              <w:left w:type="dxa" w:w="160"/>
              <w:bottom w:type="dxa" w:w="120"/>
              <w:right w:type="dxa" w:w="160"/>
            </w:tcMar>
          </w:tcPr>
          <w:p>
            <w:pPr>
              <w:spacing w:after="50" w:before="0"/>
              <w:jc w:val="left"/>
            </w:pPr>
            <w:r>
              <w:rPr>
                <w:rFonts w:ascii="Arial" w:cs="Arial" w:eastAsia="Arial" w:hAnsi="Arial"/>
                <w:b/>
                <w:bCs/>
                <w:i w:val="false"/>
                <w:iCs w:val="false"/>
                <w:color w:val="0D7377"/>
                <w:sz w:val="19"/>
                <w:szCs w:val="19"/>
              </w:rPr>
              <w:t xml:space="preserve">📋  Data Without Intelligence</w:t>
            </w:r>
          </w:p>
          <w:p>
            <w:pPr>
              <w:spacing w:after="0" w:before="0"/>
              <w:jc w:val="left"/>
            </w:pPr>
            <w:r>
              <w:rPr>
                <w:rFonts w:ascii="Arial" w:cs="Arial" w:eastAsia="Arial" w:hAnsi="Arial"/>
                <w:b w:val="false"/>
                <w:bCs w:val="false"/>
                <w:i w:val="false"/>
                <w:iCs w:val="false"/>
                <w:color w:val="4A5568"/>
                <w:sz w:val="17"/>
                <w:szCs w:val="17"/>
              </w:rPr>
              <w:t xml:space="preserve">Existing farm management software records observations but offers no actionable forecasts or automated risk alerts.</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02  Problem Statement</w:t>
      </w:r>
    </w:p>
    <w:p>
      <w:pPr>
        <w:spacing w:after="50" w:before="40"/>
        <w:jc w:val="left"/>
      </w:pPr>
      <w:r>
        <w:rPr>
          <w:rFonts w:ascii="Arial" w:cs="Arial" w:eastAsia="Arial" w:hAnsi="Arial"/>
          <w:b w:val="false"/>
          <w:bCs w:val="false"/>
          <w:i w:val="false"/>
          <w:iCs w:val="false"/>
          <w:color w:val="1C2833"/>
          <w:sz w:val="20"/>
          <w:szCs w:val="20"/>
        </w:rPr>
        <w:t xml:space="preserve">Conventional dairy farm systems are reactive, not intelligent. The core gaps that DairySense AI addresses:</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Existing platforms store records but cannot predict future yield or health trajectories.</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No early-warning system exists to alert farmers before a cow becomes clinically sick.</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Veterinary decisions are manual, inconsistent, and inaccessible to smallholder farmers.</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Feed and nutrition adjustments are made reactively, causing preventable productivity losses.</w:t>
      </w:r>
    </w:p>
    <w:p>
      <w:pPr>
        <w:spacing w:after="40" w:before="0"/>
      </w:pPr>
      <w:r>
        <w:rPr>
          <w:rFonts w:ascii="Arial" w:cs="Arial" w:eastAsia="Arial" w:hAnsi="Arial"/>
          <w:b w:val="false"/>
          <w:bCs w:val="false"/>
          <w:i w:val="false"/>
          <w:iCs w:val="false"/>
          <w:color w:val="1C28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8F6F3" w:val="clear"/>
            <w:tcMar>
              <w:top w:type="dxa" w:w="120"/>
              <w:left w:type="dxa" w:w="200"/>
              <w:bottom w:type="dxa" w:w="120"/>
              <w:right w:type="dxa" w:w="200"/>
            </w:tcMar>
          </w:tcPr>
          <w:p>
            <w:pPr>
              <w:spacing w:after="30" w:before="0"/>
              <w:jc w:val="left"/>
            </w:pPr>
            <w:r>
              <w:rPr>
                <w:rFonts w:ascii="Arial" w:cs="Arial" w:eastAsia="Arial" w:hAnsi="Arial"/>
                <w:b/>
                <w:bCs/>
                <w:i w:val="false"/>
                <w:iCs w:val="false"/>
                <w:color w:val="0D7377"/>
                <w:sz w:val="18"/>
                <w:szCs w:val="18"/>
              </w:rPr>
              <w:t xml:space="preserve">Industry Insight</w:t>
            </w:r>
          </w:p>
          <w:p>
            <w:pPr>
              <w:spacing w:after="0" w:before="0"/>
              <w:jc w:val="left"/>
            </w:pPr>
            <w:r>
              <w:rPr>
                <w:rFonts w:ascii="Arial" w:cs="Arial" w:eastAsia="Arial" w:hAnsi="Arial"/>
                <w:b w:val="false"/>
                <w:bCs w:val="false"/>
                <w:i w:val="false"/>
                <w:iCs w:val="false"/>
                <w:color w:val="1C2833"/>
                <w:sz w:val="20"/>
                <w:szCs w:val="20"/>
              </w:rPr>
              <w:t xml:space="preserve">Studies indicate that early-stage mastitis detection alone can reduce treatment costs by up to 60% and prevent yield loss of 10–25% per lactation cycle. Predictive AI makes this scale possible.</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03  Proposed Solution</w:t>
      </w:r>
    </w:p>
    <w:p>
      <w:pPr>
        <w:spacing w:after="60" w:before="40"/>
        <w:jc w:val="left"/>
      </w:pPr>
      <w:r>
        <w:rPr>
          <w:rFonts w:ascii="Arial" w:cs="Arial" w:eastAsia="Arial" w:hAnsi="Arial"/>
          <w:b w:val="false"/>
          <w:bCs w:val="false"/>
          <w:i w:val="false"/>
          <w:iCs w:val="false"/>
          <w:color w:val="1C2833"/>
          <w:sz w:val="20"/>
          <w:szCs w:val="20"/>
        </w:rPr>
        <w:t xml:space="preserve">DairySense AI is a decision-support platform that ingests biometric, environmental, and nutritional parameters to deliver real-time predictions and veterinary-grade recommendations.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680"/>
        <w:gridCol w:w="680"/>
        <w:gridCol w:w="4480"/>
      </w:tblGrid>
      <w:tr>
        <w:tc>
          <w:tcPr>
            <w:tcW w:type="dxa" w:w="4680"/>
            <w:tcBorders>
              <w:top w:val="single" w:color="0D7377" w:sz="1"/>
              <w:left w:val="single" w:color="0D7377" w:sz="1"/>
              <w:bottom w:val="single" w:color="0D7377" w:sz="1"/>
              <w:right w:val="single" w:color="0D7377" w:sz="1"/>
            </w:tcBorders>
            <w:shd w:fill="E8F6F3" w:val="clear"/>
            <w:tcMar>
              <w:top w:type="dxa" w:w="140"/>
              <w:left w:type="dxa" w:w="200"/>
              <w:bottom w:type="dxa" w:w="140"/>
              <w:right w:type="dxa" w:w="200"/>
            </w:tcMar>
          </w:tcPr>
          <w:p>
            <w:pPr>
              <w:spacing w:after="80" w:before="0"/>
              <w:jc w:val="left"/>
            </w:pPr>
            <w:r>
              <w:rPr>
                <w:rFonts w:ascii="Arial" w:cs="Arial" w:eastAsia="Arial" w:hAnsi="Arial"/>
                <w:b/>
                <w:bCs/>
                <w:i w:val="false"/>
                <w:iCs w:val="false"/>
                <w:color w:val="0D7377"/>
                <w:sz w:val="19"/>
                <w:szCs w:val="19"/>
              </w:rPr>
              <w:t xml:space="preserve">INPUT PARAMETERS</w:t>
            </w:r>
          </w:p>
          <w:p>
            <w:pPr>
              <w:spacing w:after="30" w:before="30"/>
              <w:jc w:val="left"/>
            </w:pPr>
            <w:r>
              <w:rPr>
                <w:rFonts w:ascii="Arial" w:cs="Arial" w:eastAsia="Arial" w:hAnsi="Arial"/>
                <w:b/>
                <w:bCs/>
                <w:i w:val="false"/>
                <w:iCs w:val="false"/>
                <w:color w:val="1C2833"/>
                <w:sz w:val="18"/>
                <w:szCs w:val="18"/>
              </w:rPr>
              <w:t xml:space="preserve">Breed: </w:t>
            </w:r>
            <w:r>
              <w:rPr>
                <w:rFonts w:ascii="Arial" w:cs="Arial" w:eastAsia="Arial" w:hAnsi="Arial"/>
                <w:b w:val="false"/>
                <w:bCs w:val="false"/>
                <w:i w:val="false"/>
                <w:iCs w:val="false"/>
                <w:color w:val="4A5568"/>
                <w:sz w:val="18"/>
                <w:szCs w:val="18"/>
              </w:rPr>
              <w:t xml:space="preserve">Holstein, Jersey, Sahiwal, etc.</w:t>
            </w:r>
          </w:p>
          <w:p>
            <w:pPr>
              <w:spacing w:after="30" w:before="30"/>
              <w:jc w:val="left"/>
            </w:pPr>
            <w:r>
              <w:rPr>
                <w:rFonts w:ascii="Arial" w:cs="Arial" w:eastAsia="Arial" w:hAnsi="Arial"/>
                <w:b/>
                <w:bCs/>
                <w:i w:val="false"/>
                <w:iCs w:val="false"/>
                <w:color w:val="1C2833"/>
                <w:sz w:val="18"/>
                <w:szCs w:val="18"/>
              </w:rPr>
              <w:t xml:space="preserve">Lactation Stage: </w:t>
            </w:r>
            <w:r>
              <w:rPr>
                <w:rFonts w:ascii="Arial" w:cs="Arial" w:eastAsia="Arial" w:hAnsi="Arial"/>
                <w:b w:val="false"/>
                <w:bCs w:val="false"/>
                <w:i w:val="false"/>
                <w:iCs w:val="false"/>
                <w:color w:val="4A5568"/>
                <w:sz w:val="18"/>
                <w:szCs w:val="18"/>
              </w:rPr>
              <w:t xml:space="preserve">Days-in-milk (DIM) &amp; parity</w:t>
            </w:r>
          </w:p>
          <w:p>
            <w:pPr>
              <w:spacing w:after="30" w:before="30"/>
              <w:jc w:val="left"/>
            </w:pPr>
            <w:r>
              <w:rPr>
                <w:rFonts w:ascii="Arial" w:cs="Arial" w:eastAsia="Arial" w:hAnsi="Arial"/>
                <w:b/>
                <w:bCs/>
                <w:i w:val="false"/>
                <w:iCs w:val="false"/>
                <w:color w:val="1C2833"/>
                <w:sz w:val="18"/>
                <w:szCs w:val="18"/>
              </w:rPr>
              <w:t xml:space="preserve">Feed Quality: </w:t>
            </w:r>
            <w:r>
              <w:rPr>
                <w:rFonts w:ascii="Arial" w:cs="Arial" w:eastAsia="Arial" w:hAnsi="Arial"/>
                <w:b w:val="false"/>
                <w:bCs w:val="false"/>
                <w:i w:val="false"/>
                <w:iCs w:val="false"/>
                <w:color w:val="4A5568"/>
                <w:sz w:val="18"/>
                <w:szCs w:val="18"/>
              </w:rPr>
              <w:t xml:space="preserve">Dry matter, protein, energy density</w:t>
            </w:r>
          </w:p>
          <w:p>
            <w:pPr>
              <w:spacing w:after="30" w:before="30"/>
              <w:jc w:val="left"/>
            </w:pPr>
            <w:r>
              <w:rPr>
                <w:rFonts w:ascii="Arial" w:cs="Arial" w:eastAsia="Arial" w:hAnsi="Arial"/>
                <w:b/>
                <w:bCs/>
                <w:i w:val="false"/>
                <w:iCs w:val="false"/>
                <w:color w:val="1C2833"/>
                <w:sz w:val="18"/>
                <w:szCs w:val="18"/>
              </w:rPr>
              <w:t xml:space="preserve">Water Intake: </w:t>
            </w:r>
            <w:r>
              <w:rPr>
                <w:rFonts w:ascii="Arial" w:cs="Arial" w:eastAsia="Arial" w:hAnsi="Arial"/>
                <w:b w:val="false"/>
                <w:bCs w:val="false"/>
                <w:i w:val="false"/>
                <w:iCs w:val="false"/>
                <w:color w:val="4A5568"/>
                <w:sz w:val="18"/>
                <w:szCs w:val="18"/>
              </w:rPr>
              <w:t xml:space="preserve">Daily liters consumed</w:t>
            </w:r>
          </w:p>
          <w:p>
            <w:pPr>
              <w:spacing w:after="30" w:before="30"/>
              <w:jc w:val="left"/>
            </w:pPr>
            <w:r>
              <w:rPr>
                <w:rFonts w:ascii="Arial" w:cs="Arial" w:eastAsia="Arial" w:hAnsi="Arial"/>
                <w:b/>
                <w:bCs/>
                <w:i w:val="false"/>
                <w:iCs w:val="false"/>
                <w:color w:val="1C2833"/>
                <w:sz w:val="18"/>
                <w:szCs w:val="18"/>
              </w:rPr>
              <w:t xml:space="preserve">Ambient Temperature: </w:t>
            </w:r>
            <w:r>
              <w:rPr>
                <w:rFonts w:ascii="Arial" w:cs="Arial" w:eastAsia="Arial" w:hAnsi="Arial"/>
                <w:b w:val="false"/>
                <w:bCs w:val="false"/>
                <w:i w:val="false"/>
                <w:iCs w:val="false"/>
                <w:color w:val="4A5568"/>
                <w:sz w:val="18"/>
                <w:szCs w:val="18"/>
              </w:rPr>
              <w:t xml:space="preserve">Heat stress threshold monitoring</w:t>
            </w:r>
          </w:p>
          <w:p>
            <w:pPr>
              <w:spacing w:after="30" w:before="30"/>
              <w:jc w:val="left"/>
            </w:pPr>
            <w:r>
              <w:rPr>
                <w:rFonts w:ascii="Arial" w:cs="Arial" w:eastAsia="Arial" w:hAnsi="Arial"/>
                <w:b/>
                <w:bCs/>
                <w:i w:val="false"/>
                <w:iCs w:val="false"/>
                <w:color w:val="1C2833"/>
                <w:sz w:val="18"/>
                <w:szCs w:val="18"/>
              </w:rPr>
              <w:t xml:space="preserve">Clinical Symptoms: </w:t>
            </w:r>
            <w:r>
              <w:rPr>
                <w:rFonts w:ascii="Arial" w:cs="Arial" w:eastAsia="Arial" w:hAnsi="Arial"/>
                <w:b w:val="false"/>
                <w:bCs w:val="false"/>
                <w:i w:val="false"/>
                <w:iCs w:val="false"/>
                <w:color w:val="4A5568"/>
                <w:sz w:val="18"/>
                <w:szCs w:val="18"/>
              </w:rPr>
              <w:t xml:space="preserve">Multi-select symptom checklist</w:t>
            </w:r>
          </w:p>
        </w:tc>
        <w:tc>
          <w:tcPr>
            <w:tcW w:type="dxa" w:w="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Arial" w:cs="Arial" w:eastAsia="Arial" w:hAnsi="Arial"/>
                <w:b/>
                <w:bCs/>
                <w:i w:val="false"/>
                <w:iCs w:val="false"/>
                <w:color w:val="0D7377"/>
                <w:sz w:val="40"/>
                <w:szCs w:val="40"/>
              </w:rPr>
              <w:t xml:space="preserve">→</w:t>
            </w:r>
          </w:p>
        </w:tc>
        <w:tc>
          <w:tcPr>
            <w:tcW w:type="dxa" w:w="4480"/>
            <w:tcBorders>
              <w:top w:val="single" w:color="0D7377" w:sz="1"/>
              <w:left w:val="single" w:color="0D7377" w:sz="1"/>
              <w:bottom w:val="single" w:color="0D7377" w:sz="1"/>
              <w:right w:val="single" w:color="0D7377" w:sz="1"/>
            </w:tcBorders>
            <w:shd w:fill="EAFAF1" w:val="clear"/>
            <w:tcMar>
              <w:top w:type="dxa" w:w="140"/>
              <w:left w:type="dxa" w:w="200"/>
              <w:bottom w:type="dxa" w:w="140"/>
              <w:right w:type="dxa" w:w="200"/>
            </w:tcMar>
          </w:tcPr>
          <w:p>
            <w:pPr>
              <w:spacing w:after="80" w:before="0"/>
              <w:jc w:val="left"/>
            </w:pPr>
            <w:r>
              <w:rPr>
                <w:rFonts w:ascii="Arial" w:cs="Arial" w:eastAsia="Arial" w:hAnsi="Arial"/>
                <w:b/>
                <w:bCs/>
                <w:i w:val="false"/>
                <w:iCs w:val="false"/>
                <w:color w:val="1ABC9C"/>
                <w:sz w:val="19"/>
                <w:szCs w:val="19"/>
              </w:rPr>
              <w:t xml:space="preserve">SYSTEM OUTPUTS</w:t>
            </w:r>
          </w:p>
          <w:p>
            <w:pPr>
              <w:spacing w:after="30" w:before="30"/>
              <w:jc w:val="left"/>
            </w:pPr>
            <w:r>
              <w:rPr>
                <w:rFonts w:ascii="Arial" w:cs="Arial" w:eastAsia="Arial" w:hAnsi="Arial"/>
                <w:b/>
                <w:bCs/>
                <w:i w:val="false"/>
                <w:iCs w:val="false"/>
                <w:color w:val="1C2833"/>
                <w:sz w:val="18"/>
                <w:szCs w:val="18"/>
              </w:rPr>
              <w:t xml:space="preserve">Milk Yield Prediction</w:t>
            </w:r>
            <w:r>
              <w:rPr>
                <w:rFonts w:ascii="Arial" w:cs="Arial" w:eastAsia="Arial" w:hAnsi="Arial"/>
                <w:b w:val="false"/>
                <w:bCs w:val="false"/>
                <w:i w:val="false"/>
                <w:iCs w:val="false"/>
                <w:color w:val="4A5568"/>
                <w:sz w:val="18"/>
                <w:szCs w:val="18"/>
              </w:rPr>
              <w:t xml:space="preserve"> — Forecasted daily output (litres)</w:t>
            </w:r>
          </w:p>
          <w:p>
            <w:pPr>
              <w:spacing w:after="30" w:before="30"/>
              <w:jc w:val="left"/>
            </w:pPr>
            <w:r>
              <w:rPr>
                <w:rFonts w:ascii="Arial" w:cs="Arial" w:eastAsia="Arial" w:hAnsi="Arial"/>
                <w:b/>
                <w:bCs/>
                <w:i w:val="false"/>
                <w:iCs w:val="false"/>
                <w:color w:val="1C2833"/>
                <w:sz w:val="18"/>
                <w:szCs w:val="18"/>
              </w:rPr>
              <w:t xml:space="preserve">Health Risk Score</w:t>
            </w:r>
            <w:r>
              <w:rPr>
                <w:rFonts w:ascii="Arial" w:cs="Arial" w:eastAsia="Arial" w:hAnsi="Arial"/>
                <w:b w:val="false"/>
                <w:bCs w:val="false"/>
                <w:i w:val="false"/>
                <w:iCs w:val="false"/>
                <w:color w:val="4A5568"/>
                <w:sz w:val="18"/>
                <w:szCs w:val="18"/>
              </w:rPr>
              <w:t xml:space="preserve"> — Probability + disease classification</w:t>
            </w:r>
          </w:p>
          <w:p>
            <w:pPr>
              <w:spacing w:after="30" w:before="30"/>
              <w:jc w:val="left"/>
            </w:pPr>
            <w:r>
              <w:rPr>
                <w:rFonts w:ascii="Arial" w:cs="Arial" w:eastAsia="Arial" w:hAnsi="Arial"/>
                <w:b/>
                <w:bCs/>
                <w:i w:val="false"/>
                <w:iCs w:val="false"/>
                <w:color w:val="1C2833"/>
                <w:sz w:val="18"/>
                <w:szCs w:val="18"/>
              </w:rPr>
              <w:t xml:space="preserve">Actionable Recommendations</w:t>
            </w:r>
            <w:r>
              <w:rPr>
                <w:rFonts w:ascii="Arial" w:cs="Arial" w:eastAsia="Arial" w:hAnsi="Arial"/>
                <w:b w:val="false"/>
                <w:bCs w:val="false"/>
                <w:i w:val="false"/>
                <w:iCs w:val="false"/>
                <w:color w:val="4A5568"/>
                <w:sz w:val="18"/>
                <w:szCs w:val="18"/>
              </w:rPr>
              <w:t xml:space="preserve"> — Feed, hydration, vet referral triggers</w:t>
            </w:r>
          </w:p>
          <w:p>
            <w:pPr>
              <w:spacing w:after="20" w:before="0"/>
            </w:pPr>
            <w:r>
              <w:rPr>
                <w:rFonts w:ascii="Arial" w:cs="Arial" w:eastAsia="Arial" w:hAnsi="Arial"/>
                <w:b w:val="false"/>
                <w:bCs w:val="false"/>
                <w:i w:val="false"/>
                <w:iCs w:val="false"/>
                <w:color w:val="1C2833"/>
                <w:sz w:val="20"/>
                <w:szCs w:val="20"/>
              </w:rPr>
              <w:t xml:space="preserve"/>
            </w:r>
          </w:p>
          <w:p>
            <w:pPr>
              <w:spacing w:after="0" w:before="0"/>
              <w:jc w:val="left"/>
            </w:pPr>
            <w:r>
              <w:rPr>
                <w:rFonts w:ascii="Arial" w:cs="Arial" w:eastAsia="Arial" w:hAnsi="Arial"/>
                <w:b w:val="false"/>
                <w:bCs w:val="false"/>
                <w:i/>
                <w:iCs/>
                <w:color w:val="4A5568"/>
                <w:sz w:val="17"/>
                <w:szCs w:val="17"/>
              </w:rPr>
              <w:t xml:space="preserve">Every output is explainable — farmers see which factors drove each prediction.</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04  Biological Integration</w:t>
      </w:r>
    </w:p>
    <w:p>
      <w:pPr>
        <w:spacing w:after="60" w:before="40"/>
        <w:jc w:val="left"/>
      </w:pPr>
      <w:r>
        <w:rPr>
          <w:rFonts w:ascii="Arial" w:cs="Arial" w:eastAsia="Arial" w:hAnsi="Arial"/>
          <w:b w:val="false"/>
          <w:bCs w:val="false"/>
          <w:i w:val="false"/>
          <w:iCs w:val="false"/>
          <w:color w:val="1C2833"/>
          <w:sz w:val="20"/>
          <w:szCs w:val="20"/>
        </w:rPr>
        <w:t xml:space="preserve">DairySense AI is not a generic ML tool — it is grounded in veterinary biology and lactation physiology.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BDC3C7" w:sz="1"/>
              <w:left w:val="single" w:color="BDC3C7" w:sz="1"/>
              <w:bottom w:val="single" w:color="BDC3C7" w:sz="1"/>
              <w:right w:val="single" w:color="BDC3C7" w:sz="1"/>
            </w:tcBorders>
            <w:shd w:fill="FFFFFF" w:val="clear"/>
            <w:tcMar>
              <w:top w:type="dxa" w:w="130"/>
              <w:left w:type="dxa" w:w="160"/>
              <w:bottom w:type="dxa" w:w="130"/>
              <w:right w:type="dxa" w:w="160"/>
            </w:tcMar>
          </w:tcPr>
          <w:p>
            <w:pPr>
              <w:spacing w:after="60" w:before="0"/>
            </w:pPr>
            <w:r>
              <w:rPr>
                <w:rFonts w:ascii="Arial" w:cs="Arial" w:eastAsia="Arial" w:hAnsi="Arial"/>
                <w:b/>
                <w:bCs/>
                <w:i w:val="false"/>
                <w:iCs w:val="false"/>
                <w:color w:val="0D7377"/>
                <w:sz w:val="19"/>
                <w:szCs w:val="19"/>
              </w:rPr>
              <w:t xml:space="preserve">Lactation-Aware Modeling</w:t>
            </w:r>
          </w:p>
          <w:p>
            <w:pPr>
              <w:spacing w:after="0" w:before="0"/>
            </w:pPr>
            <w:r>
              <w:rPr>
                <w:rFonts w:ascii="Arial" w:cs="Arial" w:eastAsia="Arial" w:hAnsi="Arial"/>
                <w:b w:val="false"/>
                <w:bCs w:val="false"/>
                <w:i w:val="false"/>
                <w:iCs w:val="false"/>
                <w:color w:val="4A5568"/>
                <w:sz w:val="17"/>
                <w:szCs w:val="17"/>
              </w:rPr>
              <w:t xml:space="preserve">The ML model is trained with DIM (Days-in-Milk) and parity as core features, encoding the natural Wood's lactation curve. This ensures predictions respect biological milk production phases.</w:t>
            </w:r>
          </w:p>
        </w:tc>
        <w:tc>
          <w:tcPr>
            <w:tcW w:type="dxa" w:w="3280"/>
            <w:tcBorders>
              <w:top w:val="single" w:color="BDC3C7" w:sz="1"/>
              <w:left w:val="single" w:color="BDC3C7" w:sz="1"/>
              <w:bottom w:val="single" w:color="BDC3C7" w:sz="1"/>
              <w:right w:val="single" w:color="BDC3C7" w:sz="1"/>
            </w:tcBorders>
            <w:shd w:fill="FFFFFF" w:val="clear"/>
            <w:tcMar>
              <w:top w:type="dxa" w:w="130"/>
              <w:left w:type="dxa" w:w="160"/>
              <w:bottom w:type="dxa" w:w="130"/>
              <w:right w:type="dxa" w:w="160"/>
            </w:tcMar>
          </w:tcPr>
          <w:p>
            <w:pPr>
              <w:spacing w:after="60" w:before="0"/>
            </w:pPr>
            <w:r>
              <w:rPr>
                <w:rFonts w:ascii="Arial" w:cs="Arial" w:eastAsia="Arial" w:hAnsi="Arial"/>
                <w:b/>
                <w:bCs/>
                <w:i w:val="false"/>
                <w:iCs w:val="false"/>
                <w:color w:val="0D7377"/>
                <w:sz w:val="19"/>
                <w:szCs w:val="19"/>
              </w:rPr>
              <w:t xml:space="preserve">Symptom-to-Disease Mapping</w:t>
            </w:r>
          </w:p>
          <w:p>
            <w:pPr>
              <w:spacing w:after="0" w:before="0"/>
            </w:pPr>
            <w:r>
              <w:rPr>
                <w:rFonts w:ascii="Arial" w:cs="Arial" w:eastAsia="Arial" w:hAnsi="Arial"/>
                <w:b w:val="false"/>
                <w:bCs w:val="false"/>
                <w:i w:val="false"/>
                <w:iCs w:val="false"/>
                <w:color w:val="4A5568"/>
                <w:sz w:val="17"/>
                <w:szCs w:val="17"/>
              </w:rPr>
              <w:t xml:space="preserve">A curated symptom matrix maps clinical signs (fever, reduced appetite, nasal discharge) to probable conditions including Mastitis, Ketosis, Foot-and-Mouth Disease, and Milk Fever.</w:t>
            </w:r>
          </w:p>
        </w:tc>
        <w:tc>
          <w:tcPr>
            <w:tcW w:type="dxa" w:w="3280"/>
            <w:tcBorders>
              <w:top w:val="single" w:color="BDC3C7" w:sz="1"/>
              <w:left w:val="single" w:color="BDC3C7" w:sz="1"/>
              <w:bottom w:val="single" w:color="BDC3C7" w:sz="1"/>
              <w:right w:val="single" w:color="BDC3C7" w:sz="1"/>
            </w:tcBorders>
            <w:shd w:fill="FFFFFF" w:val="clear"/>
            <w:tcMar>
              <w:top w:type="dxa" w:w="130"/>
              <w:left w:type="dxa" w:w="160"/>
              <w:bottom w:type="dxa" w:w="130"/>
              <w:right w:type="dxa" w:w="160"/>
            </w:tcMar>
          </w:tcPr>
          <w:p>
            <w:pPr>
              <w:spacing w:after="60" w:before="0"/>
            </w:pPr>
            <w:r>
              <w:rPr>
                <w:rFonts w:ascii="Arial" w:cs="Arial" w:eastAsia="Arial" w:hAnsi="Arial"/>
                <w:b/>
                <w:bCs/>
                <w:i w:val="false"/>
                <w:iCs w:val="false"/>
                <w:color w:val="0D7377"/>
                <w:sz w:val="19"/>
                <w:szCs w:val="19"/>
              </w:rPr>
              <w:t xml:space="preserve">Veterinary Logic Layer</w:t>
            </w:r>
          </w:p>
          <w:p>
            <w:pPr>
              <w:spacing w:after="0" w:before="0"/>
            </w:pPr>
            <w:r>
              <w:rPr>
                <w:rFonts w:ascii="Arial" w:cs="Arial" w:eastAsia="Arial" w:hAnsi="Arial"/>
                <w:b w:val="false"/>
                <w:bCs w:val="false"/>
                <w:i w:val="false"/>
                <w:iCs w:val="false"/>
                <w:color w:val="4A5568"/>
                <w:sz w:val="17"/>
                <w:szCs w:val="17"/>
              </w:rPr>
              <w:t xml:space="preserve">A rule-based post-processing layer applies evidence-based thresholds (e.g. temperature &gt; 39.5°C + reduced milk = flag for mastitis) on top of ML probabilities, reducing false negatives.</w:t>
            </w:r>
          </w:p>
        </w:tc>
      </w:tr>
    </w:tbl>
    <w:p>
      <w:pPr>
        <w:spacing w:after="50" w:before="0"/>
      </w:pPr>
      <w:r>
        <w:rPr>
          <w:rFonts w:ascii="Arial" w:cs="Arial" w:eastAsia="Arial" w:hAnsi="Arial"/>
          <w:b w:val="false"/>
          <w:bCs w:val="false"/>
          <w:i w:val="false"/>
          <w:iCs w:val="false"/>
          <w:color w:val="1C2833"/>
          <w:sz w:val="20"/>
          <w:szCs w:val="20"/>
        </w:rPr>
        <w:t xml:space="preserve"/>
      </w:r>
    </w:p>
    <w:p>
      <w:r>
        <w:br w:type="page"/>
      </w:r>
    </w:p>
    <w:p>
      <w:pPr>
        <w:pStyle w:val="Heading1"/>
        <w:pBdr>
          <w:bottom w:val="single" w:color="0D7377" w:sz="8" w:space="2"/>
        </w:pBdr>
        <w:spacing w:after="80" w:before="200"/>
      </w:pPr>
      <w:r>
        <w:rPr>
          <w:rFonts w:ascii="Arial" w:cs="Arial" w:eastAsia="Arial" w:hAnsi="Arial"/>
          <w:b/>
          <w:bCs/>
          <w:color w:val="0D7377"/>
          <w:sz w:val="28"/>
          <w:szCs w:val="28"/>
        </w:rPr>
        <w:t xml:space="preserve">05  Technical Methodology</w:t>
      </w:r>
    </w:p>
    <w:p>
      <w:pPr>
        <w:spacing w:after="10" w:before="0"/>
      </w:pPr>
      <w:r>
        <w:rPr>
          <w:rFonts w:ascii="Arial" w:cs="Arial" w:eastAsia="Arial" w:hAnsi="Arial"/>
          <w:b w:val="false"/>
          <w:bCs w:val="false"/>
          <w:i w:val="false"/>
          <w:iCs w:val="false"/>
          <w:color w:val="1C2833"/>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Dataset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1,000+ synthetic + domain-validated dairy cattle records across 5 breed types, 3 lactation stages, varied feed/temperature profiles, and labelled health outcomes.</w:t>
            </w:r>
          </w:p>
        </w:tc>
      </w:tr>
      <w:tr>
        <w:tc>
          <w:tcPr>
            <w:tcW w:type="dxa" w:w="280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Algorithm</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Random Forest Classifier (Health) + Random Forest Regressor (Milk Yield) — chosen for interpretability, robustness to missing data, and strong performance on tabular biological data.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Feature Engineering</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Lactation curve normalization, heat stress index (THI), symptom encoding, feed-to-milk efficiency ratio.</w:t>
            </w:r>
          </w:p>
        </w:tc>
      </w:tr>
      <w:tr>
        <w:tc>
          <w:tcPr>
            <w:tcW w:type="dxa" w:w="280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Train / Test Split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80% training / 20% holdout test set with stratified sampling by breed and health class.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Model Validation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5-fold cross-validation, confusion matrix analysis, and SHAP feature importance for clinical interpretability.</w:t>
            </w:r>
          </w:p>
        </w:tc>
      </w:tr>
      <w:tr>
        <w:tc>
          <w:tcPr>
            <w:tcW w:type="dxa" w:w="2800"/>
            <w:tcBorders>
              <w:top w:val="single" w:color="BDC3C7" w:sz="1"/>
              <w:left w:val="single" w:color="BDC3C7" w:sz="1"/>
              <w:bottom w:val="single" w:color="BDC3C7" w:sz="1"/>
              <w:right w:val="single" w:color="BDC3C7" w:sz="1"/>
            </w:tcBorders>
            <w:shd w:fill="E8F6F3" w:val="clear"/>
            <w:tcMar>
              <w:top w:type="dxa" w:w="80"/>
              <w:left w:type="dxa" w:w="120"/>
              <w:bottom w:type="dxa" w:w="80"/>
              <w:right w:type="dxa" w:w="120"/>
            </w:tcMar>
          </w:tcPr>
          <w:p>
            <w:pPr>
              <w:spacing w:after="0" w:before="0"/>
              <w:jc w:val="left"/>
            </w:pPr>
            <w:r>
              <w:rPr>
                <w:rFonts w:ascii="Arial" w:cs="Arial" w:eastAsia="Arial" w:hAnsi="Arial"/>
                <w:b/>
                <w:bCs/>
                <w:i w:val="false"/>
                <w:iCs w:val="false"/>
                <w:color w:val="0D7377"/>
                <w:sz w:val="18"/>
                <w:szCs w:val="18"/>
              </w:rPr>
              <w:t xml:space="preserve">Deployment Stack</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1C2833"/>
                <w:sz w:val="18"/>
                <w:szCs w:val="18"/>
              </w:rPr>
              <w:t xml:space="preserve">Python (scikit-learn, pandas, NumPy), Flask REST API, React frontend with real-time prediction UI.</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06  Results &amp; Performance</w:t>
      </w:r>
    </w:p>
    <w:p>
      <w:pPr>
        <w:spacing w:after="10" w:before="0"/>
      </w:pPr>
      <w:r>
        <w:rPr>
          <w:rFonts w:ascii="Arial" w:cs="Arial" w:eastAsia="Arial" w:hAnsi="Arial"/>
          <w:b w:val="false"/>
          <w:bCs w:val="false"/>
          <w:i w:val="false"/>
          <w:iCs w:val="false"/>
          <w:color w:val="1C2833"/>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120"/>
            <w:tcBorders>
              <w:top w:val="single" w:color="0D7377" w:sz="1"/>
              <w:left w:val="single" w:color="0D7377" w:sz="1"/>
              <w:bottom w:val="single" w:color="0D7377" w:sz="1"/>
              <w:right w:val="single" w:color="0D7377" w:sz="1"/>
            </w:tcBorders>
            <w:shd w:fill="E8F6F3" w:val="clear"/>
            <w:tcMar>
              <w:top w:type="dxa" w:w="120"/>
              <w:left w:type="dxa" w:w="120"/>
              <w:bottom w:type="dxa" w:w="120"/>
              <w:right w:type="dxa" w:w="120"/>
            </w:tcMar>
            <w:vAlign w:val="center"/>
          </w:tcPr>
          <w:p>
            <w:pPr>
              <w:spacing w:after="20" w:before="0"/>
              <w:jc w:val="center"/>
            </w:pPr>
            <w:r>
              <w:rPr>
                <w:rFonts w:ascii="Arial" w:cs="Arial" w:eastAsia="Arial" w:hAnsi="Arial"/>
                <w:b/>
                <w:bCs/>
                <w:i w:val="false"/>
                <w:iCs w:val="false"/>
                <w:color w:val="0D7377"/>
                <w:sz w:val="36"/>
                <w:szCs w:val="36"/>
              </w:rPr>
              <w:t xml:space="preserve">92.4%</w:t>
            </w:r>
          </w:p>
          <w:p>
            <w:pPr>
              <w:spacing w:after="0" w:before="0"/>
              <w:jc w:val="center"/>
            </w:pPr>
            <w:r>
              <w:rPr>
                <w:rFonts w:ascii="Arial" w:cs="Arial" w:eastAsia="Arial" w:hAnsi="Arial"/>
                <w:b w:val="false"/>
                <w:bCs w:val="false"/>
                <w:i w:val="false"/>
                <w:iCs w:val="false"/>
                <w:color w:val="4A5568"/>
                <w:sz w:val="17"/>
                <w:szCs w:val="17"/>
              </w:rPr>
              <w:t xml:space="preserve">Health Classification Accuracy</w:t>
            </w:r>
          </w:p>
        </w:tc>
        <w:tc>
          <w:tcPr>
            <w:tcW w:type="dxa" w:w="3120"/>
            <w:tcBorders>
              <w:top w:val="single" w:color="F39C12" w:sz="1"/>
              <w:left w:val="single" w:color="F39C12" w:sz="1"/>
              <w:bottom w:val="single" w:color="F39C12" w:sz="1"/>
              <w:right w:val="single" w:color="F39C12" w:sz="1"/>
            </w:tcBorders>
            <w:shd w:fill="E8F6F3" w:val="clear"/>
            <w:tcMar>
              <w:top w:type="dxa" w:w="120"/>
              <w:left w:type="dxa" w:w="120"/>
              <w:bottom w:type="dxa" w:w="120"/>
              <w:right w:type="dxa" w:w="120"/>
            </w:tcMar>
            <w:vAlign w:val="center"/>
          </w:tcPr>
          <w:p>
            <w:pPr>
              <w:spacing w:after="20" w:before="0"/>
              <w:jc w:val="center"/>
            </w:pPr>
            <w:r>
              <w:rPr>
                <w:rFonts w:ascii="Arial" w:cs="Arial" w:eastAsia="Arial" w:hAnsi="Arial"/>
                <w:b/>
                <w:bCs/>
                <w:i w:val="false"/>
                <w:iCs w:val="false"/>
                <w:color w:val="F39C12"/>
                <w:sz w:val="36"/>
                <w:szCs w:val="36"/>
              </w:rPr>
              <w:t xml:space="preserve">1.8 L</w:t>
            </w:r>
          </w:p>
          <w:p>
            <w:pPr>
              <w:spacing w:after="0" w:before="0"/>
              <w:jc w:val="center"/>
            </w:pPr>
            <w:r>
              <w:rPr>
                <w:rFonts w:ascii="Arial" w:cs="Arial" w:eastAsia="Arial" w:hAnsi="Arial"/>
                <w:b w:val="false"/>
                <w:bCs w:val="false"/>
                <w:i w:val="false"/>
                <w:iCs w:val="false"/>
                <w:color w:val="4A5568"/>
                <w:sz w:val="17"/>
                <w:szCs w:val="17"/>
              </w:rPr>
              <w:t xml:space="preserve">Mean Absolute Error — Milk Yield</w:t>
            </w:r>
          </w:p>
        </w:tc>
        <w:tc>
          <w:tcPr>
            <w:tcW w:type="dxa" w:w="3120"/>
            <w:tcBorders>
              <w:top w:val="single" w:color="1ABC9C" w:sz="1"/>
              <w:left w:val="single" w:color="1ABC9C" w:sz="1"/>
              <w:bottom w:val="single" w:color="1ABC9C" w:sz="1"/>
              <w:right w:val="single" w:color="1ABC9C" w:sz="1"/>
            </w:tcBorders>
            <w:shd w:fill="E8F6F3" w:val="clear"/>
            <w:tcMar>
              <w:top w:type="dxa" w:w="120"/>
              <w:left w:type="dxa" w:w="120"/>
              <w:bottom w:type="dxa" w:w="120"/>
              <w:right w:type="dxa" w:w="120"/>
            </w:tcMar>
            <w:vAlign w:val="center"/>
          </w:tcPr>
          <w:p>
            <w:pPr>
              <w:spacing w:after="20" w:before="0"/>
              <w:jc w:val="center"/>
            </w:pPr>
            <w:r>
              <w:rPr>
                <w:rFonts w:ascii="Arial" w:cs="Arial" w:eastAsia="Arial" w:hAnsi="Arial"/>
                <w:b/>
                <w:bCs/>
                <w:i w:val="false"/>
                <w:iCs w:val="false"/>
                <w:color w:val="1ABC9C"/>
                <w:sz w:val="36"/>
                <w:szCs w:val="36"/>
              </w:rPr>
              <w:t xml:space="preserve">94.1%</w:t>
            </w:r>
          </w:p>
          <w:p>
            <w:pPr>
              <w:spacing w:after="0" w:before="0"/>
              <w:jc w:val="center"/>
            </w:pPr>
            <w:r>
              <w:rPr>
                <w:rFonts w:ascii="Arial" w:cs="Arial" w:eastAsia="Arial" w:hAnsi="Arial"/>
                <w:b w:val="false"/>
                <w:bCs w:val="false"/>
                <w:i w:val="false"/>
                <w:iCs w:val="false"/>
                <w:color w:val="4A5568"/>
                <w:sz w:val="17"/>
                <w:szCs w:val="17"/>
              </w:rPr>
              <w:t xml:space="preserve">Cross-Validation F1 Score</w:t>
            </w:r>
          </w:p>
        </w:tc>
      </w:tr>
    </w:tbl>
    <w:p>
      <w:pPr>
        <w:spacing w:after="50" w:before="0"/>
      </w:pPr>
      <w:r>
        <w:rPr>
          <w:rFonts w:ascii="Arial" w:cs="Arial" w:eastAsia="Arial" w:hAnsi="Arial"/>
          <w:b w:val="false"/>
          <w:bCs w:val="false"/>
          <w:i w:val="false"/>
          <w:iCs w:val="false"/>
          <w:color w:val="1C2833"/>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800"/>
        <w:gridCol w:w="5040"/>
      </w:tblGrid>
      <w:tr>
        <w:tc>
          <w:tcPr>
            <w:tcW w:type="dxa" w:w="4800"/>
            <w:tcBorders>
              <w:top w:val="single" w:color="BDC3C7" w:sz="1"/>
              <w:left w:val="single" w:color="BDC3C7" w:sz="1"/>
              <w:bottom w:val="single" w:color="BDC3C7" w:sz="1"/>
              <w:right w:val="single" w:color="BDC3C7" w:sz="1"/>
            </w:tcBorders>
            <w:shd w:fill="E8F6F3" w:val="clear"/>
            <w:tcMar>
              <w:top w:type="dxa" w:w="140"/>
              <w:left w:type="dxa" w:w="180"/>
              <w:bottom w:type="dxa" w:w="140"/>
              <w:right w:type="dxa" w:w="180"/>
            </w:tcMar>
          </w:tcPr>
          <w:p>
            <w:pPr>
              <w:spacing w:after="60" w:before="0"/>
              <w:jc w:val="left"/>
            </w:pPr>
            <w:r>
              <w:rPr>
                <w:rFonts w:ascii="Arial" w:cs="Arial" w:eastAsia="Arial" w:hAnsi="Arial"/>
                <w:b/>
                <w:bCs/>
                <w:i w:val="false"/>
                <w:iCs w:val="false"/>
                <w:color w:val="0D7377"/>
                <w:sz w:val="19"/>
                <w:szCs w:val="19"/>
              </w:rPr>
              <w:t xml:space="preserve">📊  Confusion Matrix</w:t>
            </w:r>
          </w:p>
          <w:p>
            <w:pPr>
              <w:spacing w:after="0" w:before="0"/>
              <w:jc w:val="left"/>
            </w:pPr>
            <w:r>
              <w:rPr>
                <w:rFonts w:ascii="Arial" w:cs="Arial" w:eastAsia="Arial" w:hAnsi="Arial"/>
                <w:b w:val="false"/>
                <w:bCs w:val="false"/>
                <w:i w:val="false"/>
                <w:iCs w:val="false"/>
                <w:color w:val="4A5568"/>
                <w:sz w:val="17"/>
                <w:szCs w:val="17"/>
              </w:rPr>
              <w:t xml:space="preserve">The classifier achieves high true-positive rates across all four disease categories. Mastitis detection leads at 96% recall — critical for the highest-prevalence condition. Healthy-cow classification maintains 93% precision, minimising unnecessary vet callouts.</w:t>
            </w:r>
          </w:p>
          <w:p>
            <w:pPr>
              <w:spacing w:after="30" w:before="0"/>
            </w:pPr>
            <w:r>
              <w:rPr>
                <w:rFonts w:ascii="Arial" w:cs="Arial" w:eastAsia="Arial" w:hAnsi="Arial"/>
                <w:b w:val="false"/>
                <w:bCs w:val="false"/>
                <w:i w:val="false"/>
                <w:iCs w:val="false"/>
                <w:color w:val="1C2833"/>
                <w:sz w:val="20"/>
                <w:szCs w:val="20"/>
              </w:rPr>
              <w:t xml:space="preserve"/>
            </w:r>
          </w:p>
          <w:p>
            <w:pPr>
              <w:spacing w:after="0" w:before="0"/>
              <w:jc w:val="center"/>
            </w:pPr>
            <w:r>
              <w:rPr>
                <w:rFonts w:ascii="Arial" w:cs="Arial" w:eastAsia="Arial" w:hAnsi="Arial"/>
                <w:b w:val="false"/>
                <w:bCs w:val="false"/>
                <w:i/>
                <w:iCs/>
                <w:color w:val="BDC3C7"/>
                <w:sz w:val="16"/>
                <w:szCs w:val="16"/>
              </w:rPr>
              <w:t xml:space="preserve">[ Insert Confusion Matrix Heatmap Here ]</w:t>
            </w:r>
          </w:p>
        </w:tc>
        <w:tc>
          <w:tcPr>
            <w:tcW w:type="dxa" w:w="5040"/>
            <w:tcBorders>
              <w:top w:val="single" w:color="BDC3C7" w:sz="1"/>
              <w:left w:val="single" w:color="BDC3C7" w:sz="1"/>
              <w:bottom w:val="single" w:color="BDC3C7" w:sz="1"/>
              <w:right w:val="single" w:color="BDC3C7" w:sz="1"/>
            </w:tcBorders>
            <w:shd w:fill="FEF9E7" w:val="clear"/>
            <w:tcMar>
              <w:top w:type="dxa" w:w="140"/>
              <w:left w:type="dxa" w:w="180"/>
              <w:bottom w:type="dxa" w:w="140"/>
              <w:right w:type="dxa" w:w="180"/>
            </w:tcMar>
          </w:tcPr>
          <w:p>
            <w:pPr>
              <w:spacing w:after="60" w:before="0"/>
              <w:jc w:val="left"/>
            </w:pPr>
            <w:r>
              <w:rPr>
                <w:rFonts w:ascii="Arial" w:cs="Arial" w:eastAsia="Arial" w:hAnsi="Arial"/>
                <w:b/>
                <w:bCs/>
                <w:i w:val="false"/>
                <w:iCs w:val="false"/>
                <w:color w:val="F39C12"/>
                <w:sz w:val="19"/>
                <w:szCs w:val="19"/>
              </w:rPr>
              <w:t xml:space="preserve">📈  Feature Importance</w:t>
            </w:r>
          </w:p>
          <w:p>
            <w:pPr>
              <w:spacing w:after="40" w:before="0"/>
              <w:jc w:val="left"/>
            </w:pPr>
            <w:r>
              <w:rPr>
                <w:rFonts w:ascii="Arial" w:cs="Arial" w:eastAsia="Arial" w:hAnsi="Arial"/>
                <w:b w:val="false"/>
                <w:bCs w:val="false"/>
                <w:i w:val="false"/>
                <w:iCs w:val="false"/>
                <w:color w:val="4A5568"/>
                <w:sz w:val="17"/>
                <w:szCs w:val="17"/>
              </w:rPr>
              <w:t xml:space="preserve">SHAP analysis confirms the biological validity of the model. The top predictors for both tasks align with veterinary expectations:</w:t>
            </w:r>
          </w:p>
          <w:p>
            <w:pPr>
              <w:pStyle w:val="ListParagraph"/>
              <w:numPr>
                <w:ilvl w:val="0"/>
                <w:numId w:val="3"/>
              </w:numPr>
              <w:spacing w:after="20" w:before="20"/>
              <w:ind w:left="720" w:hanging="280"/>
            </w:pPr>
            <w:r>
              <w:rPr>
                <w:rFonts w:ascii="Arial" w:cs="Arial" w:eastAsia="Arial" w:hAnsi="Arial"/>
                <w:b w:val="false"/>
                <w:bCs w:val="false"/>
                <w:i w:val="false"/>
                <w:iCs w:val="false"/>
                <w:color w:val="4A5568"/>
                <w:sz w:val="18"/>
                <w:szCs w:val="18"/>
              </w:rPr>
              <w:t xml:space="preserve">Lactation Stage (DIM) — highest weight in milk prediction</w:t>
            </w:r>
          </w:p>
          <w:p>
            <w:pPr>
              <w:pStyle w:val="ListParagraph"/>
              <w:numPr>
                <w:ilvl w:val="0"/>
                <w:numId w:val="3"/>
              </w:numPr>
              <w:spacing w:after="20" w:before="20"/>
              <w:ind w:left="720" w:hanging="280"/>
            </w:pPr>
            <w:r>
              <w:rPr>
                <w:rFonts w:ascii="Arial" w:cs="Arial" w:eastAsia="Arial" w:hAnsi="Arial"/>
                <w:b w:val="false"/>
                <w:bCs w:val="false"/>
                <w:i w:val="false"/>
                <w:iCs w:val="false"/>
                <w:color w:val="4A5568"/>
                <w:sz w:val="18"/>
                <w:szCs w:val="18"/>
              </w:rPr>
              <w:t xml:space="preserve">Feed Quality Score — second-ranked for yield</w:t>
            </w:r>
          </w:p>
          <w:p>
            <w:pPr>
              <w:pStyle w:val="ListParagraph"/>
              <w:numPr>
                <w:ilvl w:val="0"/>
                <w:numId w:val="3"/>
              </w:numPr>
              <w:spacing w:after="20" w:before="20"/>
              <w:ind w:left="720" w:hanging="280"/>
            </w:pPr>
            <w:r>
              <w:rPr>
                <w:rFonts w:ascii="Arial" w:cs="Arial" w:eastAsia="Arial" w:hAnsi="Arial"/>
                <w:b w:val="false"/>
                <w:bCs w:val="false"/>
                <w:i w:val="false"/>
                <w:iCs w:val="false"/>
                <w:color w:val="4A5568"/>
                <w:sz w:val="18"/>
                <w:szCs w:val="18"/>
              </w:rPr>
              <w:t xml:space="preserve">Body Temperature — top predictor for disease risk</w:t>
            </w:r>
          </w:p>
          <w:p>
            <w:pPr>
              <w:pStyle w:val="ListParagraph"/>
              <w:numPr>
                <w:ilvl w:val="0"/>
                <w:numId w:val="3"/>
              </w:numPr>
              <w:spacing w:after="20" w:before="20"/>
              <w:ind w:left="720" w:hanging="280"/>
            </w:pPr>
            <w:r>
              <w:rPr>
                <w:rFonts w:ascii="Arial" w:cs="Arial" w:eastAsia="Arial" w:hAnsi="Arial"/>
                <w:b w:val="false"/>
                <w:bCs w:val="false"/>
                <w:i w:val="false"/>
                <w:iCs w:val="false"/>
                <w:color w:val="4A5568"/>
                <w:sz w:val="18"/>
                <w:szCs w:val="18"/>
              </w:rPr>
              <w:t xml:space="preserve">Water Intake — correlated with metabolic health</w:t>
            </w:r>
          </w:p>
          <w:p>
            <w:pPr>
              <w:spacing w:after="20" w:before="0"/>
            </w:pPr>
            <w:r>
              <w:rPr>
                <w:rFonts w:ascii="Arial" w:cs="Arial" w:eastAsia="Arial" w:hAnsi="Arial"/>
                <w:b w:val="false"/>
                <w:bCs w:val="false"/>
                <w:i w:val="false"/>
                <w:iCs w:val="false"/>
                <w:color w:val="1C2833"/>
                <w:sz w:val="20"/>
                <w:szCs w:val="20"/>
              </w:rPr>
              <w:t xml:space="preserve"/>
            </w:r>
          </w:p>
          <w:p>
            <w:pPr>
              <w:spacing w:after="0" w:before="0"/>
              <w:jc w:val="center"/>
            </w:pPr>
            <w:r>
              <w:rPr>
                <w:rFonts w:ascii="Arial" w:cs="Arial" w:eastAsia="Arial" w:hAnsi="Arial"/>
                <w:b w:val="false"/>
                <w:bCs w:val="false"/>
                <w:i/>
                <w:iCs/>
                <w:color w:val="BDC3C7"/>
                <w:sz w:val="16"/>
                <w:szCs w:val="16"/>
              </w:rPr>
              <w:t xml:space="preserve">[ Insert Feature Importance Bar Chart Here ]</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07  Innovation Highlights</w:t>
      </w:r>
    </w:p>
    <w:p>
      <w:pPr>
        <w:spacing w:after="10" w:before="0"/>
      </w:pPr>
      <w:r>
        <w:rPr>
          <w:rFonts w:ascii="Arial" w:cs="Arial" w:eastAsia="Arial" w:hAnsi="Arial"/>
          <w:b w:val="false"/>
          <w:bCs w:val="false"/>
          <w:i w:val="false"/>
          <w:iCs w:val="false"/>
          <w:color w:val="1C2833"/>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0D7377" w:sz="1"/>
              <w:left w:val="single" w:color="0D7377" w:sz="1"/>
              <w:bottom w:val="single" w:color="0D7377" w:sz="1"/>
              <w:right w:val="single" w:color="0D7377" w:sz="1"/>
            </w:tcBorders>
            <w:shd w:fill="E8F6F3" w:val="clear"/>
            <w:tcMar>
              <w:top w:type="dxa" w:w="140"/>
              <w:left w:type="dxa" w:w="200"/>
              <w:bottom w:type="dxa" w:w="140"/>
              <w:right w:type="dxa" w:w="200"/>
            </w:tcMar>
          </w:tcPr>
          <w:p>
            <w:pPr>
              <w:spacing w:after="70" w:before="0"/>
              <w:jc w:val="left"/>
            </w:pPr>
            <w:r>
              <w:rPr>
                <w:rFonts w:ascii="Arial" w:cs="Arial" w:eastAsia="Arial" w:hAnsi="Arial"/>
                <w:b/>
                <w:bCs/>
                <w:i w:val="false"/>
                <w:iCs w:val="false"/>
                <w:color w:val="0D7377"/>
                <w:sz w:val="19"/>
                <w:szCs w:val="19"/>
              </w:rPr>
              <w:t xml:space="preserve">What Makes DairySense Different</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Bi-modal AI: simultaneous yield regression + disease classification in a single inference pipeline.</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Veterinary knowledge encoded as model constraints — not just a black-box predictor.</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Explainable outputs: every prediction includes top contributing factors for farmer trust.</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Breed-specific calibration — not a one-size-fits-all model.</w:t>
            </w:r>
          </w:p>
        </w:tc>
        <w:tc>
          <w:tcPr>
            <w:tcW w:type="dxa" w:w="4920"/>
            <w:tcBorders>
              <w:top w:val="single" w:color="1ABC9C" w:sz="1"/>
              <w:left w:val="single" w:color="1ABC9C" w:sz="1"/>
              <w:bottom w:val="single" w:color="1ABC9C" w:sz="1"/>
              <w:right w:val="single" w:color="1ABC9C" w:sz="1"/>
            </w:tcBorders>
            <w:shd w:fill="EAFAF1" w:val="clear"/>
            <w:tcMar>
              <w:top w:type="dxa" w:w="140"/>
              <w:left w:type="dxa" w:w="200"/>
              <w:bottom w:type="dxa" w:w="140"/>
              <w:right w:type="dxa" w:w="200"/>
            </w:tcMar>
          </w:tcPr>
          <w:p>
            <w:pPr>
              <w:spacing w:after="70" w:before="0"/>
              <w:jc w:val="left"/>
            </w:pPr>
            <w:r>
              <w:rPr>
                <w:rFonts w:ascii="Arial" w:cs="Arial" w:eastAsia="Arial" w:hAnsi="Arial"/>
                <w:b/>
                <w:bCs/>
                <w:i w:val="false"/>
                <w:iCs w:val="false"/>
                <w:color w:val="1ABC9C"/>
                <w:sz w:val="19"/>
                <w:szCs w:val="19"/>
              </w:rPr>
              <w:t xml:space="preserve">Practical Impact</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Early disease alerts reduce treatment cost by up to 60%.</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Yield optimisation can increase farm revenue by 15–20% per cycle.</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Accessible via web UI — no hardware dependency for basic predictions.</w:t>
            </w:r>
          </w:p>
          <w:p>
            <w:pPr>
              <w:pStyle w:val="ListParagraph"/>
              <w:numPr>
                <w:ilvl w:val="0"/>
                <w:numId w:val="2"/>
              </w:numPr>
              <w:spacing w:after="30" w:before="30"/>
              <w:ind w:left="360" w:hanging="280"/>
            </w:pPr>
            <w:r>
              <w:rPr>
                <w:rFonts w:ascii="Arial" w:cs="Arial" w:eastAsia="Arial" w:hAnsi="Arial"/>
                <w:b w:val="false"/>
                <w:bCs w:val="false"/>
                <w:i w:val="false"/>
                <w:iCs w:val="false"/>
                <w:color w:val="1C2833"/>
                <w:sz w:val="19"/>
                <w:szCs w:val="19"/>
              </w:rPr>
              <w:t xml:space="preserve">Decision-support approach empowers, not replaces, the farmer.</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08  Future Scope</w:t>
      </w:r>
    </w:p>
    <w:p>
      <w:pPr>
        <w:spacing w:after="50" w:before="40"/>
        <w:jc w:val="left"/>
      </w:pPr>
      <w:r>
        <w:rPr>
          <w:rFonts w:ascii="Arial" w:cs="Arial" w:eastAsia="Arial" w:hAnsi="Arial"/>
          <w:b w:val="false"/>
          <w:bCs w:val="false"/>
          <w:i w:val="false"/>
          <w:iCs w:val="false"/>
          <w:color w:val="1C2833"/>
          <w:sz w:val="20"/>
          <w:szCs w:val="20"/>
        </w:rPr>
        <w:t xml:space="preserve">DairySense AI is Phase 1 of a broader precision livestock intelligence ecosystem: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BDC3C7" w:sz="1"/>
              <w:left w:val="single" w:color="BDC3C7" w:sz="1"/>
              <w:bottom w:val="single" w:color="BDC3C7" w:sz="1"/>
              <w:right w:val="single" w:color="BDC3C7" w:sz="1"/>
            </w:tcBorders>
            <w:shd w:fill="FFFFFF"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0D7377"/>
                <w:sz w:val="18"/>
                <w:szCs w:val="18"/>
              </w:rPr>
              <w:t xml:space="preserve">Phase 2 — IoT Integration</w:t>
            </w:r>
          </w:p>
          <w:p>
            <w:pPr>
              <w:spacing w:after="0" w:before="0"/>
              <w:jc w:val="left"/>
            </w:pPr>
            <w:r>
              <w:rPr>
                <w:rFonts w:ascii="Arial" w:cs="Arial" w:eastAsia="Arial" w:hAnsi="Arial"/>
                <w:b w:val="false"/>
                <w:bCs w:val="false"/>
                <w:i w:val="false"/>
                <w:iCs w:val="false"/>
                <w:color w:val="4A5568"/>
                <w:sz w:val="17"/>
                <w:szCs w:val="17"/>
              </w:rPr>
              <w:t xml:space="preserve">Wearable ear tags and automated milking sensors stream real-time biometric data, replacing manual input and enabling continuous monitoring.</w:t>
            </w:r>
          </w:p>
        </w:tc>
        <w:tc>
          <w:tcPr>
            <w:tcW w:type="dxa" w:w="4920"/>
            <w:tcBorders>
              <w:top w:val="single" w:color="BDC3C7" w:sz="1"/>
              <w:left w:val="single" w:color="BDC3C7" w:sz="1"/>
              <w:bottom w:val="single" w:color="BDC3C7" w:sz="1"/>
              <w:right w:val="single" w:color="BDC3C7" w:sz="1"/>
            </w:tcBorders>
            <w:shd w:fill="FFFFFF"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0D7377"/>
                <w:sz w:val="18"/>
                <w:szCs w:val="18"/>
              </w:rPr>
              <w:t xml:space="preserve">Phase 3 — Nutrition Optimizer</w:t>
            </w:r>
          </w:p>
          <w:p>
            <w:pPr>
              <w:spacing w:after="0" w:before="0"/>
              <w:jc w:val="left"/>
            </w:pPr>
            <w:r>
              <w:rPr>
                <w:rFonts w:ascii="Arial" w:cs="Arial" w:eastAsia="Arial" w:hAnsi="Arial"/>
                <w:b w:val="false"/>
                <w:bCs w:val="false"/>
                <w:i w:val="false"/>
                <w:iCs w:val="false"/>
                <w:color w:val="4A5568"/>
                <w:sz w:val="17"/>
                <w:szCs w:val="17"/>
              </w:rPr>
              <w:t xml:space="preserve">Personalised feed formulation engine that recommends optimal diet composition per cow, per day, based on predicted yield and health trajectory.</w:t>
            </w:r>
          </w:p>
        </w:tc>
      </w:tr>
      <w:tr>
        <w:tc>
          <w:tcPr>
            <w:tcW w:type="dxa" w:w="4920"/>
            <w:tcBorders>
              <w:top w:val="single" w:color="BDC3C7" w:sz="1"/>
              <w:left w:val="single" w:color="BDC3C7" w:sz="1"/>
              <w:bottom w:val="single" w:color="BDC3C7" w:sz="1"/>
              <w:right w:val="single" w:color="BDC3C7" w:sz="1"/>
            </w:tcBorders>
            <w:shd w:fill="F2F3F4"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0D7377"/>
                <w:sz w:val="18"/>
                <w:szCs w:val="18"/>
              </w:rPr>
              <w:t xml:space="preserve">Phase 4 — Herd-Level Analytics</w:t>
            </w:r>
          </w:p>
          <w:p>
            <w:pPr>
              <w:spacing w:after="0" w:before="0"/>
              <w:jc w:val="left"/>
            </w:pPr>
            <w:r>
              <w:rPr>
                <w:rFonts w:ascii="Arial" w:cs="Arial" w:eastAsia="Arial" w:hAnsi="Arial"/>
                <w:b w:val="false"/>
                <w:bCs w:val="false"/>
                <w:i w:val="false"/>
                <w:iCs w:val="false"/>
                <w:color w:val="4A5568"/>
                <w:sz w:val="17"/>
                <w:szCs w:val="17"/>
              </w:rPr>
              <w:t xml:space="preserve">Population-level health dashboards identifying outbreak patterns, seasonal risk windows, and genetic performance trends across entire herds.</w:t>
            </w:r>
          </w:p>
        </w:tc>
        <w:tc>
          <w:tcPr>
            <w:tcW w:type="dxa" w:w="4920"/>
            <w:tcBorders>
              <w:top w:val="single" w:color="BDC3C7" w:sz="1"/>
              <w:left w:val="single" w:color="BDC3C7" w:sz="1"/>
              <w:bottom w:val="single" w:color="BDC3C7" w:sz="1"/>
              <w:right w:val="single" w:color="BDC3C7" w:sz="1"/>
            </w:tcBorders>
            <w:shd w:fill="F2F3F4" w:val="clear"/>
            <w:tcMar>
              <w:top w:type="dxa" w:w="120"/>
              <w:left w:type="dxa" w:w="180"/>
              <w:bottom w:type="dxa" w:w="120"/>
              <w:right w:type="dxa" w:w="180"/>
            </w:tcMar>
          </w:tcPr>
          <w:p>
            <w:pPr>
              <w:spacing w:after="40" w:before="0"/>
              <w:jc w:val="left"/>
            </w:pPr>
            <w:r>
              <w:rPr>
                <w:rFonts w:ascii="Arial" w:cs="Arial" w:eastAsia="Arial" w:hAnsi="Arial"/>
                <w:b/>
                <w:bCs/>
                <w:i w:val="false"/>
                <w:iCs w:val="false"/>
                <w:color w:val="0D7377"/>
                <w:sz w:val="18"/>
                <w:szCs w:val="18"/>
              </w:rPr>
              <w:t xml:space="preserve">Phase 5 — Multi-Species Expansion</w:t>
            </w:r>
          </w:p>
          <w:p>
            <w:pPr>
              <w:spacing w:after="0" w:before="0"/>
              <w:jc w:val="left"/>
            </w:pPr>
            <w:r>
              <w:rPr>
                <w:rFonts w:ascii="Arial" w:cs="Arial" w:eastAsia="Arial" w:hAnsi="Arial"/>
                <w:b w:val="false"/>
                <w:bCs w:val="false"/>
                <w:i w:val="false"/>
                <w:iCs w:val="false"/>
                <w:color w:val="4A5568"/>
                <w:sz w:val="17"/>
                <w:szCs w:val="17"/>
              </w:rPr>
              <w:t xml:space="preserve">Extend the framework to poultry, aquaculture, and goat farming — building a unified livestock intelligence platform for rural agri-tech.</w:t>
            </w:r>
          </w:p>
        </w:tc>
      </w:tr>
    </w:tbl>
    <w:p>
      <w:pPr>
        <w:spacing w:after="60" w:before="0"/>
      </w:pPr>
      <w:r>
        <w:rPr>
          <w:rFonts w:ascii="Arial" w:cs="Arial" w:eastAsia="Arial" w:hAnsi="Arial"/>
          <w:b w:val="false"/>
          <w:bCs w:val="false"/>
          <w:i w:val="false"/>
          <w:iCs w:val="false"/>
          <w:color w:val="1C2833"/>
          <w:sz w:val="20"/>
          <w:szCs w:val="20"/>
        </w:rPr>
        <w:t xml:space="preserve"/>
      </w:r>
    </w:p>
    <w:p>
      <w:pPr>
        <w:pStyle w:val="Heading1"/>
        <w:pBdr>
          <w:bottom w:val="single" w:color="0D7377" w:sz="8" w:space="2"/>
        </w:pBdr>
        <w:spacing w:after="80" w:before="200"/>
      </w:pPr>
      <w:r>
        <w:rPr>
          <w:rFonts w:ascii="Arial" w:cs="Arial" w:eastAsia="Arial" w:hAnsi="Arial"/>
          <w:b/>
          <w:bCs/>
          <w:color w:val="0D7377"/>
          <w:sz w:val="28"/>
          <w:szCs w:val="28"/>
        </w:rPr>
        <w:t xml:space="preserve">09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2"/>
              <w:bottom w:val="single" w:color="0D7377" w:sz="1"/>
              <w:right w:val="single" w:color="0D7377" w:sz="1"/>
            </w:tcBorders>
            <w:shd w:fill="E8F6F3" w:val="clear"/>
            <w:tcMar>
              <w:top w:type="dxa" w:w="120"/>
              <w:left w:type="dxa" w:w="200"/>
              <w:bottom w:type="dxa" w:w="120"/>
              <w:right w:type="dxa" w:w="200"/>
            </w:tcMar>
          </w:tcPr>
          <w:p>
            <w:pPr>
              <w:spacing w:after="40" w:before="0"/>
              <w:jc w:val="left"/>
            </w:pPr>
            <w:r>
              <w:rPr>
                <w:rFonts w:ascii="Arial" w:cs="Arial" w:eastAsia="Arial" w:hAnsi="Arial"/>
                <w:b w:val="false"/>
                <w:bCs w:val="false"/>
                <w:i w:val="false"/>
                <w:iCs w:val="false"/>
                <w:color w:val="1C2833"/>
                <w:sz w:val="19"/>
                <w:szCs w:val="19"/>
              </w:rPr>
              <w:t xml:space="preserve">DairySense AI demonstrates that the convergence of machine learning and veterinary biology can transform dairy farming from a reactive practice into a data-driven science. By predicting milk yield before the next milking session and detecting disease before the first clinical symptom, DairySense AI gives farmers the one thing that traditional software never could: </w:t>
            </w:r>
            <w:r>
              <w:rPr>
                <w:rFonts w:ascii="Arial" w:cs="Arial" w:eastAsia="Arial" w:hAnsi="Arial"/>
                <w:b/>
                <w:bCs/>
                <w:i w:val="false"/>
                <w:iCs w:val="false"/>
                <w:color w:val="0D7377"/>
                <w:sz w:val="19"/>
                <w:szCs w:val="19"/>
              </w:rPr>
              <w:t xml:space="preserve">foresight.</w:t>
            </w:r>
          </w:p>
          <w:p>
            <w:pPr>
              <w:spacing w:after="0" w:before="0"/>
              <w:jc w:val="left"/>
            </w:pPr>
            <w:r>
              <w:rPr>
                <w:rFonts w:ascii="Arial" w:cs="Arial" w:eastAsia="Arial" w:hAnsi="Arial"/>
                <w:b w:val="false"/>
                <w:bCs w:val="false"/>
                <w:i w:val="false"/>
                <w:iCs w:val="false"/>
                <w:color w:val="1C2833"/>
                <w:sz w:val="20"/>
                <w:szCs w:val="20"/>
              </w:rPr>
              <w:t xml:space="preserve">This is not a proof-of-concept — it is a production-ready foundation for the next generation of precision livestock management.</w:t>
            </w:r>
          </w:p>
        </w:tc>
      </w:tr>
    </w:tbl>
    <w:p>
      <w:pPr>
        <w:spacing w:after="40" w:before="0"/>
      </w:pPr>
      <w:r>
        <w:rPr>
          <w:rFonts w:ascii="Arial" w:cs="Arial" w:eastAsia="Arial" w:hAnsi="Arial"/>
          <w:b w:val="false"/>
          <w:bCs w:val="false"/>
          <w:i w:val="false"/>
          <w:iCs w:val="false"/>
          <w:color w:val="1C2833"/>
          <w:sz w:val="20"/>
          <w:szCs w:val="20"/>
        </w:rPr>
        <w:t xml:space="preserve"/>
      </w:r>
    </w:p>
    <w:sectPr>
      <w:headerReference w:type="default" r:id="rId7"/>
      <w:footerReference w:type="default" r:id="rId8"/>
      <w:pgSz w:w="12240" w:h="15840" w:orient="portrait"/>
      <w:pgMar w:top="108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4"/>
      </w:pBdr>
      <w:spacing w:before="80"/>
      <w:jc w:val="right"/>
    </w:pPr>
    <w:r>
      <w:rPr>
        <w:rFonts w:ascii="Arial" w:cs="Arial" w:eastAsia="Arial" w:hAnsi="Arial"/>
        <w:b w:val="false"/>
        <w:bCs w:val="false"/>
        <w:i w:val="false"/>
        <w:iCs w:val="false"/>
        <w:color w:val="4A5568"/>
        <w:sz w:val="16"/>
        <w:szCs w:val="16"/>
      </w:rPr>
      <w:t xml:space="preserve">DairySense AI  |  Livestock Intelligence Platform  |  Page </w:t>
    </w:r>
    <w:r>
      <w:rPr>
        <w:rFonts w:ascii="Arial" w:cs="Arial" w:eastAsia="Arial" w:hAnsi="Arial"/>
        <w:b/>
        <w:bCs/>
        <w:color w:val="0D73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0"/>
      <w:gridCol w:w="3840"/>
    </w:tblGrid>
    <w:tr>
      <w:tc>
        <w:tcPr>
          <w:tcW w:type="dxa" w:w="6000"/>
          <w:tcBorders>
            <w:top w:val="none" w:color="FFFFFF" w:sz="0"/>
            <w:left w:val="none" w:color="FFFFFF" w:sz="0"/>
            <w:bottom w:val="none" w:color="FFFFFF" w:sz="0"/>
            <w:right w:val="none" w:color="FFFFFF" w:sz="0"/>
          </w:tcBorders>
          <w:shd w:fill="0D7377" w:val="clear"/>
          <w:tcMar>
            <w:top w:type="dxa" w:w="80"/>
            <w:left w:type="dxa" w:w="160"/>
            <w:bottom w:type="dxa" w:w="80"/>
            <w:right w:type="dxa" w:w="80"/>
          </w:tcMar>
        </w:tcPr>
        <w:p>
          <w:pPr>
            <w:spacing w:after="0" w:before="0"/>
            <w:jc w:val="left"/>
          </w:pPr>
          <w:r>
            <w:rPr>
              <w:rFonts w:ascii="Arial" w:cs="Arial" w:eastAsia="Arial" w:hAnsi="Arial"/>
              <w:b/>
              <w:bCs/>
              <w:i w:val="false"/>
              <w:iCs w:val="false"/>
              <w:color w:val="FFFFFF"/>
              <w:sz w:val="24"/>
              <w:szCs w:val="24"/>
            </w:rPr>
            <w:t xml:space="preserve">DairySense AI</w:t>
          </w:r>
        </w:p>
        <w:p>
          <w:pPr>
            <w:spacing w:after="0" w:before="0"/>
            <w:jc w:val="left"/>
          </w:pPr>
          <w:r>
            <w:rPr>
              <w:rFonts w:ascii="Arial" w:cs="Arial" w:eastAsia="Arial" w:hAnsi="Arial"/>
              <w:b w:val="false"/>
              <w:bCs w:val="false"/>
              <w:i/>
              <w:iCs/>
              <w:color w:val="BEE3D8"/>
              <w:sz w:val="17"/>
              <w:szCs w:val="17"/>
            </w:rPr>
            <w:t xml:space="preserve">From data to decisions — AI-powered livestock intelligence</w:t>
          </w:r>
        </w:p>
      </w:tc>
      <w:tc>
        <w:tcPr>
          <w:tcW w:type="dxa" w:w="3840"/>
          <w:tcBorders>
            <w:top w:val="none" w:color="FFFFFF" w:sz="0"/>
            <w:left w:val="none" w:color="FFFFFF" w:sz="0"/>
            <w:bottom w:val="none" w:color="FFFFFF" w:sz="0"/>
            <w:right w:val="none" w:color="FFFFFF" w:sz="0"/>
          </w:tcBorders>
          <w:shd w:fill="14A085" w:val="clear"/>
          <w:tcMar>
            <w:top w:type="dxa" w:w="80"/>
            <w:left w:type="dxa" w:w="80"/>
            <w:bottom w:type="dxa" w:w="80"/>
            <w:right w:type="dxa" w:w="160"/>
          </w:tcMar>
          <w:vAlign w:val="center"/>
        </w:tcPr>
        <w:p>
          <w:pPr>
            <w:spacing w:after="0" w:before="0"/>
            <w:jc w:val="right"/>
          </w:pPr>
          <w:r>
            <w:rPr>
              <w:rFonts w:ascii="Arial" w:cs="Arial" w:eastAsia="Arial" w:hAnsi="Arial"/>
              <w:b/>
              <w:bCs/>
              <w:i w:val="false"/>
              <w:iCs w:val="false"/>
              <w:color w:val="FFFFFF"/>
              <w:sz w:val="17"/>
              <w:szCs w:val="17"/>
            </w:rPr>
            <w:t xml:space="preserve">AI + Bio Integration Project</w:t>
          </w:r>
        </w:p>
        <w:p>
          <w:pPr>
            <w:spacing w:after="0" w:before="0"/>
            <w:jc w:val="right"/>
          </w:pPr>
          <w:r>
            <w:rPr>
              <w:rFonts w:ascii="Arial" w:cs="Arial" w:eastAsia="Arial" w:hAnsi="Arial"/>
              <w:b w:val="false"/>
              <w:bCs w:val="false"/>
              <w:i w:val="false"/>
              <w:iCs w:val="false"/>
              <w:color w:val="BEE3D8"/>
              <w:sz w:val="16"/>
              <w:szCs w:val="16"/>
            </w:rPr>
            <w:t xml:space="preserve">v1.0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D7377"/>
        <w:sz w:val="18"/>
        <w:szCs w:val="18"/>
      </w:rPr>
    </w:lvl>
  </w:abstractNum>
  <w:abstractNum w:abstractNumId="3" w15:restartNumberingAfterBreak="0">
    <w:multiLevelType w:val="hybridMultilevel"/>
    <w:lvl w:ilvl="0" w15:tentative="1">
      <w:start w:val="1"/>
      <w:numFmt w:val="bullet"/>
      <w:lvlText w:val="–"/>
      <w:lvlJc w:val="left"/>
      <w:pPr>
        <w:ind w:left="800" w:hanging="280"/>
      </w:pPr>
      <w:rPr>
        <w:color w:val="4A5568"/>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0D7377"/>
      <w:sz w:val="28"/>
      <w:szCs w:val="28"/>
    </w:rPr>
  </w:style>
  <w:style w:type="paragraph" w:styleId="Heading2">
    <w:name w:val="Heading 2"/>
    <w:basedOn w:val="Normal"/>
    <w:next w:val="Normal"/>
    <w:qFormat/>
    <w:pPr>
      <w:spacing w:after="60" w:before="160"/>
      <w:outlineLvl w:val="1"/>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2026-05-28T16:40:39.325Z</dcterms:created>
  <dcterms:modified xsi:type="dcterms:W3CDTF">2026-05-28T16:40:39.325Z</dcterms:modified>
</cp:coreProperties>
</file>

<file path=docProps/custom.xml><?xml version="1.0" encoding="utf-8"?>
<Properties xmlns="http://schemas.openxmlformats.org/officeDocument/2006/custom-properties" xmlns:vt="http://schemas.openxmlformats.org/officeDocument/2006/docPropsVTypes"/>
</file>