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F3863"/>
        </w:rPr>
        <w:t>Automobile</w:t>
      </w:r>
      <w:r>
        <w:rPr>
          <w:color w:val="1F3863"/>
          <w:spacing w:val="-11"/>
        </w:rPr>
        <w:t> </w:t>
      </w:r>
      <w:r>
        <w:rPr>
          <w:color w:val="1F3863"/>
        </w:rPr>
        <w:t>Insurance</w:t>
      </w:r>
      <w:r>
        <w:rPr>
          <w:color w:val="1F3863"/>
          <w:spacing w:val="-10"/>
        </w:rPr>
        <w:t> </w:t>
      </w:r>
      <w:r>
        <w:rPr>
          <w:color w:val="1F3863"/>
        </w:rPr>
        <w:t>Complaints</w:t>
      </w:r>
      <w:r>
        <w:rPr>
          <w:color w:val="1F3863"/>
          <w:spacing w:val="-10"/>
        </w:rPr>
        <w:t> </w:t>
      </w:r>
      <w:r>
        <w:rPr>
          <w:color w:val="1F3863"/>
          <w:spacing w:val="-2"/>
        </w:rPr>
        <w:t>Rankings</w:t>
      </w:r>
    </w:p>
    <w:p>
      <w:pPr>
        <w:spacing w:before="94"/>
        <w:ind w:left="0" w:right="0" w:firstLine="0"/>
        <w:jc w:val="left"/>
        <w:rPr>
          <w:i/>
          <w:sz w:val="26"/>
        </w:rPr>
      </w:pPr>
      <w:r>
        <w:rPr>
          <w:i/>
          <w:color w:val="545454"/>
          <w:sz w:val="26"/>
        </w:rPr>
        <w:t>Complaint</w:t>
      </w:r>
      <w:r>
        <w:rPr>
          <w:i/>
          <w:color w:val="545454"/>
          <w:spacing w:val="-10"/>
          <w:sz w:val="26"/>
        </w:rPr>
        <w:t> </w:t>
      </w:r>
      <w:r>
        <w:rPr>
          <w:i/>
          <w:color w:val="545454"/>
          <w:sz w:val="26"/>
        </w:rPr>
        <w:t>Diagnostic</w:t>
      </w:r>
      <w:r>
        <w:rPr>
          <w:i/>
          <w:color w:val="545454"/>
          <w:spacing w:val="-5"/>
          <w:sz w:val="26"/>
        </w:rPr>
        <w:t> </w:t>
      </w:r>
      <w:r>
        <w:rPr>
          <w:i/>
          <w:color w:val="545454"/>
          <w:sz w:val="26"/>
        </w:rPr>
        <w:t>&amp;</w:t>
      </w:r>
      <w:r>
        <w:rPr>
          <w:i/>
          <w:color w:val="545454"/>
          <w:spacing w:val="-14"/>
          <w:sz w:val="26"/>
        </w:rPr>
        <w:t> </w:t>
      </w:r>
      <w:r>
        <w:rPr>
          <w:i/>
          <w:color w:val="545454"/>
          <w:sz w:val="26"/>
        </w:rPr>
        <w:t>Premium</w:t>
      </w:r>
      <w:r>
        <w:rPr>
          <w:i/>
          <w:color w:val="545454"/>
          <w:spacing w:val="-10"/>
          <w:sz w:val="26"/>
        </w:rPr>
        <w:t> </w:t>
      </w:r>
      <w:r>
        <w:rPr>
          <w:i/>
          <w:color w:val="545454"/>
          <w:sz w:val="26"/>
        </w:rPr>
        <w:t>Trend</w:t>
      </w:r>
      <w:r>
        <w:rPr>
          <w:i/>
          <w:color w:val="545454"/>
          <w:spacing w:val="-9"/>
          <w:sz w:val="26"/>
        </w:rPr>
        <w:t> </w:t>
      </w:r>
      <w:r>
        <w:rPr>
          <w:i/>
          <w:color w:val="545454"/>
          <w:sz w:val="26"/>
        </w:rPr>
        <w:t>Analysis</w:t>
      </w:r>
      <w:r>
        <w:rPr>
          <w:i/>
          <w:color w:val="545454"/>
          <w:spacing w:val="-6"/>
          <w:sz w:val="26"/>
        </w:rPr>
        <w:t> </w:t>
      </w:r>
      <w:r>
        <w:rPr>
          <w:i/>
          <w:color w:val="545454"/>
          <w:sz w:val="26"/>
        </w:rPr>
        <w:t>—</w:t>
      </w:r>
      <w:r>
        <w:rPr>
          <w:i/>
          <w:color w:val="545454"/>
          <w:spacing w:val="-10"/>
          <w:sz w:val="26"/>
        </w:rPr>
        <w:t> </w:t>
      </w:r>
      <w:r>
        <w:rPr>
          <w:i/>
          <w:color w:val="545454"/>
          <w:sz w:val="26"/>
        </w:rPr>
        <w:t>Allstate</w:t>
      </w:r>
      <w:r>
        <w:rPr>
          <w:i/>
          <w:color w:val="545454"/>
          <w:spacing w:val="-10"/>
          <w:sz w:val="26"/>
        </w:rPr>
        <w:t> </w:t>
      </w:r>
      <w:r>
        <w:rPr>
          <w:i/>
          <w:color w:val="545454"/>
          <w:sz w:val="26"/>
        </w:rPr>
        <w:t>Insurance</w:t>
      </w:r>
      <w:r>
        <w:rPr>
          <w:i/>
          <w:color w:val="545454"/>
          <w:spacing w:val="-10"/>
          <w:sz w:val="26"/>
        </w:rPr>
        <w:t> </w:t>
      </w:r>
      <w:r>
        <w:rPr>
          <w:i/>
          <w:color w:val="545454"/>
          <w:spacing w:val="-2"/>
          <w:sz w:val="26"/>
        </w:rPr>
        <w:t>Company</w:t>
      </w:r>
    </w:p>
    <w:p>
      <w:pPr>
        <w:pStyle w:val="BodyText"/>
        <w:spacing w:before="104"/>
        <w:ind w:right="680"/>
      </w:pPr>
      <w:r>
        <w:rPr>
          <w:color w:val="777777"/>
        </w:rPr>
        <w:t>Data</w:t>
      </w:r>
      <w:r>
        <w:rPr>
          <w:color w:val="777777"/>
          <w:spacing w:val="-3"/>
        </w:rPr>
        <w:t> </w:t>
      </w:r>
      <w:r>
        <w:rPr>
          <w:color w:val="777777"/>
        </w:rPr>
        <w:t>source: NY</w:t>
      </w:r>
      <w:r>
        <w:rPr>
          <w:color w:val="777777"/>
          <w:spacing w:val="-6"/>
        </w:rPr>
        <w:t> </w:t>
      </w:r>
      <w:r>
        <w:rPr>
          <w:color w:val="777777"/>
        </w:rPr>
        <w:t>State</w:t>
      </w:r>
      <w:r>
        <w:rPr>
          <w:color w:val="777777"/>
          <w:spacing w:val="-3"/>
        </w:rPr>
        <w:t> </w:t>
      </w:r>
      <w:r>
        <w:rPr>
          <w:color w:val="777777"/>
        </w:rPr>
        <w:t>Department</w:t>
      </w:r>
      <w:r>
        <w:rPr>
          <w:color w:val="777777"/>
          <w:spacing w:val="-3"/>
        </w:rPr>
        <w:t> </w:t>
      </w:r>
      <w:r>
        <w:rPr>
          <w:color w:val="777777"/>
        </w:rPr>
        <w:t>of</w:t>
      </w:r>
      <w:r>
        <w:rPr>
          <w:color w:val="777777"/>
          <w:spacing w:val="-5"/>
        </w:rPr>
        <w:t> </w:t>
      </w:r>
      <w:r>
        <w:rPr>
          <w:color w:val="777777"/>
        </w:rPr>
        <w:t>Financial Services</w:t>
      </w:r>
      <w:r>
        <w:rPr>
          <w:color w:val="777777"/>
          <w:spacing w:val="-1"/>
        </w:rPr>
        <w:t> </w:t>
      </w:r>
      <w:r>
        <w:rPr>
          <w:color w:val="777777"/>
        </w:rPr>
        <w:t>(DFS) automobile</w:t>
      </w:r>
      <w:r>
        <w:rPr>
          <w:color w:val="777777"/>
          <w:spacing w:val="-3"/>
        </w:rPr>
        <w:t> </w:t>
      </w:r>
      <w:r>
        <w:rPr>
          <w:color w:val="777777"/>
        </w:rPr>
        <w:t>insurance</w:t>
      </w:r>
      <w:r>
        <w:rPr>
          <w:color w:val="777777"/>
          <w:spacing w:val="-3"/>
        </w:rPr>
        <w:t> </w:t>
      </w:r>
      <w:r>
        <w:rPr>
          <w:color w:val="777777"/>
        </w:rPr>
        <w:t>complaint</w:t>
      </w:r>
      <w:r>
        <w:rPr>
          <w:color w:val="777777"/>
          <w:spacing w:val="-8"/>
        </w:rPr>
        <w:t> </w:t>
      </w:r>
      <w:r>
        <w:rPr>
          <w:color w:val="777777"/>
        </w:rPr>
        <w:t>rankings,</w:t>
      </w:r>
      <w:r>
        <w:rPr>
          <w:color w:val="777777"/>
          <w:spacing w:val="-2"/>
        </w:rPr>
        <w:t> </w:t>
      </w:r>
      <w:r>
        <w:rPr>
          <w:color w:val="777777"/>
        </w:rPr>
        <w:t>2009–2016 filing years</w:t>
      </w:r>
    </w:p>
    <w:p>
      <w:pPr>
        <w:pStyle w:val="BodyText"/>
        <w:spacing w:before="172"/>
      </w:pPr>
    </w:p>
    <w:p>
      <w:pPr>
        <w:pStyle w:val="Heading2"/>
        <w:numPr>
          <w:ilvl w:val="0"/>
          <w:numId w:val="1"/>
        </w:numPr>
        <w:tabs>
          <w:tab w:pos="324" w:val="left" w:leader="none"/>
        </w:tabs>
        <w:spacing w:line="240" w:lineRule="auto" w:before="0" w:after="0"/>
        <w:ind w:left="324" w:right="0" w:hanging="324"/>
        <w:jc w:val="left"/>
      </w:pPr>
      <w:bookmarkStart w:name="1. Overview" w:id="1"/>
      <w:bookmarkEnd w:id="1"/>
      <w:r>
        <w:rPr/>
      </w:r>
      <w:r>
        <w:rPr>
          <w:color w:val="2D74B5"/>
          <w:spacing w:val="-2"/>
        </w:rPr>
        <w:t>Overview</w:t>
      </w:r>
    </w:p>
    <w:p>
      <w:pPr>
        <w:pStyle w:val="BodyText"/>
        <w:spacing w:before="147"/>
        <w:ind w:right="381"/>
      </w:pPr>
      <w:r>
        <w:rPr/>
        <w:t>The</w:t>
      </w:r>
      <w:r>
        <w:rPr>
          <w:spacing w:val="-3"/>
        </w:rPr>
        <w:t> </w:t>
      </w:r>
      <w:r>
        <w:rPr/>
        <w:t>New</w:t>
      </w:r>
      <w:r>
        <w:rPr>
          <w:spacing w:val="-6"/>
        </w:rPr>
        <w:t> </w:t>
      </w:r>
      <w:r>
        <w:rPr/>
        <w:t>York State</w:t>
      </w:r>
      <w:r>
        <w:rPr>
          <w:spacing w:val="-3"/>
        </w:rPr>
        <w:t> </w:t>
      </w:r>
      <w:r>
        <w:rPr/>
        <w:t>Department</w:t>
      </w:r>
      <w:r>
        <w:rPr>
          <w:spacing w:val="-3"/>
        </w:rPr>
        <w:t> </w:t>
      </w:r>
      <w:r>
        <w:rPr/>
        <w:t>of</w:t>
      </w:r>
      <w:r>
        <w:rPr>
          <w:spacing w:val="-5"/>
        </w:rPr>
        <w:t> </w:t>
      </w:r>
      <w:r>
        <w:rPr/>
        <w:t>Financial Services</w:t>
      </w:r>
      <w:r>
        <w:rPr>
          <w:spacing w:val="-1"/>
        </w:rPr>
        <w:t> </w:t>
      </w:r>
      <w:r>
        <w:rPr/>
        <w:t>(DFS) publishes</w:t>
      </w:r>
      <w:r>
        <w:rPr>
          <w:spacing w:val="-1"/>
        </w:rPr>
        <w:t> </w:t>
      </w:r>
      <w:r>
        <w:rPr/>
        <w:t>an</w:t>
      </w:r>
      <w:r>
        <w:rPr>
          <w:spacing w:val="-5"/>
        </w:rPr>
        <w:t> </w:t>
      </w:r>
      <w:r>
        <w:rPr/>
        <w:t>annual</w:t>
      </w:r>
      <w:r>
        <w:rPr>
          <w:spacing w:val="-8"/>
        </w:rPr>
        <w:t> </w:t>
      </w:r>
      <w:r>
        <w:rPr/>
        <w:t>ranking</w:t>
      </w:r>
      <w:r>
        <w:rPr>
          <w:spacing w:val="-5"/>
        </w:rPr>
        <w:t> </w:t>
      </w:r>
      <w:r>
        <w:rPr/>
        <w:t>of</w:t>
      </w:r>
      <w:r>
        <w:rPr>
          <w:spacing w:val="-5"/>
        </w:rPr>
        <w:t> </w:t>
      </w:r>
      <w:r>
        <w:rPr/>
        <w:t>automobile</w:t>
      </w:r>
      <w:r>
        <w:rPr>
          <w:spacing w:val="-3"/>
        </w:rPr>
        <w:t> </w:t>
      </w:r>
      <w:r>
        <w:rPr/>
        <w:t>insurers doing business in the state, based on upheld consumer complaints as a share of premiums written. This report analyzes the dataset for the focus company, Allstate Insurance Company, and benchmarks it against four peer insurers (GEICO, State Farm, Progressive, and Liberty Mutual).</w:t>
      </w:r>
    </w:p>
    <w:p>
      <w:pPr>
        <w:pStyle w:val="BodyText"/>
        <w:spacing w:before="151"/>
        <w:ind w:right="381"/>
      </w:pPr>
      <w:r>
        <w:rPr/>
        <w:t>A data quality</w:t>
      </w:r>
      <w:r>
        <w:rPr>
          <w:spacing w:val="-2"/>
        </w:rPr>
        <w:t> </w:t>
      </w:r>
      <w:r>
        <w:rPr/>
        <w:t>note: the 2016 filing-year records in the dataset are exact duplicates of the 2015</w:t>
      </w:r>
      <w:r>
        <w:rPr>
          <w:spacing w:val="-1"/>
        </w:rPr>
        <w:t> </w:t>
      </w:r>
      <w:r>
        <w:rPr/>
        <w:t>records for every company</w:t>
      </w:r>
      <w:r>
        <w:rPr>
          <w:spacing w:val="-7"/>
        </w:rPr>
        <w:t> </w:t>
      </w:r>
      <w:r>
        <w:rPr/>
        <w:t>(identical complaint counts,</w:t>
      </w:r>
      <w:r>
        <w:rPr>
          <w:spacing w:val="-1"/>
        </w:rPr>
        <w:t> </w:t>
      </w:r>
      <w:r>
        <w:rPr/>
        <w:t>premiums,</w:t>
      </w:r>
      <w:r>
        <w:rPr>
          <w:spacing w:val="-1"/>
        </w:rPr>
        <w:t> </w:t>
      </w:r>
      <w:r>
        <w:rPr/>
        <w:t>and</w:t>
      </w:r>
      <w:r>
        <w:rPr>
          <w:spacing w:val="-8"/>
        </w:rPr>
        <w:t> </w:t>
      </w:r>
      <w:r>
        <w:rPr/>
        <w:t>ratios).</w:t>
      </w:r>
      <w:r>
        <w:rPr>
          <w:spacing w:val="-1"/>
        </w:rPr>
        <w:t> </w:t>
      </w:r>
      <w:r>
        <w:rPr/>
        <w:t>This</w:t>
      </w:r>
      <w:r>
        <w:rPr>
          <w:spacing w:val="-10"/>
        </w:rPr>
        <w:t> </w:t>
      </w:r>
      <w:r>
        <w:rPr/>
        <w:t>report</w:t>
      </w:r>
      <w:r>
        <w:rPr>
          <w:spacing w:val="-2"/>
        </w:rPr>
        <w:t> </w:t>
      </w:r>
      <w:r>
        <w:rPr/>
        <w:t>therefore</w:t>
      </w:r>
      <w:r>
        <w:rPr>
          <w:spacing w:val="-2"/>
        </w:rPr>
        <w:t> </w:t>
      </w:r>
      <w:r>
        <w:rPr/>
        <w:t>treats 2009–2015</w:t>
      </w:r>
      <w:r>
        <w:rPr>
          <w:spacing w:val="-4"/>
        </w:rPr>
        <w:t> </w:t>
      </w:r>
      <w:r>
        <w:rPr/>
        <w:t>as</w:t>
      </w:r>
      <w:r>
        <w:rPr>
          <w:spacing w:val="-5"/>
        </w:rPr>
        <w:t> </w:t>
      </w:r>
      <w:r>
        <w:rPr/>
        <w:t>the</w:t>
      </w:r>
      <w:r>
        <w:rPr>
          <w:spacing w:val="-2"/>
        </w:rPr>
        <w:t> </w:t>
      </w:r>
      <w:r>
        <w:rPr/>
        <w:t>effective trend window and does not double-count 2016 as a new observation.</w:t>
      </w:r>
    </w:p>
    <w:p>
      <w:pPr>
        <w:pStyle w:val="BodyText"/>
        <w:spacing w:before="68"/>
      </w:pPr>
    </w:p>
    <w:p>
      <w:pPr>
        <w:pStyle w:val="Heading2"/>
        <w:numPr>
          <w:ilvl w:val="0"/>
          <w:numId w:val="1"/>
        </w:numPr>
        <w:tabs>
          <w:tab w:pos="319" w:val="left" w:leader="none"/>
        </w:tabs>
        <w:spacing w:line="240" w:lineRule="auto" w:before="0" w:after="0"/>
        <w:ind w:left="319" w:right="0" w:hanging="319"/>
        <w:jc w:val="left"/>
      </w:pPr>
      <w:bookmarkStart w:name="2. Complaint Diagnostic Report — Allstat" w:id="2"/>
      <w:bookmarkEnd w:id="2"/>
      <w:r>
        <w:rPr/>
      </w:r>
      <w:r>
        <w:rPr>
          <w:color w:val="2D74B5"/>
        </w:rPr>
        <w:t>Complaint</w:t>
      </w:r>
      <w:r>
        <w:rPr>
          <w:color w:val="2D74B5"/>
          <w:spacing w:val="-8"/>
        </w:rPr>
        <w:t> </w:t>
      </w:r>
      <w:r>
        <w:rPr>
          <w:color w:val="2D74B5"/>
        </w:rPr>
        <w:t>Diagnostic</w:t>
      </w:r>
      <w:r>
        <w:rPr>
          <w:color w:val="2D74B5"/>
          <w:spacing w:val="-12"/>
        </w:rPr>
        <w:t> </w:t>
      </w:r>
      <w:r>
        <w:rPr>
          <w:color w:val="2D74B5"/>
        </w:rPr>
        <w:t>Report</w:t>
      </w:r>
      <w:r>
        <w:rPr>
          <w:color w:val="2D74B5"/>
          <w:spacing w:val="-7"/>
        </w:rPr>
        <w:t> </w:t>
      </w:r>
      <w:r>
        <w:rPr>
          <w:color w:val="2D74B5"/>
        </w:rPr>
        <w:t>—</w:t>
      </w:r>
      <w:r>
        <w:rPr>
          <w:color w:val="2D74B5"/>
          <w:spacing w:val="-8"/>
        </w:rPr>
        <w:t> </w:t>
      </w:r>
      <w:r>
        <w:rPr>
          <w:color w:val="2D74B5"/>
        </w:rPr>
        <w:t>Allstate</w:t>
      </w:r>
      <w:r>
        <w:rPr>
          <w:color w:val="2D74B5"/>
          <w:spacing w:val="-7"/>
        </w:rPr>
        <w:t> </w:t>
      </w:r>
      <w:r>
        <w:rPr>
          <w:color w:val="2D74B5"/>
        </w:rPr>
        <w:t>Insurance</w:t>
      </w:r>
      <w:r>
        <w:rPr>
          <w:color w:val="2D74B5"/>
          <w:spacing w:val="-12"/>
        </w:rPr>
        <w:t> </w:t>
      </w:r>
      <w:r>
        <w:rPr>
          <w:color w:val="2D74B5"/>
          <w:spacing w:val="-2"/>
        </w:rPr>
        <w:t>Company</w:t>
      </w:r>
    </w:p>
    <w:p>
      <w:pPr>
        <w:pStyle w:val="Heading3"/>
        <w:numPr>
          <w:ilvl w:val="1"/>
          <w:numId w:val="1"/>
        </w:numPr>
        <w:tabs>
          <w:tab w:pos="392" w:val="left" w:leader="none"/>
        </w:tabs>
        <w:spacing w:line="240" w:lineRule="auto" w:before="303" w:after="0"/>
        <w:ind w:left="392" w:right="0" w:hanging="392"/>
        <w:jc w:val="left"/>
      </w:pPr>
      <w:bookmarkStart w:name="2.1 How often each complaint type occurs" w:id="3"/>
      <w:bookmarkEnd w:id="3"/>
      <w:r>
        <w:rPr/>
      </w:r>
      <w:r>
        <w:rPr>
          <w:color w:val="2D74B5"/>
        </w:rPr>
        <w:t>How</w:t>
      </w:r>
      <w:r>
        <w:rPr>
          <w:color w:val="2D74B5"/>
          <w:spacing w:val="-5"/>
        </w:rPr>
        <w:t> </w:t>
      </w:r>
      <w:r>
        <w:rPr>
          <w:color w:val="2D74B5"/>
        </w:rPr>
        <w:t>often</w:t>
      </w:r>
      <w:r>
        <w:rPr>
          <w:color w:val="2D74B5"/>
          <w:spacing w:val="-5"/>
        </w:rPr>
        <w:t> </w:t>
      </w:r>
      <w:r>
        <w:rPr>
          <w:color w:val="2D74B5"/>
        </w:rPr>
        <w:t>each</w:t>
      </w:r>
      <w:r>
        <w:rPr>
          <w:color w:val="2D74B5"/>
          <w:spacing w:val="-4"/>
        </w:rPr>
        <w:t> </w:t>
      </w:r>
      <w:r>
        <w:rPr>
          <w:color w:val="2D74B5"/>
        </w:rPr>
        <w:t>complaint</w:t>
      </w:r>
      <w:r>
        <w:rPr>
          <w:color w:val="2D74B5"/>
          <w:spacing w:val="-6"/>
        </w:rPr>
        <w:t> </w:t>
      </w:r>
      <w:r>
        <w:rPr>
          <w:color w:val="2D74B5"/>
        </w:rPr>
        <w:t>type</w:t>
      </w:r>
      <w:r>
        <w:rPr>
          <w:color w:val="2D74B5"/>
          <w:spacing w:val="-6"/>
        </w:rPr>
        <w:t> </w:t>
      </w:r>
      <w:r>
        <w:rPr>
          <w:color w:val="2D74B5"/>
          <w:spacing w:val="-2"/>
        </w:rPr>
        <w:t>occurs</w:t>
      </w:r>
    </w:p>
    <w:p>
      <w:pPr>
        <w:pStyle w:val="BodyText"/>
        <w:spacing w:before="150"/>
        <w:ind w:right="381"/>
      </w:pPr>
      <w:r>
        <w:rPr/>
        <w:t>Complaints</w:t>
      </w:r>
      <w:r>
        <w:rPr>
          <w:spacing w:val="-1"/>
        </w:rPr>
        <w:t> </w:t>
      </w:r>
      <w:r>
        <w:rPr/>
        <w:t>fall</w:t>
      </w:r>
      <w:r>
        <w:rPr>
          <w:spacing w:val="-3"/>
        </w:rPr>
        <w:t> </w:t>
      </w:r>
      <w:r>
        <w:rPr/>
        <w:t>into</w:t>
      </w:r>
      <w:r>
        <w:rPr>
          <w:spacing w:val="-5"/>
        </w:rPr>
        <w:t> </w:t>
      </w:r>
      <w:r>
        <w:rPr/>
        <w:t>three</w:t>
      </w:r>
      <w:r>
        <w:rPr>
          <w:spacing w:val="-3"/>
        </w:rPr>
        <w:t> </w:t>
      </w:r>
      <w:r>
        <w:rPr/>
        <w:t>DFS</w:t>
      </w:r>
      <w:r>
        <w:rPr>
          <w:spacing w:val="-1"/>
        </w:rPr>
        <w:t> </w:t>
      </w:r>
      <w:r>
        <w:rPr/>
        <w:t>categories: Upheld</w:t>
      </w:r>
      <w:r>
        <w:rPr>
          <w:spacing w:val="-5"/>
        </w:rPr>
        <w:t> </w:t>
      </w:r>
      <w:r>
        <w:rPr/>
        <w:t>(the</w:t>
      </w:r>
      <w:r>
        <w:rPr>
          <w:spacing w:val="-8"/>
        </w:rPr>
        <w:t> </w:t>
      </w:r>
      <w:r>
        <w:rPr/>
        <w:t>complaint</w:t>
      </w:r>
      <w:r>
        <w:rPr>
          <w:spacing w:val="-3"/>
        </w:rPr>
        <w:t> </w:t>
      </w:r>
      <w:r>
        <w:rPr/>
        <w:t>was</w:t>
      </w:r>
      <w:r>
        <w:rPr>
          <w:spacing w:val="-1"/>
        </w:rPr>
        <w:t> </w:t>
      </w:r>
      <w:r>
        <w:rPr/>
        <w:t>found valid</w:t>
      </w:r>
      <w:r>
        <w:rPr>
          <w:spacing w:val="-9"/>
        </w:rPr>
        <w:t> </w:t>
      </w:r>
      <w:r>
        <w:rPr/>
        <w:t>against</w:t>
      </w:r>
      <w:r>
        <w:rPr>
          <w:spacing w:val="-3"/>
        </w:rPr>
        <w:t> </w:t>
      </w:r>
      <w:r>
        <w:rPr/>
        <w:t>the</w:t>
      </w:r>
      <w:r>
        <w:rPr>
          <w:spacing w:val="-8"/>
        </w:rPr>
        <w:t> </w:t>
      </w:r>
      <w:r>
        <w:rPr/>
        <w:t>insurer),</w:t>
      </w:r>
      <w:r>
        <w:rPr>
          <w:spacing w:val="-2"/>
        </w:rPr>
        <w:t> </w:t>
      </w:r>
      <w:r>
        <w:rPr/>
        <w:t>Question of Fact (evidence was conflicting or inconclusive), and Not Upheld/Withdrawn (found invalid or dropped). Across 2009–2015, Allstate's complaints break down as follows:</w:t>
      </w:r>
    </w:p>
    <w:p>
      <w:pPr>
        <w:pStyle w:val="ListParagraph"/>
        <w:numPr>
          <w:ilvl w:val="2"/>
          <w:numId w:val="1"/>
        </w:numPr>
        <w:tabs>
          <w:tab w:pos="721" w:val="left" w:leader="none"/>
        </w:tabs>
        <w:spacing w:line="240" w:lineRule="auto" w:before="151" w:after="0"/>
        <w:ind w:left="721" w:right="369" w:hanging="361"/>
        <w:jc w:val="left"/>
        <w:rPr>
          <w:sz w:val="20"/>
        </w:rPr>
      </w:pPr>
      <w:r>
        <w:rPr>
          <w:sz w:val="20"/>
        </w:rPr>
        <w:t>Upheld:</w:t>
      </w:r>
      <w:r>
        <w:rPr>
          <w:spacing w:val="-5"/>
          <w:sz w:val="20"/>
        </w:rPr>
        <w:t> </w:t>
      </w:r>
      <w:r>
        <w:rPr>
          <w:sz w:val="20"/>
        </w:rPr>
        <w:t>15.4%</w:t>
      </w:r>
      <w:r>
        <w:rPr>
          <w:spacing w:val="-2"/>
          <w:sz w:val="20"/>
        </w:rPr>
        <w:t> </w:t>
      </w:r>
      <w:r>
        <w:rPr>
          <w:sz w:val="20"/>
        </w:rPr>
        <w:t>of</w:t>
      </w:r>
      <w:r>
        <w:rPr>
          <w:spacing w:val="-6"/>
          <w:sz w:val="20"/>
        </w:rPr>
        <w:t> </w:t>
      </w:r>
      <w:r>
        <w:rPr>
          <w:sz w:val="20"/>
        </w:rPr>
        <w:t>all complaints</w:t>
      </w:r>
      <w:r>
        <w:rPr>
          <w:spacing w:val="-3"/>
          <w:sz w:val="20"/>
        </w:rPr>
        <w:t> </w:t>
      </w:r>
      <w:r>
        <w:rPr>
          <w:sz w:val="20"/>
        </w:rPr>
        <w:t>(vs. 11.7%</w:t>
      </w:r>
      <w:r>
        <w:rPr>
          <w:spacing w:val="-6"/>
          <w:sz w:val="20"/>
        </w:rPr>
        <w:t> </w:t>
      </w:r>
      <w:r>
        <w:rPr>
          <w:sz w:val="20"/>
        </w:rPr>
        <w:t>industry-wide) —</w:t>
      </w:r>
      <w:r>
        <w:rPr>
          <w:spacing w:val="-1"/>
          <w:sz w:val="20"/>
        </w:rPr>
        <w:t> </w:t>
      </w:r>
      <w:r>
        <w:rPr>
          <w:sz w:val="20"/>
        </w:rPr>
        <w:t>Allstate's</w:t>
      </w:r>
      <w:r>
        <w:rPr>
          <w:spacing w:val="-3"/>
          <w:sz w:val="20"/>
        </w:rPr>
        <w:t> </w:t>
      </w:r>
      <w:r>
        <w:rPr>
          <w:sz w:val="20"/>
        </w:rPr>
        <w:t>upheld</w:t>
      </w:r>
      <w:r>
        <w:rPr>
          <w:spacing w:val="-2"/>
          <w:sz w:val="20"/>
        </w:rPr>
        <w:t> </w:t>
      </w:r>
      <w:r>
        <w:rPr>
          <w:sz w:val="20"/>
        </w:rPr>
        <w:t>share</w:t>
      </w:r>
      <w:r>
        <w:rPr>
          <w:spacing w:val="-9"/>
          <w:sz w:val="20"/>
        </w:rPr>
        <w:t> </w:t>
      </w:r>
      <w:r>
        <w:rPr>
          <w:sz w:val="20"/>
        </w:rPr>
        <w:t>runs</w:t>
      </w:r>
      <w:r>
        <w:rPr>
          <w:spacing w:val="-7"/>
          <w:sz w:val="20"/>
        </w:rPr>
        <w:t> </w:t>
      </w:r>
      <w:r>
        <w:rPr>
          <w:sz w:val="20"/>
        </w:rPr>
        <w:t>somewhat</w:t>
      </w:r>
      <w:r>
        <w:rPr>
          <w:spacing w:val="-5"/>
          <w:sz w:val="20"/>
        </w:rPr>
        <w:t> </w:t>
      </w:r>
      <w:r>
        <w:rPr>
          <w:sz w:val="20"/>
        </w:rPr>
        <w:t>above the market average.</w:t>
      </w:r>
    </w:p>
    <w:p>
      <w:pPr>
        <w:pStyle w:val="ListParagraph"/>
        <w:numPr>
          <w:ilvl w:val="2"/>
          <w:numId w:val="1"/>
        </w:numPr>
        <w:tabs>
          <w:tab w:pos="721" w:val="left" w:leader="none"/>
        </w:tabs>
        <w:spacing w:line="240" w:lineRule="auto" w:before="82" w:after="0"/>
        <w:ind w:left="721" w:right="1293" w:hanging="361"/>
        <w:jc w:val="left"/>
        <w:rPr>
          <w:sz w:val="20"/>
        </w:rPr>
      </w:pPr>
      <w:r>
        <w:rPr>
          <w:sz w:val="20"/>
        </w:rPr>
        <w:t>Question of</w:t>
      </w:r>
      <w:r>
        <w:rPr>
          <w:spacing w:val="-6"/>
          <w:sz w:val="20"/>
        </w:rPr>
        <w:t> </w:t>
      </w:r>
      <w:r>
        <w:rPr>
          <w:sz w:val="20"/>
        </w:rPr>
        <w:t>Fact: 38.1%</w:t>
      </w:r>
      <w:r>
        <w:rPr>
          <w:spacing w:val="-1"/>
          <w:sz w:val="20"/>
        </w:rPr>
        <w:t> </w:t>
      </w:r>
      <w:r>
        <w:rPr>
          <w:sz w:val="20"/>
        </w:rPr>
        <w:t>(vs.</w:t>
      </w:r>
      <w:r>
        <w:rPr>
          <w:spacing w:val="-3"/>
          <w:sz w:val="20"/>
        </w:rPr>
        <w:t> </w:t>
      </w:r>
      <w:r>
        <w:rPr>
          <w:sz w:val="20"/>
        </w:rPr>
        <w:t>31.9%</w:t>
      </w:r>
      <w:r>
        <w:rPr>
          <w:spacing w:val="-6"/>
          <w:sz w:val="20"/>
        </w:rPr>
        <w:t> </w:t>
      </w:r>
      <w:r>
        <w:rPr>
          <w:sz w:val="20"/>
        </w:rPr>
        <w:t>industry-wide)</w:t>
      </w:r>
      <w:r>
        <w:rPr>
          <w:spacing w:val="-1"/>
          <w:sz w:val="20"/>
        </w:rPr>
        <w:t> </w:t>
      </w:r>
      <w:r>
        <w:rPr>
          <w:sz w:val="20"/>
        </w:rPr>
        <w:t>—</w:t>
      </w:r>
      <w:r>
        <w:rPr>
          <w:spacing w:val="-1"/>
          <w:sz w:val="20"/>
        </w:rPr>
        <w:t> </w:t>
      </w:r>
      <w:r>
        <w:rPr>
          <w:sz w:val="20"/>
        </w:rPr>
        <w:t>a</w:t>
      </w:r>
      <w:r>
        <w:rPr>
          <w:spacing w:val="-4"/>
          <w:sz w:val="20"/>
        </w:rPr>
        <w:t> </w:t>
      </w:r>
      <w:r>
        <w:rPr>
          <w:sz w:val="20"/>
        </w:rPr>
        <w:t>larger share</w:t>
      </w:r>
      <w:r>
        <w:rPr>
          <w:spacing w:val="-4"/>
          <w:sz w:val="20"/>
        </w:rPr>
        <w:t> </w:t>
      </w:r>
      <w:r>
        <w:rPr>
          <w:sz w:val="20"/>
        </w:rPr>
        <w:t>of</w:t>
      </w:r>
      <w:r>
        <w:rPr>
          <w:spacing w:val="-6"/>
          <w:sz w:val="20"/>
        </w:rPr>
        <w:t> </w:t>
      </w:r>
      <w:r>
        <w:rPr>
          <w:sz w:val="20"/>
        </w:rPr>
        <w:t>Allstate's</w:t>
      </w:r>
      <w:r>
        <w:rPr>
          <w:spacing w:val="-2"/>
          <w:sz w:val="20"/>
        </w:rPr>
        <w:t> </w:t>
      </w:r>
      <w:r>
        <w:rPr>
          <w:sz w:val="20"/>
        </w:rPr>
        <w:t>complaints</w:t>
      </w:r>
      <w:r>
        <w:rPr>
          <w:spacing w:val="-7"/>
          <w:sz w:val="20"/>
        </w:rPr>
        <w:t> </w:t>
      </w:r>
      <w:r>
        <w:rPr>
          <w:sz w:val="20"/>
        </w:rPr>
        <w:t>are </w:t>
      </w:r>
      <w:r>
        <w:rPr>
          <w:spacing w:val="-2"/>
          <w:sz w:val="20"/>
        </w:rPr>
        <w:t>contested/ambiguous.</w:t>
      </w:r>
    </w:p>
    <w:p>
      <w:pPr>
        <w:pStyle w:val="ListParagraph"/>
        <w:numPr>
          <w:ilvl w:val="2"/>
          <w:numId w:val="1"/>
        </w:numPr>
        <w:tabs>
          <w:tab w:pos="721" w:val="left" w:leader="none"/>
        </w:tabs>
        <w:spacing w:line="240" w:lineRule="auto" w:before="78" w:after="0"/>
        <w:ind w:left="721" w:right="362" w:hanging="361"/>
        <w:jc w:val="left"/>
        <w:rPr>
          <w:sz w:val="20"/>
        </w:rPr>
      </w:pPr>
      <w:r>
        <w:rPr>
          <w:sz w:val="20"/>
        </w:rPr>
        <w:t>Not Upheld</w:t>
      </w:r>
      <w:r>
        <w:rPr>
          <w:spacing w:val="-2"/>
          <w:sz w:val="20"/>
        </w:rPr>
        <w:t> </w:t>
      </w:r>
      <w:r>
        <w:rPr>
          <w:sz w:val="20"/>
        </w:rPr>
        <w:t>/</w:t>
      </w:r>
      <w:r>
        <w:rPr>
          <w:spacing w:val="-5"/>
          <w:sz w:val="20"/>
        </w:rPr>
        <w:t> </w:t>
      </w:r>
      <w:r>
        <w:rPr>
          <w:sz w:val="20"/>
        </w:rPr>
        <w:t>Withdrawn:</w:t>
      </w:r>
      <w:r>
        <w:rPr>
          <w:spacing w:val="-5"/>
          <w:sz w:val="20"/>
        </w:rPr>
        <w:t> </w:t>
      </w:r>
      <w:r>
        <w:rPr>
          <w:sz w:val="20"/>
        </w:rPr>
        <w:t>46.5%</w:t>
      </w:r>
      <w:r>
        <w:rPr>
          <w:spacing w:val="-7"/>
          <w:sz w:val="20"/>
        </w:rPr>
        <w:t> </w:t>
      </w:r>
      <w:r>
        <w:rPr>
          <w:sz w:val="20"/>
        </w:rPr>
        <w:t>(vs. 56.3%</w:t>
      </w:r>
      <w:r>
        <w:rPr>
          <w:spacing w:val="-7"/>
          <w:sz w:val="20"/>
        </w:rPr>
        <w:t> </w:t>
      </w:r>
      <w:r>
        <w:rPr>
          <w:sz w:val="20"/>
        </w:rPr>
        <w:t>industry-wide)</w:t>
      </w:r>
      <w:r>
        <w:rPr>
          <w:spacing w:val="-1"/>
          <w:sz w:val="20"/>
        </w:rPr>
        <w:t> </w:t>
      </w:r>
      <w:r>
        <w:rPr>
          <w:sz w:val="20"/>
        </w:rPr>
        <w:t>—</w:t>
      </w:r>
      <w:r>
        <w:rPr>
          <w:spacing w:val="-1"/>
          <w:sz w:val="20"/>
        </w:rPr>
        <w:t> </w:t>
      </w:r>
      <w:r>
        <w:rPr>
          <w:sz w:val="20"/>
        </w:rPr>
        <w:t>proportionally</w:t>
      </w:r>
      <w:r>
        <w:rPr>
          <w:spacing w:val="-11"/>
          <w:sz w:val="20"/>
        </w:rPr>
        <w:t> </w:t>
      </w:r>
      <w:r>
        <w:rPr>
          <w:sz w:val="20"/>
        </w:rPr>
        <w:t>fewer of</w:t>
      </w:r>
      <w:r>
        <w:rPr>
          <w:spacing w:val="-7"/>
          <w:sz w:val="20"/>
        </w:rPr>
        <w:t> </w:t>
      </w:r>
      <w:r>
        <w:rPr>
          <w:sz w:val="20"/>
        </w:rPr>
        <w:t>Allstate's</w:t>
      </w:r>
      <w:r>
        <w:rPr>
          <w:spacing w:val="-3"/>
          <w:sz w:val="20"/>
        </w:rPr>
        <w:t> </w:t>
      </w:r>
      <w:r>
        <w:rPr>
          <w:sz w:val="20"/>
        </w:rPr>
        <w:t>complaints are cleanly dismissed.</w:t>
      </w:r>
    </w:p>
    <w:p>
      <w:pPr>
        <w:pStyle w:val="BodyText"/>
        <w:spacing w:before="83"/>
        <w:ind w:right="381"/>
      </w:pPr>
      <w:r>
        <w:rPr/>
        <w:t>This</w:t>
      </w:r>
      <w:r>
        <w:rPr>
          <w:spacing w:val="-6"/>
        </w:rPr>
        <w:t> </w:t>
      </w:r>
      <w:r>
        <w:rPr/>
        <w:t>mix</w:t>
      </w:r>
      <w:r>
        <w:rPr>
          <w:spacing w:val="-5"/>
        </w:rPr>
        <w:t> </w:t>
      </w:r>
      <w:r>
        <w:rPr/>
        <w:t>is</w:t>
      </w:r>
      <w:r>
        <w:rPr>
          <w:spacing w:val="-6"/>
        </w:rPr>
        <w:t> </w:t>
      </w:r>
      <w:r>
        <w:rPr/>
        <w:t>a caution sign:</w:t>
      </w:r>
      <w:r>
        <w:rPr>
          <w:spacing w:val="-3"/>
        </w:rPr>
        <w:t> </w:t>
      </w:r>
      <w:r>
        <w:rPr/>
        <w:t>Allstate</w:t>
      </w:r>
      <w:r>
        <w:rPr>
          <w:spacing w:val="-8"/>
        </w:rPr>
        <w:t> </w:t>
      </w:r>
      <w:r>
        <w:rPr/>
        <w:t>has</w:t>
      </w:r>
      <w:r>
        <w:rPr>
          <w:spacing w:val="-6"/>
        </w:rPr>
        <w:t> </w:t>
      </w:r>
      <w:r>
        <w:rPr/>
        <w:t>a</w:t>
      </w:r>
      <w:r>
        <w:rPr>
          <w:spacing w:val="-8"/>
        </w:rPr>
        <w:t> </w:t>
      </w:r>
      <w:r>
        <w:rPr/>
        <w:t>heavier tilt</w:t>
      </w:r>
      <w:r>
        <w:rPr>
          <w:spacing w:val="-3"/>
        </w:rPr>
        <w:t> </w:t>
      </w:r>
      <w:r>
        <w:rPr/>
        <w:t>toward</w:t>
      </w:r>
      <w:r>
        <w:rPr>
          <w:spacing w:val="-5"/>
        </w:rPr>
        <w:t> </w:t>
      </w:r>
      <w:r>
        <w:rPr/>
        <w:t>Upheld and Question-of-Fact outcomes than</w:t>
      </w:r>
      <w:r>
        <w:rPr>
          <w:spacing w:val="-5"/>
        </w:rPr>
        <w:t> </w:t>
      </w:r>
      <w:r>
        <w:rPr/>
        <w:t>the</w:t>
      </w:r>
      <w:r>
        <w:rPr>
          <w:spacing w:val="-3"/>
        </w:rPr>
        <w:t> </w:t>
      </w:r>
      <w:r>
        <w:rPr/>
        <w:t>market, meaning when a New York policyholder complains about Allstate, it is somewhat more</w:t>
      </w:r>
      <w:r>
        <w:rPr>
          <w:spacing w:val="-2"/>
        </w:rPr>
        <w:t> </w:t>
      </w:r>
      <w:r>
        <w:rPr/>
        <w:t>likely</w:t>
      </w:r>
      <w:r>
        <w:rPr>
          <w:spacing w:val="-4"/>
        </w:rPr>
        <w:t> </w:t>
      </w:r>
      <w:r>
        <w:rPr/>
        <w:t>to be a substantiated or unresolved issue rather than a clear non-issue.</w:t>
      </w:r>
    </w:p>
    <w:p>
      <w:pPr>
        <w:pStyle w:val="BodyText"/>
        <w:spacing w:after="0"/>
        <w:sectPr>
          <w:type w:val="continuous"/>
          <w:pgSz w:w="12240" w:h="15840"/>
          <w:pgMar w:top="1380" w:bottom="280" w:left="1440" w:right="1080"/>
        </w:sectPr>
      </w:pPr>
    </w:p>
    <w:p>
      <w:pPr>
        <w:spacing w:line="240" w:lineRule="auto"/>
        <w:ind w:left="706" w:right="0" w:firstLine="0"/>
        <w:rPr>
          <w:sz w:val="20"/>
        </w:rPr>
      </w:pPr>
      <w:r>
        <w:rPr>
          <w:sz w:val="20"/>
        </w:rPr>
        <w:drawing>
          <wp:inline distT="0" distB="0" distL="0" distR="0">
            <wp:extent cx="5059174" cy="274281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059174" cy="2742819"/>
                    </a:xfrm>
                    <a:prstGeom prst="rect">
                      <a:avLst/>
                    </a:prstGeom>
                  </pic:spPr>
                </pic:pic>
              </a:graphicData>
            </a:graphic>
          </wp:inline>
        </w:drawing>
      </w:r>
      <w:r>
        <w:rPr>
          <w:sz w:val="20"/>
        </w:rPr>
      </w:r>
    </w:p>
    <w:p>
      <w:pPr>
        <w:pStyle w:val="BodyText"/>
        <w:spacing w:before="164"/>
        <w:rPr>
          <w:sz w:val="26"/>
        </w:rPr>
      </w:pPr>
    </w:p>
    <w:p>
      <w:pPr>
        <w:pStyle w:val="Heading3"/>
        <w:numPr>
          <w:ilvl w:val="1"/>
          <w:numId w:val="1"/>
        </w:numPr>
        <w:tabs>
          <w:tab w:pos="392" w:val="left" w:leader="none"/>
        </w:tabs>
        <w:spacing w:line="240" w:lineRule="auto" w:before="0" w:after="0"/>
        <w:ind w:left="392" w:right="0" w:hanging="392"/>
        <w:jc w:val="left"/>
      </w:pPr>
      <w:bookmarkStart w:name="2.2 Trend of complaints over the years" w:id="4"/>
      <w:bookmarkEnd w:id="4"/>
      <w:r>
        <w:rPr/>
      </w:r>
      <w:r>
        <w:rPr>
          <w:color w:val="2D74B5"/>
        </w:rPr>
        <w:t>Trend</w:t>
      </w:r>
      <w:r>
        <w:rPr>
          <w:color w:val="2D74B5"/>
          <w:spacing w:val="-6"/>
        </w:rPr>
        <w:t> </w:t>
      </w:r>
      <w:r>
        <w:rPr>
          <w:color w:val="2D74B5"/>
        </w:rPr>
        <w:t>of</w:t>
      </w:r>
      <w:r>
        <w:rPr>
          <w:color w:val="2D74B5"/>
          <w:spacing w:val="-6"/>
        </w:rPr>
        <w:t> </w:t>
      </w:r>
      <w:r>
        <w:rPr>
          <w:color w:val="2D74B5"/>
        </w:rPr>
        <w:t>complaints</w:t>
      </w:r>
      <w:r>
        <w:rPr>
          <w:color w:val="2D74B5"/>
          <w:spacing w:val="-6"/>
        </w:rPr>
        <w:t> </w:t>
      </w:r>
      <w:r>
        <w:rPr>
          <w:color w:val="2D74B5"/>
        </w:rPr>
        <w:t>over</w:t>
      </w:r>
      <w:r>
        <w:rPr>
          <w:color w:val="2D74B5"/>
          <w:spacing w:val="-6"/>
        </w:rPr>
        <w:t> </w:t>
      </w:r>
      <w:r>
        <w:rPr>
          <w:color w:val="2D74B5"/>
        </w:rPr>
        <w:t>the</w:t>
      </w:r>
      <w:r>
        <w:rPr>
          <w:color w:val="2D74B5"/>
          <w:spacing w:val="-6"/>
        </w:rPr>
        <w:t> </w:t>
      </w:r>
      <w:r>
        <w:rPr>
          <w:color w:val="2D74B5"/>
          <w:spacing w:val="-2"/>
        </w:rPr>
        <w:t>years</w:t>
      </w:r>
    </w:p>
    <w:p>
      <w:pPr>
        <w:pStyle w:val="BodyText"/>
        <w:spacing w:before="155"/>
      </w:pPr>
      <w:r>
        <w:rPr/>
        <w:t>Allstate's</w:t>
      </w:r>
      <w:r>
        <w:rPr>
          <w:spacing w:val="-7"/>
        </w:rPr>
        <w:t> </w:t>
      </w:r>
      <w:r>
        <w:rPr/>
        <w:t>complaint</w:t>
      </w:r>
      <w:r>
        <w:rPr>
          <w:spacing w:val="-2"/>
        </w:rPr>
        <w:t> </w:t>
      </w:r>
      <w:r>
        <w:rPr/>
        <w:t>volume</w:t>
      </w:r>
      <w:r>
        <w:rPr>
          <w:spacing w:val="-7"/>
        </w:rPr>
        <w:t> </w:t>
      </w:r>
      <w:r>
        <w:rPr/>
        <w:t>and</w:t>
      </w:r>
      <w:r>
        <w:rPr>
          <w:spacing w:val="-4"/>
        </w:rPr>
        <w:t> </w:t>
      </w:r>
      <w:r>
        <w:rPr/>
        <w:t>complaint</w:t>
      </w:r>
      <w:r>
        <w:rPr>
          <w:spacing w:val="-7"/>
        </w:rPr>
        <w:t> </w:t>
      </w:r>
      <w:r>
        <w:rPr/>
        <w:t>ratio</w:t>
      </w:r>
      <w:r>
        <w:rPr>
          <w:spacing w:val="-9"/>
        </w:rPr>
        <w:t> </w:t>
      </w:r>
      <w:r>
        <w:rPr/>
        <w:t>both fell</w:t>
      </w:r>
      <w:r>
        <w:rPr>
          <w:spacing w:val="-2"/>
        </w:rPr>
        <w:t> </w:t>
      </w:r>
      <w:r>
        <w:rPr/>
        <w:t>sharply</w:t>
      </w:r>
      <w:r>
        <w:rPr>
          <w:spacing w:val="-13"/>
        </w:rPr>
        <w:t> </w:t>
      </w:r>
      <w:r>
        <w:rPr/>
        <w:t>and</w:t>
      </w:r>
      <w:r>
        <w:rPr>
          <w:spacing w:val="-9"/>
        </w:rPr>
        <w:t> </w:t>
      </w:r>
      <w:r>
        <w:rPr/>
        <w:t>fairly</w:t>
      </w:r>
      <w:r>
        <w:rPr>
          <w:spacing w:val="-12"/>
        </w:rPr>
        <w:t> </w:t>
      </w:r>
      <w:r>
        <w:rPr/>
        <w:t>steadily</w:t>
      </w:r>
      <w:r>
        <w:rPr>
          <w:spacing w:val="-9"/>
        </w:rPr>
        <w:t> </w:t>
      </w:r>
      <w:r>
        <w:rPr/>
        <w:t>from</w:t>
      </w:r>
      <w:r>
        <w:rPr>
          <w:spacing w:val="-2"/>
        </w:rPr>
        <w:t> </w:t>
      </w:r>
      <w:r>
        <w:rPr/>
        <w:t>2009</w:t>
      </w:r>
      <w:r>
        <w:rPr>
          <w:spacing w:val="-9"/>
        </w:rPr>
        <w:t> </w:t>
      </w:r>
      <w:r>
        <w:rPr/>
        <w:t>to</w:t>
      </w:r>
      <w:r>
        <w:rPr>
          <w:spacing w:val="-8"/>
        </w:rPr>
        <w:t> </w:t>
      </w:r>
      <w:r>
        <w:rPr>
          <w:spacing w:val="-2"/>
        </w:rPr>
        <w:t>2015:</w:t>
      </w:r>
    </w:p>
    <w:p>
      <w:pPr>
        <w:pStyle w:val="BodyText"/>
        <w:spacing w:before="4"/>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1"/>
        <w:gridCol w:w="1147"/>
        <w:gridCol w:w="1253"/>
        <w:gridCol w:w="1248"/>
        <w:gridCol w:w="1253"/>
        <w:gridCol w:w="1551"/>
        <w:gridCol w:w="1210"/>
      </w:tblGrid>
      <w:tr>
        <w:trPr>
          <w:trHeight w:val="460" w:hRule="atLeast"/>
        </w:trPr>
        <w:tc>
          <w:tcPr>
            <w:tcW w:w="1661" w:type="dxa"/>
            <w:shd w:val="clear" w:color="auto" w:fill="1F3863"/>
          </w:tcPr>
          <w:p>
            <w:pPr>
              <w:pStyle w:val="TableParagraph"/>
              <w:spacing w:line="240" w:lineRule="auto"/>
              <w:rPr>
                <w:b/>
                <w:sz w:val="20"/>
              </w:rPr>
            </w:pPr>
            <w:r>
              <w:rPr>
                <w:b/>
                <w:color w:val="FFFFFF"/>
                <w:sz w:val="20"/>
              </w:rPr>
              <w:t>Filing</w:t>
            </w:r>
            <w:r>
              <w:rPr>
                <w:b/>
                <w:color w:val="FFFFFF"/>
                <w:spacing w:val="-8"/>
                <w:sz w:val="20"/>
              </w:rPr>
              <w:t> </w:t>
            </w:r>
            <w:r>
              <w:rPr>
                <w:b/>
                <w:color w:val="FFFFFF"/>
                <w:spacing w:val="-4"/>
                <w:sz w:val="20"/>
              </w:rPr>
              <w:t>Year</w:t>
            </w:r>
          </w:p>
        </w:tc>
        <w:tc>
          <w:tcPr>
            <w:tcW w:w="1147" w:type="dxa"/>
            <w:shd w:val="clear" w:color="auto" w:fill="1F3863"/>
          </w:tcPr>
          <w:p>
            <w:pPr>
              <w:pStyle w:val="TableParagraph"/>
              <w:spacing w:line="230" w:lineRule="exact"/>
              <w:ind w:right="246"/>
              <w:rPr>
                <w:b/>
                <w:sz w:val="20"/>
              </w:rPr>
            </w:pPr>
            <w:r>
              <w:rPr>
                <w:b/>
                <w:color w:val="FFFFFF"/>
                <w:spacing w:val="-2"/>
                <w:sz w:val="20"/>
              </w:rPr>
              <w:t>Premiums </w:t>
            </w:r>
            <w:r>
              <w:rPr>
                <w:b/>
                <w:color w:val="FFFFFF"/>
                <w:spacing w:val="-4"/>
                <w:sz w:val="20"/>
              </w:rPr>
              <w:t>($M)</w:t>
            </w:r>
          </w:p>
        </w:tc>
        <w:tc>
          <w:tcPr>
            <w:tcW w:w="1253" w:type="dxa"/>
            <w:shd w:val="clear" w:color="auto" w:fill="1F3863"/>
          </w:tcPr>
          <w:p>
            <w:pPr>
              <w:pStyle w:val="TableParagraph"/>
              <w:spacing w:line="240" w:lineRule="auto"/>
              <w:ind w:left="15"/>
              <w:rPr>
                <w:b/>
                <w:sz w:val="20"/>
              </w:rPr>
            </w:pPr>
            <w:r>
              <w:rPr>
                <w:b/>
                <w:color w:val="FFFFFF"/>
                <w:spacing w:val="-2"/>
                <w:sz w:val="20"/>
              </w:rPr>
              <w:t>Upheld</w:t>
            </w:r>
          </w:p>
        </w:tc>
        <w:tc>
          <w:tcPr>
            <w:tcW w:w="1248" w:type="dxa"/>
            <w:shd w:val="clear" w:color="auto" w:fill="1F3863"/>
          </w:tcPr>
          <w:p>
            <w:pPr>
              <w:pStyle w:val="TableParagraph"/>
              <w:spacing w:line="240" w:lineRule="auto"/>
              <w:ind w:left="10"/>
              <w:rPr>
                <w:b/>
                <w:sz w:val="20"/>
              </w:rPr>
            </w:pPr>
            <w:r>
              <w:rPr>
                <w:b/>
                <w:color w:val="FFFFFF"/>
                <w:sz w:val="20"/>
              </w:rPr>
              <w:t>Q.</w:t>
            </w:r>
            <w:r>
              <w:rPr>
                <w:b/>
                <w:color w:val="FFFFFF"/>
                <w:spacing w:val="-2"/>
                <w:sz w:val="20"/>
              </w:rPr>
              <w:t> </w:t>
            </w:r>
            <w:r>
              <w:rPr>
                <w:b/>
                <w:color w:val="FFFFFF"/>
                <w:sz w:val="20"/>
              </w:rPr>
              <w:t>of </w:t>
            </w:r>
            <w:r>
              <w:rPr>
                <w:b/>
                <w:color w:val="FFFFFF"/>
                <w:spacing w:val="-4"/>
                <w:sz w:val="20"/>
              </w:rPr>
              <w:t>Fact</w:t>
            </w:r>
          </w:p>
        </w:tc>
        <w:tc>
          <w:tcPr>
            <w:tcW w:w="1253" w:type="dxa"/>
            <w:shd w:val="clear" w:color="auto" w:fill="1F3863"/>
          </w:tcPr>
          <w:p>
            <w:pPr>
              <w:pStyle w:val="TableParagraph"/>
              <w:spacing w:line="240" w:lineRule="auto"/>
              <w:ind w:left="11"/>
              <w:rPr>
                <w:b/>
                <w:sz w:val="20"/>
              </w:rPr>
            </w:pPr>
            <w:r>
              <w:rPr>
                <w:b/>
                <w:color w:val="FFFFFF"/>
                <w:sz w:val="20"/>
              </w:rPr>
              <w:t>Not</w:t>
            </w:r>
            <w:r>
              <w:rPr>
                <w:b/>
                <w:color w:val="FFFFFF"/>
                <w:spacing w:val="-7"/>
                <w:sz w:val="20"/>
              </w:rPr>
              <w:t> </w:t>
            </w:r>
            <w:r>
              <w:rPr>
                <w:b/>
                <w:color w:val="FFFFFF"/>
                <w:spacing w:val="-2"/>
                <w:sz w:val="20"/>
              </w:rPr>
              <w:t>Upheld</w:t>
            </w:r>
          </w:p>
        </w:tc>
        <w:tc>
          <w:tcPr>
            <w:tcW w:w="1551" w:type="dxa"/>
            <w:shd w:val="clear" w:color="auto" w:fill="1F3863"/>
          </w:tcPr>
          <w:p>
            <w:pPr>
              <w:pStyle w:val="TableParagraph"/>
              <w:spacing w:line="240" w:lineRule="auto"/>
              <w:ind w:left="11"/>
              <w:rPr>
                <w:b/>
                <w:sz w:val="20"/>
              </w:rPr>
            </w:pPr>
            <w:r>
              <w:rPr>
                <w:b/>
                <w:color w:val="FFFFFF"/>
                <w:sz w:val="20"/>
              </w:rPr>
              <w:t>Total</w:t>
            </w:r>
            <w:r>
              <w:rPr>
                <w:b/>
                <w:color w:val="FFFFFF"/>
                <w:spacing w:val="-1"/>
                <w:sz w:val="20"/>
              </w:rPr>
              <w:t> </w:t>
            </w:r>
            <w:r>
              <w:rPr>
                <w:b/>
                <w:color w:val="FFFFFF"/>
                <w:spacing w:val="-2"/>
                <w:sz w:val="20"/>
              </w:rPr>
              <w:t>Complaints</w:t>
            </w:r>
          </w:p>
        </w:tc>
        <w:tc>
          <w:tcPr>
            <w:tcW w:w="1210" w:type="dxa"/>
            <w:shd w:val="clear" w:color="auto" w:fill="1F3863"/>
          </w:tcPr>
          <w:p>
            <w:pPr>
              <w:pStyle w:val="TableParagraph"/>
              <w:spacing w:line="240" w:lineRule="auto"/>
              <w:ind w:left="11"/>
              <w:rPr>
                <w:b/>
                <w:sz w:val="20"/>
              </w:rPr>
            </w:pPr>
            <w:r>
              <w:rPr>
                <w:b/>
                <w:color w:val="FFFFFF"/>
                <w:spacing w:val="-2"/>
                <w:sz w:val="20"/>
              </w:rPr>
              <w:t>Ratio</w:t>
            </w:r>
          </w:p>
        </w:tc>
      </w:tr>
      <w:tr>
        <w:trPr>
          <w:trHeight w:val="230" w:hRule="atLeast"/>
        </w:trPr>
        <w:tc>
          <w:tcPr>
            <w:tcW w:w="1661" w:type="dxa"/>
          </w:tcPr>
          <w:p>
            <w:pPr>
              <w:pStyle w:val="TableParagraph"/>
              <w:rPr>
                <w:sz w:val="20"/>
              </w:rPr>
            </w:pPr>
            <w:r>
              <w:rPr>
                <w:spacing w:val="-4"/>
                <w:sz w:val="20"/>
              </w:rPr>
              <w:t>2009</w:t>
            </w:r>
          </w:p>
        </w:tc>
        <w:tc>
          <w:tcPr>
            <w:tcW w:w="1147" w:type="dxa"/>
          </w:tcPr>
          <w:p>
            <w:pPr>
              <w:pStyle w:val="TableParagraph"/>
              <w:rPr>
                <w:sz w:val="20"/>
              </w:rPr>
            </w:pPr>
            <w:r>
              <w:rPr>
                <w:spacing w:val="-2"/>
                <w:sz w:val="20"/>
              </w:rPr>
              <w:t>1269.438</w:t>
            </w:r>
          </w:p>
        </w:tc>
        <w:tc>
          <w:tcPr>
            <w:tcW w:w="1253" w:type="dxa"/>
          </w:tcPr>
          <w:p>
            <w:pPr>
              <w:pStyle w:val="TableParagraph"/>
              <w:ind w:left="15"/>
              <w:rPr>
                <w:sz w:val="20"/>
              </w:rPr>
            </w:pPr>
            <w:r>
              <w:rPr>
                <w:spacing w:val="-5"/>
                <w:sz w:val="20"/>
              </w:rPr>
              <w:t>180</w:t>
            </w:r>
          </w:p>
        </w:tc>
        <w:tc>
          <w:tcPr>
            <w:tcW w:w="1248" w:type="dxa"/>
          </w:tcPr>
          <w:p>
            <w:pPr>
              <w:pStyle w:val="TableParagraph"/>
              <w:ind w:left="10"/>
              <w:rPr>
                <w:sz w:val="20"/>
              </w:rPr>
            </w:pPr>
            <w:r>
              <w:rPr>
                <w:spacing w:val="-5"/>
                <w:sz w:val="20"/>
              </w:rPr>
              <w:t>318</w:t>
            </w:r>
          </w:p>
        </w:tc>
        <w:tc>
          <w:tcPr>
            <w:tcW w:w="1253" w:type="dxa"/>
          </w:tcPr>
          <w:p>
            <w:pPr>
              <w:pStyle w:val="TableParagraph"/>
              <w:ind w:left="11"/>
              <w:rPr>
                <w:sz w:val="20"/>
              </w:rPr>
            </w:pPr>
            <w:r>
              <w:rPr>
                <w:spacing w:val="-5"/>
                <w:sz w:val="20"/>
              </w:rPr>
              <w:t>525</w:t>
            </w:r>
          </w:p>
        </w:tc>
        <w:tc>
          <w:tcPr>
            <w:tcW w:w="1551" w:type="dxa"/>
          </w:tcPr>
          <w:p>
            <w:pPr>
              <w:pStyle w:val="TableParagraph"/>
              <w:ind w:left="11"/>
              <w:rPr>
                <w:sz w:val="20"/>
              </w:rPr>
            </w:pPr>
            <w:r>
              <w:rPr>
                <w:spacing w:val="-4"/>
                <w:sz w:val="20"/>
              </w:rPr>
              <w:t>1023</w:t>
            </w:r>
          </w:p>
        </w:tc>
        <w:tc>
          <w:tcPr>
            <w:tcW w:w="1210" w:type="dxa"/>
          </w:tcPr>
          <w:p>
            <w:pPr>
              <w:pStyle w:val="TableParagraph"/>
              <w:ind w:left="11"/>
              <w:rPr>
                <w:sz w:val="20"/>
              </w:rPr>
            </w:pPr>
            <w:r>
              <w:rPr>
                <w:spacing w:val="-2"/>
                <w:sz w:val="20"/>
              </w:rPr>
              <w:t>0.1418</w:t>
            </w:r>
          </w:p>
        </w:tc>
      </w:tr>
      <w:tr>
        <w:trPr>
          <w:trHeight w:val="230" w:hRule="atLeast"/>
        </w:trPr>
        <w:tc>
          <w:tcPr>
            <w:tcW w:w="1661" w:type="dxa"/>
          </w:tcPr>
          <w:p>
            <w:pPr>
              <w:pStyle w:val="TableParagraph"/>
              <w:rPr>
                <w:sz w:val="20"/>
              </w:rPr>
            </w:pPr>
            <w:r>
              <w:rPr>
                <w:spacing w:val="-4"/>
                <w:sz w:val="20"/>
              </w:rPr>
              <w:t>2010</w:t>
            </w:r>
          </w:p>
        </w:tc>
        <w:tc>
          <w:tcPr>
            <w:tcW w:w="1147" w:type="dxa"/>
          </w:tcPr>
          <w:p>
            <w:pPr>
              <w:pStyle w:val="TableParagraph"/>
              <w:rPr>
                <w:sz w:val="20"/>
              </w:rPr>
            </w:pPr>
            <w:r>
              <w:rPr>
                <w:spacing w:val="-2"/>
                <w:sz w:val="20"/>
              </w:rPr>
              <w:t>1194.346</w:t>
            </w:r>
          </w:p>
        </w:tc>
        <w:tc>
          <w:tcPr>
            <w:tcW w:w="1253" w:type="dxa"/>
          </w:tcPr>
          <w:p>
            <w:pPr>
              <w:pStyle w:val="TableParagraph"/>
              <w:ind w:left="15"/>
              <w:rPr>
                <w:sz w:val="20"/>
              </w:rPr>
            </w:pPr>
            <w:r>
              <w:rPr>
                <w:spacing w:val="-5"/>
                <w:sz w:val="20"/>
              </w:rPr>
              <w:t>170</w:t>
            </w:r>
          </w:p>
        </w:tc>
        <w:tc>
          <w:tcPr>
            <w:tcW w:w="1248" w:type="dxa"/>
          </w:tcPr>
          <w:p>
            <w:pPr>
              <w:pStyle w:val="TableParagraph"/>
              <w:ind w:left="10"/>
              <w:rPr>
                <w:sz w:val="20"/>
              </w:rPr>
            </w:pPr>
            <w:r>
              <w:rPr>
                <w:spacing w:val="-5"/>
                <w:sz w:val="20"/>
              </w:rPr>
              <w:t>698</w:t>
            </w:r>
          </w:p>
        </w:tc>
        <w:tc>
          <w:tcPr>
            <w:tcW w:w="1253" w:type="dxa"/>
          </w:tcPr>
          <w:p>
            <w:pPr>
              <w:pStyle w:val="TableParagraph"/>
              <w:ind w:left="11"/>
              <w:rPr>
                <w:sz w:val="20"/>
              </w:rPr>
            </w:pPr>
            <w:r>
              <w:rPr>
                <w:spacing w:val="-5"/>
                <w:sz w:val="20"/>
              </w:rPr>
              <w:t>482</w:t>
            </w:r>
          </w:p>
        </w:tc>
        <w:tc>
          <w:tcPr>
            <w:tcW w:w="1551" w:type="dxa"/>
          </w:tcPr>
          <w:p>
            <w:pPr>
              <w:pStyle w:val="TableParagraph"/>
              <w:ind w:left="11"/>
              <w:rPr>
                <w:sz w:val="20"/>
              </w:rPr>
            </w:pPr>
            <w:r>
              <w:rPr>
                <w:spacing w:val="-4"/>
                <w:sz w:val="20"/>
              </w:rPr>
              <w:t>1350</w:t>
            </w:r>
          </w:p>
        </w:tc>
        <w:tc>
          <w:tcPr>
            <w:tcW w:w="1210" w:type="dxa"/>
          </w:tcPr>
          <w:p>
            <w:pPr>
              <w:pStyle w:val="TableParagraph"/>
              <w:ind w:left="11"/>
              <w:rPr>
                <w:sz w:val="20"/>
              </w:rPr>
            </w:pPr>
            <w:r>
              <w:rPr>
                <w:spacing w:val="-2"/>
                <w:sz w:val="20"/>
              </w:rPr>
              <w:t>0.1423</w:t>
            </w:r>
          </w:p>
        </w:tc>
      </w:tr>
      <w:tr>
        <w:trPr>
          <w:trHeight w:val="230" w:hRule="atLeast"/>
        </w:trPr>
        <w:tc>
          <w:tcPr>
            <w:tcW w:w="1661" w:type="dxa"/>
          </w:tcPr>
          <w:p>
            <w:pPr>
              <w:pStyle w:val="TableParagraph"/>
              <w:rPr>
                <w:sz w:val="20"/>
              </w:rPr>
            </w:pPr>
            <w:r>
              <w:rPr>
                <w:spacing w:val="-4"/>
                <w:sz w:val="20"/>
              </w:rPr>
              <w:t>2011</w:t>
            </w:r>
          </w:p>
        </w:tc>
        <w:tc>
          <w:tcPr>
            <w:tcW w:w="1147" w:type="dxa"/>
          </w:tcPr>
          <w:p>
            <w:pPr>
              <w:pStyle w:val="TableParagraph"/>
              <w:rPr>
                <w:sz w:val="20"/>
              </w:rPr>
            </w:pPr>
            <w:r>
              <w:rPr>
                <w:spacing w:val="-2"/>
                <w:sz w:val="20"/>
              </w:rPr>
              <w:t>1127.18</w:t>
            </w:r>
          </w:p>
        </w:tc>
        <w:tc>
          <w:tcPr>
            <w:tcW w:w="1253" w:type="dxa"/>
          </w:tcPr>
          <w:p>
            <w:pPr>
              <w:pStyle w:val="TableParagraph"/>
              <w:ind w:left="15"/>
              <w:rPr>
                <w:sz w:val="20"/>
              </w:rPr>
            </w:pPr>
            <w:r>
              <w:rPr>
                <w:spacing w:val="-5"/>
                <w:sz w:val="20"/>
              </w:rPr>
              <w:t>97</w:t>
            </w:r>
          </w:p>
        </w:tc>
        <w:tc>
          <w:tcPr>
            <w:tcW w:w="1248" w:type="dxa"/>
          </w:tcPr>
          <w:p>
            <w:pPr>
              <w:pStyle w:val="TableParagraph"/>
              <w:ind w:left="10"/>
              <w:rPr>
                <w:sz w:val="20"/>
              </w:rPr>
            </w:pPr>
            <w:r>
              <w:rPr>
                <w:spacing w:val="-5"/>
                <w:sz w:val="20"/>
              </w:rPr>
              <w:t>251</w:t>
            </w:r>
          </w:p>
        </w:tc>
        <w:tc>
          <w:tcPr>
            <w:tcW w:w="1253" w:type="dxa"/>
          </w:tcPr>
          <w:p>
            <w:pPr>
              <w:pStyle w:val="TableParagraph"/>
              <w:ind w:left="11"/>
              <w:rPr>
                <w:sz w:val="20"/>
              </w:rPr>
            </w:pPr>
            <w:r>
              <w:rPr>
                <w:spacing w:val="-5"/>
                <w:sz w:val="20"/>
              </w:rPr>
              <w:t>312</w:t>
            </w:r>
          </w:p>
        </w:tc>
        <w:tc>
          <w:tcPr>
            <w:tcW w:w="1551" w:type="dxa"/>
          </w:tcPr>
          <w:p>
            <w:pPr>
              <w:pStyle w:val="TableParagraph"/>
              <w:ind w:left="11"/>
              <w:rPr>
                <w:sz w:val="20"/>
              </w:rPr>
            </w:pPr>
            <w:r>
              <w:rPr>
                <w:spacing w:val="-5"/>
                <w:sz w:val="20"/>
              </w:rPr>
              <w:t>660</w:t>
            </w:r>
          </w:p>
        </w:tc>
        <w:tc>
          <w:tcPr>
            <w:tcW w:w="1210" w:type="dxa"/>
          </w:tcPr>
          <w:p>
            <w:pPr>
              <w:pStyle w:val="TableParagraph"/>
              <w:ind w:left="11"/>
              <w:rPr>
                <w:sz w:val="20"/>
              </w:rPr>
            </w:pPr>
            <w:r>
              <w:rPr>
                <w:spacing w:val="-2"/>
                <w:sz w:val="20"/>
              </w:rPr>
              <w:t>0.0861</w:t>
            </w:r>
          </w:p>
        </w:tc>
      </w:tr>
      <w:tr>
        <w:trPr>
          <w:trHeight w:val="230" w:hRule="atLeast"/>
        </w:trPr>
        <w:tc>
          <w:tcPr>
            <w:tcW w:w="1661" w:type="dxa"/>
          </w:tcPr>
          <w:p>
            <w:pPr>
              <w:pStyle w:val="TableParagraph"/>
              <w:rPr>
                <w:sz w:val="20"/>
              </w:rPr>
            </w:pPr>
            <w:r>
              <w:rPr>
                <w:spacing w:val="-4"/>
                <w:sz w:val="20"/>
              </w:rPr>
              <w:t>2012</w:t>
            </w:r>
          </w:p>
        </w:tc>
        <w:tc>
          <w:tcPr>
            <w:tcW w:w="1147" w:type="dxa"/>
          </w:tcPr>
          <w:p>
            <w:pPr>
              <w:pStyle w:val="TableParagraph"/>
              <w:rPr>
                <w:sz w:val="20"/>
              </w:rPr>
            </w:pPr>
            <w:r>
              <w:rPr>
                <w:spacing w:val="-2"/>
                <w:sz w:val="20"/>
              </w:rPr>
              <w:t>1047.68</w:t>
            </w:r>
          </w:p>
        </w:tc>
        <w:tc>
          <w:tcPr>
            <w:tcW w:w="1253" w:type="dxa"/>
          </w:tcPr>
          <w:p>
            <w:pPr>
              <w:pStyle w:val="TableParagraph"/>
              <w:ind w:left="15"/>
              <w:rPr>
                <w:sz w:val="20"/>
              </w:rPr>
            </w:pPr>
            <w:r>
              <w:rPr>
                <w:spacing w:val="-5"/>
                <w:sz w:val="20"/>
              </w:rPr>
              <w:t>116</w:t>
            </w:r>
          </w:p>
        </w:tc>
        <w:tc>
          <w:tcPr>
            <w:tcW w:w="1248" w:type="dxa"/>
          </w:tcPr>
          <w:p>
            <w:pPr>
              <w:pStyle w:val="TableParagraph"/>
              <w:ind w:left="10"/>
              <w:rPr>
                <w:sz w:val="20"/>
              </w:rPr>
            </w:pPr>
            <w:r>
              <w:rPr>
                <w:spacing w:val="-5"/>
                <w:sz w:val="20"/>
              </w:rPr>
              <w:t>203</w:t>
            </w:r>
          </w:p>
        </w:tc>
        <w:tc>
          <w:tcPr>
            <w:tcW w:w="1253" w:type="dxa"/>
          </w:tcPr>
          <w:p>
            <w:pPr>
              <w:pStyle w:val="TableParagraph"/>
              <w:ind w:left="11"/>
              <w:rPr>
                <w:sz w:val="20"/>
              </w:rPr>
            </w:pPr>
            <w:r>
              <w:rPr>
                <w:spacing w:val="-5"/>
                <w:sz w:val="20"/>
              </w:rPr>
              <w:t>297</w:t>
            </w:r>
          </w:p>
        </w:tc>
        <w:tc>
          <w:tcPr>
            <w:tcW w:w="1551" w:type="dxa"/>
          </w:tcPr>
          <w:p>
            <w:pPr>
              <w:pStyle w:val="TableParagraph"/>
              <w:ind w:left="11"/>
              <w:rPr>
                <w:sz w:val="20"/>
              </w:rPr>
            </w:pPr>
            <w:r>
              <w:rPr>
                <w:spacing w:val="-5"/>
                <w:sz w:val="20"/>
              </w:rPr>
              <w:t>616</w:t>
            </w:r>
          </w:p>
        </w:tc>
        <w:tc>
          <w:tcPr>
            <w:tcW w:w="1210" w:type="dxa"/>
          </w:tcPr>
          <w:p>
            <w:pPr>
              <w:pStyle w:val="TableParagraph"/>
              <w:ind w:left="11"/>
              <w:rPr>
                <w:sz w:val="20"/>
              </w:rPr>
            </w:pPr>
            <w:r>
              <w:rPr>
                <w:spacing w:val="-2"/>
                <w:sz w:val="20"/>
              </w:rPr>
              <w:t>0.1107</w:t>
            </w:r>
          </w:p>
        </w:tc>
      </w:tr>
      <w:tr>
        <w:trPr>
          <w:trHeight w:val="230" w:hRule="atLeast"/>
        </w:trPr>
        <w:tc>
          <w:tcPr>
            <w:tcW w:w="1661" w:type="dxa"/>
          </w:tcPr>
          <w:p>
            <w:pPr>
              <w:pStyle w:val="TableParagraph"/>
              <w:rPr>
                <w:sz w:val="20"/>
              </w:rPr>
            </w:pPr>
            <w:r>
              <w:rPr>
                <w:spacing w:val="-4"/>
                <w:sz w:val="20"/>
              </w:rPr>
              <w:t>2013</w:t>
            </w:r>
          </w:p>
        </w:tc>
        <w:tc>
          <w:tcPr>
            <w:tcW w:w="1147" w:type="dxa"/>
          </w:tcPr>
          <w:p>
            <w:pPr>
              <w:pStyle w:val="TableParagraph"/>
              <w:rPr>
                <w:sz w:val="20"/>
              </w:rPr>
            </w:pPr>
            <w:r>
              <w:rPr>
                <w:spacing w:val="-2"/>
                <w:sz w:val="20"/>
              </w:rPr>
              <w:t>952.202</w:t>
            </w:r>
          </w:p>
        </w:tc>
        <w:tc>
          <w:tcPr>
            <w:tcW w:w="1253" w:type="dxa"/>
          </w:tcPr>
          <w:p>
            <w:pPr>
              <w:pStyle w:val="TableParagraph"/>
              <w:ind w:left="15"/>
              <w:rPr>
                <w:sz w:val="20"/>
              </w:rPr>
            </w:pPr>
            <w:r>
              <w:rPr>
                <w:spacing w:val="-5"/>
                <w:sz w:val="20"/>
              </w:rPr>
              <w:t>75</w:t>
            </w:r>
          </w:p>
        </w:tc>
        <w:tc>
          <w:tcPr>
            <w:tcW w:w="1248" w:type="dxa"/>
          </w:tcPr>
          <w:p>
            <w:pPr>
              <w:pStyle w:val="TableParagraph"/>
              <w:ind w:left="10"/>
              <w:rPr>
                <w:sz w:val="20"/>
              </w:rPr>
            </w:pPr>
            <w:r>
              <w:rPr>
                <w:spacing w:val="-5"/>
                <w:sz w:val="20"/>
              </w:rPr>
              <w:t>100</w:t>
            </w:r>
          </w:p>
        </w:tc>
        <w:tc>
          <w:tcPr>
            <w:tcW w:w="1253" w:type="dxa"/>
          </w:tcPr>
          <w:p>
            <w:pPr>
              <w:pStyle w:val="TableParagraph"/>
              <w:ind w:left="11"/>
              <w:rPr>
                <w:sz w:val="20"/>
              </w:rPr>
            </w:pPr>
            <w:r>
              <w:rPr>
                <w:spacing w:val="-5"/>
                <w:sz w:val="20"/>
              </w:rPr>
              <w:t>188</w:t>
            </w:r>
          </w:p>
        </w:tc>
        <w:tc>
          <w:tcPr>
            <w:tcW w:w="1551" w:type="dxa"/>
          </w:tcPr>
          <w:p>
            <w:pPr>
              <w:pStyle w:val="TableParagraph"/>
              <w:ind w:left="11"/>
              <w:rPr>
                <w:sz w:val="20"/>
              </w:rPr>
            </w:pPr>
            <w:r>
              <w:rPr>
                <w:spacing w:val="-5"/>
                <w:sz w:val="20"/>
              </w:rPr>
              <w:t>363</w:t>
            </w:r>
          </w:p>
        </w:tc>
        <w:tc>
          <w:tcPr>
            <w:tcW w:w="1210" w:type="dxa"/>
          </w:tcPr>
          <w:p>
            <w:pPr>
              <w:pStyle w:val="TableParagraph"/>
              <w:ind w:left="11"/>
              <w:rPr>
                <w:sz w:val="20"/>
              </w:rPr>
            </w:pPr>
            <w:r>
              <w:rPr>
                <w:spacing w:val="-2"/>
                <w:sz w:val="20"/>
              </w:rPr>
              <w:t>0.0788</w:t>
            </w:r>
          </w:p>
        </w:tc>
      </w:tr>
      <w:tr>
        <w:trPr>
          <w:trHeight w:val="230" w:hRule="atLeast"/>
        </w:trPr>
        <w:tc>
          <w:tcPr>
            <w:tcW w:w="1661" w:type="dxa"/>
          </w:tcPr>
          <w:p>
            <w:pPr>
              <w:pStyle w:val="TableParagraph"/>
              <w:rPr>
                <w:sz w:val="20"/>
              </w:rPr>
            </w:pPr>
            <w:r>
              <w:rPr>
                <w:spacing w:val="-4"/>
                <w:sz w:val="20"/>
              </w:rPr>
              <w:t>2014</w:t>
            </w:r>
          </w:p>
        </w:tc>
        <w:tc>
          <w:tcPr>
            <w:tcW w:w="1147" w:type="dxa"/>
          </w:tcPr>
          <w:p>
            <w:pPr>
              <w:pStyle w:val="TableParagraph"/>
              <w:rPr>
                <w:sz w:val="20"/>
              </w:rPr>
            </w:pPr>
            <w:r>
              <w:rPr>
                <w:spacing w:val="-2"/>
                <w:sz w:val="20"/>
              </w:rPr>
              <w:t>865.759</w:t>
            </w:r>
          </w:p>
        </w:tc>
        <w:tc>
          <w:tcPr>
            <w:tcW w:w="1253" w:type="dxa"/>
          </w:tcPr>
          <w:p>
            <w:pPr>
              <w:pStyle w:val="TableParagraph"/>
              <w:ind w:left="15"/>
              <w:rPr>
                <w:sz w:val="20"/>
              </w:rPr>
            </w:pPr>
            <w:r>
              <w:rPr>
                <w:spacing w:val="-5"/>
                <w:sz w:val="20"/>
              </w:rPr>
              <w:t>76</w:t>
            </w:r>
          </w:p>
        </w:tc>
        <w:tc>
          <w:tcPr>
            <w:tcW w:w="1248" w:type="dxa"/>
          </w:tcPr>
          <w:p>
            <w:pPr>
              <w:pStyle w:val="TableParagraph"/>
              <w:ind w:left="10"/>
              <w:rPr>
                <w:sz w:val="20"/>
              </w:rPr>
            </w:pPr>
            <w:r>
              <w:rPr>
                <w:spacing w:val="-5"/>
                <w:sz w:val="20"/>
              </w:rPr>
              <w:t>136</w:t>
            </w:r>
          </w:p>
        </w:tc>
        <w:tc>
          <w:tcPr>
            <w:tcW w:w="1253" w:type="dxa"/>
          </w:tcPr>
          <w:p>
            <w:pPr>
              <w:pStyle w:val="TableParagraph"/>
              <w:ind w:left="11"/>
              <w:rPr>
                <w:sz w:val="20"/>
              </w:rPr>
            </w:pPr>
            <w:r>
              <w:rPr>
                <w:spacing w:val="-5"/>
                <w:sz w:val="20"/>
              </w:rPr>
              <w:t>251</w:t>
            </w:r>
          </w:p>
        </w:tc>
        <w:tc>
          <w:tcPr>
            <w:tcW w:w="1551" w:type="dxa"/>
          </w:tcPr>
          <w:p>
            <w:pPr>
              <w:pStyle w:val="TableParagraph"/>
              <w:ind w:left="11"/>
              <w:rPr>
                <w:sz w:val="20"/>
              </w:rPr>
            </w:pPr>
            <w:r>
              <w:rPr>
                <w:spacing w:val="-5"/>
                <w:sz w:val="20"/>
              </w:rPr>
              <w:t>463</w:t>
            </w:r>
          </w:p>
        </w:tc>
        <w:tc>
          <w:tcPr>
            <w:tcW w:w="1210" w:type="dxa"/>
          </w:tcPr>
          <w:p>
            <w:pPr>
              <w:pStyle w:val="TableParagraph"/>
              <w:ind w:left="11"/>
              <w:rPr>
                <w:sz w:val="20"/>
              </w:rPr>
            </w:pPr>
            <w:r>
              <w:rPr>
                <w:spacing w:val="-2"/>
                <w:sz w:val="20"/>
              </w:rPr>
              <w:t>0.0878</w:t>
            </w:r>
          </w:p>
        </w:tc>
      </w:tr>
      <w:tr>
        <w:trPr>
          <w:trHeight w:val="230" w:hRule="atLeast"/>
        </w:trPr>
        <w:tc>
          <w:tcPr>
            <w:tcW w:w="1661" w:type="dxa"/>
          </w:tcPr>
          <w:p>
            <w:pPr>
              <w:pStyle w:val="TableParagraph"/>
              <w:rPr>
                <w:sz w:val="20"/>
              </w:rPr>
            </w:pPr>
            <w:r>
              <w:rPr>
                <w:spacing w:val="-4"/>
                <w:sz w:val="20"/>
              </w:rPr>
              <w:t>2015</w:t>
            </w:r>
          </w:p>
        </w:tc>
        <w:tc>
          <w:tcPr>
            <w:tcW w:w="1147" w:type="dxa"/>
          </w:tcPr>
          <w:p>
            <w:pPr>
              <w:pStyle w:val="TableParagraph"/>
              <w:rPr>
                <w:sz w:val="20"/>
              </w:rPr>
            </w:pPr>
            <w:r>
              <w:rPr>
                <w:spacing w:val="-2"/>
                <w:sz w:val="20"/>
              </w:rPr>
              <w:t>747.431</w:t>
            </w:r>
          </w:p>
        </w:tc>
        <w:tc>
          <w:tcPr>
            <w:tcW w:w="1253" w:type="dxa"/>
          </w:tcPr>
          <w:p>
            <w:pPr>
              <w:pStyle w:val="TableParagraph"/>
              <w:ind w:left="15"/>
              <w:rPr>
                <w:sz w:val="20"/>
              </w:rPr>
            </w:pPr>
            <w:r>
              <w:rPr>
                <w:spacing w:val="-5"/>
                <w:sz w:val="20"/>
              </w:rPr>
              <w:t>23</w:t>
            </w:r>
          </w:p>
        </w:tc>
        <w:tc>
          <w:tcPr>
            <w:tcW w:w="1248" w:type="dxa"/>
          </w:tcPr>
          <w:p>
            <w:pPr>
              <w:pStyle w:val="TableParagraph"/>
              <w:ind w:left="10"/>
              <w:rPr>
                <w:sz w:val="20"/>
              </w:rPr>
            </w:pPr>
            <w:r>
              <w:rPr>
                <w:spacing w:val="-5"/>
                <w:sz w:val="20"/>
              </w:rPr>
              <w:t>91</w:t>
            </w:r>
          </w:p>
        </w:tc>
        <w:tc>
          <w:tcPr>
            <w:tcW w:w="1253" w:type="dxa"/>
          </w:tcPr>
          <w:p>
            <w:pPr>
              <w:pStyle w:val="TableParagraph"/>
              <w:ind w:left="11"/>
              <w:rPr>
                <w:sz w:val="20"/>
              </w:rPr>
            </w:pPr>
            <w:r>
              <w:rPr>
                <w:spacing w:val="-5"/>
                <w:sz w:val="20"/>
              </w:rPr>
              <w:t>123</w:t>
            </w:r>
          </w:p>
        </w:tc>
        <w:tc>
          <w:tcPr>
            <w:tcW w:w="1551" w:type="dxa"/>
          </w:tcPr>
          <w:p>
            <w:pPr>
              <w:pStyle w:val="TableParagraph"/>
              <w:ind w:left="11"/>
              <w:rPr>
                <w:sz w:val="20"/>
              </w:rPr>
            </w:pPr>
            <w:r>
              <w:rPr>
                <w:spacing w:val="-5"/>
                <w:sz w:val="20"/>
              </w:rPr>
              <w:t>237</w:t>
            </w:r>
          </w:p>
        </w:tc>
        <w:tc>
          <w:tcPr>
            <w:tcW w:w="1210" w:type="dxa"/>
          </w:tcPr>
          <w:p>
            <w:pPr>
              <w:pStyle w:val="TableParagraph"/>
              <w:ind w:left="11"/>
              <w:rPr>
                <w:sz w:val="20"/>
              </w:rPr>
            </w:pPr>
            <w:r>
              <w:rPr>
                <w:spacing w:val="-2"/>
                <w:sz w:val="20"/>
              </w:rPr>
              <w:t>0.0308</w:t>
            </w:r>
          </w:p>
        </w:tc>
      </w:tr>
    </w:tbl>
    <w:p>
      <w:pPr>
        <w:pStyle w:val="TableParagraph"/>
        <w:spacing w:after="0"/>
        <w:rPr>
          <w:sz w:val="20"/>
        </w:rPr>
        <w:sectPr>
          <w:pgSz w:w="12240" w:h="15840"/>
          <w:pgMar w:top="1600" w:bottom="280" w:left="1440" w:right="1080"/>
        </w:sectPr>
      </w:pPr>
    </w:p>
    <w:p>
      <w:pPr>
        <w:spacing w:line="240" w:lineRule="auto"/>
        <w:ind w:left="706" w:right="0" w:firstLine="0"/>
        <w:rPr>
          <w:sz w:val="20"/>
        </w:rPr>
      </w:pPr>
      <w:r>
        <w:rPr>
          <w:sz w:val="20"/>
        </w:rPr>
        <w:drawing>
          <wp:inline distT="0" distB="0" distL="0" distR="0">
            <wp:extent cx="5050155" cy="278663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50155" cy="2786633"/>
                    </a:xfrm>
                    <a:prstGeom prst="rect">
                      <a:avLst/>
                    </a:prstGeom>
                  </pic:spPr>
                </pic:pic>
              </a:graphicData>
            </a:graphic>
          </wp:inline>
        </w:drawing>
      </w:r>
      <w:r>
        <w:rPr>
          <w:sz w:val="20"/>
        </w:rPr>
      </w:r>
    </w:p>
    <w:p>
      <w:pPr>
        <w:pStyle w:val="BodyText"/>
        <w:spacing w:before="126"/>
      </w:pPr>
    </w:p>
    <w:p>
      <w:pPr>
        <w:pStyle w:val="ListParagraph"/>
        <w:numPr>
          <w:ilvl w:val="2"/>
          <w:numId w:val="1"/>
        </w:numPr>
        <w:tabs>
          <w:tab w:pos="720" w:val="left" w:leader="none"/>
        </w:tabs>
        <w:spacing w:line="240" w:lineRule="auto" w:before="0" w:after="0"/>
        <w:ind w:left="720" w:right="0" w:hanging="360"/>
        <w:jc w:val="left"/>
        <w:rPr>
          <w:sz w:val="20"/>
        </w:rPr>
      </w:pPr>
      <w:r>
        <w:rPr>
          <w:sz w:val="20"/>
        </w:rPr>
        <w:t>Total</w:t>
      </w:r>
      <w:r>
        <w:rPr>
          <w:spacing w:val="-7"/>
          <w:sz w:val="20"/>
        </w:rPr>
        <w:t> </w:t>
      </w:r>
      <w:r>
        <w:rPr>
          <w:sz w:val="20"/>
        </w:rPr>
        <w:t>complaints</w:t>
      </w:r>
      <w:r>
        <w:rPr>
          <w:spacing w:val="-3"/>
          <w:sz w:val="20"/>
        </w:rPr>
        <w:t> </w:t>
      </w:r>
      <w:r>
        <w:rPr>
          <w:sz w:val="20"/>
        </w:rPr>
        <w:t>fell</w:t>
      </w:r>
      <w:r>
        <w:rPr>
          <w:spacing w:val="-5"/>
          <w:sz w:val="20"/>
        </w:rPr>
        <w:t> </w:t>
      </w:r>
      <w:r>
        <w:rPr>
          <w:sz w:val="20"/>
        </w:rPr>
        <w:t>76.8%,</w:t>
      </w:r>
      <w:r>
        <w:rPr>
          <w:spacing w:val="-4"/>
          <w:sz w:val="20"/>
        </w:rPr>
        <w:t> </w:t>
      </w:r>
      <w:r>
        <w:rPr>
          <w:sz w:val="20"/>
        </w:rPr>
        <w:t>from</w:t>
      </w:r>
      <w:r>
        <w:rPr>
          <w:spacing w:val="-5"/>
          <w:sz w:val="20"/>
        </w:rPr>
        <w:t> </w:t>
      </w:r>
      <w:r>
        <w:rPr>
          <w:sz w:val="20"/>
        </w:rPr>
        <w:t>1,023</w:t>
      </w:r>
      <w:r>
        <w:rPr>
          <w:spacing w:val="-7"/>
          <w:sz w:val="20"/>
        </w:rPr>
        <w:t> </w:t>
      </w:r>
      <w:r>
        <w:rPr>
          <w:sz w:val="20"/>
        </w:rPr>
        <w:t>in</w:t>
      </w:r>
      <w:r>
        <w:rPr>
          <w:spacing w:val="-2"/>
          <w:sz w:val="20"/>
        </w:rPr>
        <w:t> </w:t>
      </w:r>
      <w:r>
        <w:rPr>
          <w:sz w:val="20"/>
        </w:rPr>
        <w:t>2009</w:t>
      </w:r>
      <w:r>
        <w:rPr>
          <w:spacing w:val="-7"/>
          <w:sz w:val="20"/>
        </w:rPr>
        <w:t> </w:t>
      </w:r>
      <w:r>
        <w:rPr>
          <w:sz w:val="20"/>
        </w:rPr>
        <w:t>to</w:t>
      </w:r>
      <w:r>
        <w:rPr>
          <w:spacing w:val="-7"/>
          <w:sz w:val="20"/>
        </w:rPr>
        <w:t> </w:t>
      </w:r>
      <w:r>
        <w:rPr>
          <w:sz w:val="20"/>
        </w:rPr>
        <w:t>237</w:t>
      </w:r>
      <w:r>
        <w:rPr>
          <w:spacing w:val="-6"/>
          <w:sz w:val="20"/>
        </w:rPr>
        <w:t> </w:t>
      </w:r>
      <w:r>
        <w:rPr>
          <w:sz w:val="20"/>
        </w:rPr>
        <w:t>in</w:t>
      </w:r>
      <w:r>
        <w:rPr>
          <w:spacing w:val="-2"/>
          <w:sz w:val="20"/>
        </w:rPr>
        <w:t> 2015.</w:t>
      </w:r>
    </w:p>
    <w:p>
      <w:pPr>
        <w:pStyle w:val="ListParagraph"/>
        <w:numPr>
          <w:ilvl w:val="2"/>
          <w:numId w:val="1"/>
        </w:numPr>
        <w:tabs>
          <w:tab w:pos="720" w:val="left" w:leader="none"/>
        </w:tabs>
        <w:spacing w:line="240" w:lineRule="auto" w:before="82" w:after="0"/>
        <w:ind w:left="720" w:right="0" w:hanging="360"/>
        <w:jc w:val="left"/>
        <w:rPr>
          <w:sz w:val="20"/>
        </w:rPr>
      </w:pPr>
      <w:r>
        <w:rPr>
          <w:sz w:val="20"/>
        </w:rPr>
        <w:t>The</w:t>
      </w:r>
      <w:r>
        <w:rPr>
          <w:spacing w:val="-8"/>
          <w:sz w:val="20"/>
        </w:rPr>
        <w:t> </w:t>
      </w:r>
      <w:r>
        <w:rPr>
          <w:sz w:val="20"/>
        </w:rPr>
        <w:t>complaint</w:t>
      </w:r>
      <w:r>
        <w:rPr>
          <w:spacing w:val="-11"/>
          <w:sz w:val="20"/>
        </w:rPr>
        <w:t> </w:t>
      </w:r>
      <w:r>
        <w:rPr>
          <w:sz w:val="20"/>
        </w:rPr>
        <w:t>ratio</w:t>
      </w:r>
      <w:r>
        <w:rPr>
          <w:spacing w:val="-9"/>
          <w:sz w:val="20"/>
        </w:rPr>
        <w:t> </w:t>
      </w:r>
      <w:r>
        <w:rPr>
          <w:sz w:val="20"/>
        </w:rPr>
        <w:t>(upheld</w:t>
      </w:r>
      <w:r>
        <w:rPr>
          <w:spacing w:val="-4"/>
          <w:sz w:val="20"/>
        </w:rPr>
        <w:t> </w:t>
      </w:r>
      <w:r>
        <w:rPr>
          <w:sz w:val="20"/>
        </w:rPr>
        <w:t>complaints</w:t>
      </w:r>
      <w:r>
        <w:rPr>
          <w:spacing w:val="-5"/>
          <w:sz w:val="20"/>
        </w:rPr>
        <w:t> </w:t>
      </w:r>
      <w:r>
        <w:rPr>
          <w:sz w:val="20"/>
        </w:rPr>
        <w:t>per</w:t>
      </w:r>
      <w:r>
        <w:rPr>
          <w:spacing w:val="-5"/>
          <w:sz w:val="20"/>
        </w:rPr>
        <w:t> </w:t>
      </w:r>
      <w:r>
        <w:rPr>
          <w:sz w:val="20"/>
        </w:rPr>
        <w:t>premium</w:t>
      </w:r>
      <w:r>
        <w:rPr>
          <w:spacing w:val="-7"/>
          <w:sz w:val="20"/>
        </w:rPr>
        <w:t> </w:t>
      </w:r>
      <w:r>
        <w:rPr>
          <w:sz w:val="20"/>
        </w:rPr>
        <w:t>dollar)</w:t>
      </w:r>
      <w:r>
        <w:rPr>
          <w:spacing w:val="-8"/>
          <w:sz w:val="20"/>
        </w:rPr>
        <w:t> </w:t>
      </w:r>
      <w:r>
        <w:rPr>
          <w:sz w:val="20"/>
        </w:rPr>
        <w:t>fell</w:t>
      </w:r>
      <w:r>
        <w:rPr>
          <w:spacing w:val="-2"/>
          <w:sz w:val="20"/>
        </w:rPr>
        <w:t> </w:t>
      </w:r>
      <w:r>
        <w:rPr>
          <w:sz w:val="20"/>
        </w:rPr>
        <w:t>78.3%,</w:t>
      </w:r>
      <w:r>
        <w:rPr>
          <w:spacing w:val="-6"/>
          <w:sz w:val="20"/>
        </w:rPr>
        <w:t> </w:t>
      </w:r>
      <w:r>
        <w:rPr>
          <w:sz w:val="20"/>
        </w:rPr>
        <w:t>from</w:t>
      </w:r>
      <w:r>
        <w:rPr>
          <w:spacing w:val="-3"/>
          <w:sz w:val="20"/>
        </w:rPr>
        <w:t> </w:t>
      </w:r>
      <w:r>
        <w:rPr>
          <w:sz w:val="20"/>
        </w:rPr>
        <w:t>0.1418</w:t>
      </w:r>
      <w:r>
        <w:rPr>
          <w:spacing w:val="-9"/>
          <w:sz w:val="20"/>
        </w:rPr>
        <w:t> </w:t>
      </w:r>
      <w:r>
        <w:rPr>
          <w:sz w:val="20"/>
        </w:rPr>
        <w:t>to</w:t>
      </w:r>
      <w:r>
        <w:rPr>
          <w:spacing w:val="-8"/>
          <w:sz w:val="20"/>
        </w:rPr>
        <w:t> </w:t>
      </w:r>
      <w:r>
        <w:rPr>
          <w:spacing w:val="-2"/>
          <w:sz w:val="20"/>
        </w:rPr>
        <w:t>0.0308.</w:t>
      </w:r>
    </w:p>
    <w:p>
      <w:pPr>
        <w:pStyle w:val="ListParagraph"/>
        <w:numPr>
          <w:ilvl w:val="2"/>
          <w:numId w:val="1"/>
        </w:numPr>
        <w:tabs>
          <w:tab w:pos="721" w:val="left" w:leader="none"/>
        </w:tabs>
        <w:spacing w:line="240" w:lineRule="auto" w:before="78" w:after="0"/>
        <w:ind w:left="721" w:right="372" w:hanging="361"/>
        <w:jc w:val="left"/>
        <w:rPr>
          <w:sz w:val="20"/>
        </w:rPr>
      </w:pPr>
      <w:r>
        <w:rPr>
          <w:sz w:val="20"/>
        </w:rPr>
        <w:t>2010</w:t>
      </w:r>
      <w:r>
        <w:rPr>
          <w:spacing w:val="-1"/>
          <w:sz w:val="20"/>
        </w:rPr>
        <w:t> </w:t>
      </w:r>
      <w:r>
        <w:rPr>
          <w:sz w:val="20"/>
        </w:rPr>
        <w:t>was</w:t>
      </w:r>
      <w:r>
        <w:rPr>
          <w:spacing w:val="-2"/>
          <w:sz w:val="20"/>
        </w:rPr>
        <w:t> </w:t>
      </w:r>
      <w:r>
        <w:rPr>
          <w:sz w:val="20"/>
        </w:rPr>
        <w:t>the</w:t>
      </w:r>
      <w:r>
        <w:rPr>
          <w:spacing w:val="-9"/>
          <w:sz w:val="20"/>
        </w:rPr>
        <w:t> </w:t>
      </w:r>
      <w:r>
        <w:rPr>
          <w:sz w:val="20"/>
        </w:rPr>
        <w:t>worst year</w:t>
      </w:r>
      <w:r>
        <w:rPr>
          <w:spacing w:val="-1"/>
          <w:sz w:val="20"/>
        </w:rPr>
        <w:t> </w:t>
      </w:r>
      <w:r>
        <w:rPr>
          <w:sz w:val="20"/>
        </w:rPr>
        <w:t>(1,350</w:t>
      </w:r>
      <w:r>
        <w:rPr>
          <w:spacing w:val="-6"/>
          <w:sz w:val="20"/>
        </w:rPr>
        <w:t> </w:t>
      </w:r>
      <w:r>
        <w:rPr>
          <w:sz w:val="20"/>
        </w:rPr>
        <w:t>complaints,</w:t>
      </w:r>
      <w:r>
        <w:rPr>
          <w:spacing w:val="-8"/>
          <w:sz w:val="20"/>
        </w:rPr>
        <w:t> </w:t>
      </w:r>
      <w:r>
        <w:rPr>
          <w:sz w:val="20"/>
        </w:rPr>
        <w:t>ratio</w:t>
      </w:r>
      <w:r>
        <w:rPr>
          <w:spacing w:val="-6"/>
          <w:sz w:val="20"/>
        </w:rPr>
        <w:t> </w:t>
      </w:r>
      <w:r>
        <w:rPr>
          <w:sz w:val="20"/>
        </w:rPr>
        <w:t>0.1423),</w:t>
      </w:r>
      <w:r>
        <w:rPr>
          <w:spacing w:val="-3"/>
          <w:sz w:val="20"/>
        </w:rPr>
        <w:t> </w:t>
      </w:r>
      <w:r>
        <w:rPr>
          <w:sz w:val="20"/>
        </w:rPr>
        <w:t>coinciding</w:t>
      </w:r>
      <w:r>
        <w:rPr>
          <w:spacing w:val="-6"/>
          <w:sz w:val="20"/>
        </w:rPr>
        <w:t> </w:t>
      </w:r>
      <w:r>
        <w:rPr>
          <w:sz w:val="20"/>
        </w:rPr>
        <w:t>with</w:t>
      </w:r>
      <w:r>
        <w:rPr>
          <w:spacing w:val="-1"/>
          <w:sz w:val="20"/>
        </w:rPr>
        <w:t> </w:t>
      </w:r>
      <w:r>
        <w:rPr>
          <w:sz w:val="20"/>
        </w:rPr>
        <w:t>a</w:t>
      </w:r>
      <w:r>
        <w:rPr>
          <w:spacing w:val="-4"/>
          <w:sz w:val="20"/>
        </w:rPr>
        <w:t> </w:t>
      </w:r>
      <w:r>
        <w:rPr>
          <w:sz w:val="20"/>
        </w:rPr>
        <w:t>spike</w:t>
      </w:r>
      <w:r>
        <w:rPr>
          <w:spacing w:val="-9"/>
          <w:sz w:val="20"/>
        </w:rPr>
        <w:t> </w:t>
      </w:r>
      <w:r>
        <w:rPr>
          <w:sz w:val="20"/>
        </w:rPr>
        <w:t>in Question-of-Fact cases (698, more than double any other year) — consistent with a</w:t>
      </w:r>
      <w:r>
        <w:rPr>
          <w:spacing w:val="-2"/>
          <w:sz w:val="20"/>
        </w:rPr>
        <w:t> </w:t>
      </w:r>
      <w:r>
        <w:rPr>
          <w:sz w:val="20"/>
        </w:rPr>
        <w:t>period of disputed claims handling, likely</w:t>
      </w:r>
      <w:r>
        <w:rPr>
          <w:spacing w:val="-4"/>
          <w:sz w:val="20"/>
        </w:rPr>
        <w:t> </w:t>
      </w:r>
      <w:r>
        <w:rPr>
          <w:sz w:val="20"/>
        </w:rPr>
        <w:t>tied to broader no-fault claims volatility in the NY market in that period.</w:t>
      </w:r>
    </w:p>
    <w:p>
      <w:pPr>
        <w:pStyle w:val="ListParagraph"/>
        <w:numPr>
          <w:ilvl w:val="2"/>
          <w:numId w:val="1"/>
        </w:numPr>
        <w:tabs>
          <w:tab w:pos="721" w:val="left" w:leader="none"/>
        </w:tabs>
        <w:spacing w:line="240" w:lineRule="auto" w:before="83" w:after="0"/>
        <w:ind w:left="721" w:right="542" w:hanging="361"/>
        <w:jc w:val="left"/>
        <w:rPr>
          <w:sz w:val="20"/>
        </w:rPr>
      </w:pPr>
      <w:r>
        <w:rPr>
          <w:sz w:val="20"/>
        </w:rPr>
        <w:t>From 2011</w:t>
      </w:r>
      <w:r>
        <w:rPr>
          <w:spacing w:val="-4"/>
          <w:sz w:val="20"/>
        </w:rPr>
        <w:t> </w:t>
      </w:r>
      <w:r>
        <w:rPr>
          <w:sz w:val="20"/>
        </w:rPr>
        <w:t>onward</w:t>
      </w:r>
      <w:r>
        <w:rPr>
          <w:spacing w:val="-4"/>
          <w:sz w:val="20"/>
        </w:rPr>
        <w:t> </w:t>
      </w:r>
      <w:r>
        <w:rPr>
          <w:sz w:val="20"/>
        </w:rPr>
        <w:t>the</w:t>
      </w:r>
      <w:r>
        <w:rPr>
          <w:spacing w:val="-2"/>
          <w:sz w:val="20"/>
        </w:rPr>
        <w:t> </w:t>
      </w:r>
      <w:r>
        <w:rPr>
          <w:sz w:val="20"/>
        </w:rPr>
        <w:t>decline</w:t>
      </w:r>
      <w:r>
        <w:rPr>
          <w:spacing w:val="-7"/>
          <w:sz w:val="20"/>
        </w:rPr>
        <w:t> </w:t>
      </w:r>
      <w:r>
        <w:rPr>
          <w:sz w:val="20"/>
        </w:rPr>
        <w:t>is fairly</w:t>
      </w:r>
      <w:r>
        <w:rPr>
          <w:spacing w:val="-9"/>
          <w:sz w:val="20"/>
        </w:rPr>
        <w:t> </w:t>
      </w:r>
      <w:r>
        <w:rPr>
          <w:sz w:val="20"/>
        </w:rPr>
        <w:t>consistent,</w:t>
      </w:r>
      <w:r>
        <w:rPr>
          <w:spacing w:val="-1"/>
          <w:sz w:val="20"/>
        </w:rPr>
        <w:t> </w:t>
      </w:r>
      <w:r>
        <w:rPr>
          <w:sz w:val="20"/>
        </w:rPr>
        <w:t>with a</w:t>
      </w:r>
      <w:r>
        <w:rPr>
          <w:spacing w:val="-2"/>
          <w:sz w:val="20"/>
        </w:rPr>
        <w:t> </w:t>
      </w:r>
      <w:r>
        <w:rPr>
          <w:sz w:val="20"/>
        </w:rPr>
        <w:t>temporary</w:t>
      </w:r>
      <w:r>
        <w:rPr>
          <w:spacing w:val="-9"/>
          <w:sz w:val="20"/>
        </w:rPr>
        <w:t> </w:t>
      </w:r>
      <w:r>
        <w:rPr>
          <w:sz w:val="20"/>
        </w:rPr>
        <w:t>uptick in 2012 (616</w:t>
      </w:r>
      <w:r>
        <w:rPr>
          <w:spacing w:val="-4"/>
          <w:sz w:val="20"/>
        </w:rPr>
        <w:t> </w:t>
      </w:r>
      <w:r>
        <w:rPr>
          <w:sz w:val="20"/>
        </w:rPr>
        <w:t>complaints,</w:t>
      </w:r>
      <w:r>
        <w:rPr>
          <w:spacing w:val="-6"/>
          <w:sz w:val="20"/>
        </w:rPr>
        <w:t> </w:t>
      </w:r>
      <w:r>
        <w:rPr>
          <w:sz w:val="20"/>
        </w:rPr>
        <w:t>ratio 0.1107) before resuming its decline.</w:t>
      </w:r>
    </w:p>
    <w:p>
      <w:pPr>
        <w:pStyle w:val="ListParagraph"/>
        <w:numPr>
          <w:ilvl w:val="2"/>
          <w:numId w:val="1"/>
        </w:numPr>
        <w:tabs>
          <w:tab w:pos="721" w:val="left" w:leader="none"/>
        </w:tabs>
        <w:spacing w:line="240" w:lineRule="auto" w:before="78" w:after="0"/>
        <w:ind w:left="721" w:right="527" w:hanging="361"/>
        <w:jc w:val="left"/>
        <w:rPr>
          <w:sz w:val="20"/>
        </w:rPr>
      </w:pPr>
      <w:r>
        <w:rPr>
          <w:sz w:val="20"/>
        </w:rPr>
        <w:t>DFS's own comparative rank for Allstate</w:t>
      </w:r>
      <w:r>
        <w:rPr>
          <w:spacing w:val="-2"/>
          <w:sz w:val="20"/>
        </w:rPr>
        <w:t> </w:t>
      </w:r>
      <w:r>
        <w:rPr>
          <w:sz w:val="20"/>
        </w:rPr>
        <w:t>moved only</w:t>
      </w:r>
      <w:r>
        <w:rPr>
          <w:spacing w:val="-4"/>
          <w:sz w:val="20"/>
        </w:rPr>
        <w:t> </w:t>
      </w:r>
      <w:r>
        <w:rPr>
          <w:sz w:val="20"/>
        </w:rPr>
        <w:t>slightly</w:t>
      </w:r>
      <w:r>
        <w:rPr>
          <w:spacing w:val="-4"/>
          <w:sz w:val="20"/>
        </w:rPr>
        <w:t> </w:t>
      </w:r>
      <w:r>
        <w:rPr>
          <w:sz w:val="20"/>
        </w:rPr>
        <w:t>(119th in 2009 to 115th in 2015 among all filers),</w:t>
      </w:r>
      <w:r>
        <w:rPr>
          <w:spacing w:val="-4"/>
          <w:sz w:val="20"/>
        </w:rPr>
        <w:t> </w:t>
      </w:r>
      <w:r>
        <w:rPr>
          <w:sz w:val="20"/>
        </w:rPr>
        <w:t>which shows</w:t>
      </w:r>
      <w:r>
        <w:rPr>
          <w:spacing w:val="-3"/>
          <w:sz w:val="20"/>
        </w:rPr>
        <w:t> </w:t>
      </w:r>
      <w:r>
        <w:rPr>
          <w:sz w:val="20"/>
        </w:rPr>
        <w:t>peer insurers</w:t>
      </w:r>
      <w:r>
        <w:rPr>
          <w:spacing w:val="-3"/>
          <w:sz w:val="20"/>
        </w:rPr>
        <w:t> </w:t>
      </w:r>
      <w:r>
        <w:rPr>
          <w:sz w:val="20"/>
        </w:rPr>
        <w:t>were</w:t>
      </w:r>
      <w:r>
        <w:rPr>
          <w:spacing w:val="-9"/>
          <w:sz w:val="20"/>
        </w:rPr>
        <w:t> </w:t>
      </w:r>
      <w:r>
        <w:rPr>
          <w:sz w:val="20"/>
        </w:rPr>
        <w:t>improving</w:t>
      </w:r>
      <w:r>
        <w:rPr>
          <w:spacing w:val="-6"/>
          <w:sz w:val="20"/>
        </w:rPr>
        <w:t> </w:t>
      </w:r>
      <w:r>
        <w:rPr>
          <w:sz w:val="20"/>
        </w:rPr>
        <w:t>their</w:t>
      </w:r>
      <w:r>
        <w:rPr>
          <w:spacing w:val="-2"/>
          <w:sz w:val="20"/>
        </w:rPr>
        <w:t> </w:t>
      </w:r>
      <w:r>
        <w:rPr>
          <w:sz w:val="20"/>
        </w:rPr>
        <w:t>ratios</w:t>
      </w:r>
      <w:r>
        <w:rPr>
          <w:spacing w:val="-3"/>
          <w:sz w:val="20"/>
        </w:rPr>
        <w:t> </w:t>
      </w:r>
      <w:r>
        <w:rPr>
          <w:sz w:val="20"/>
        </w:rPr>
        <w:t>over the</w:t>
      </w:r>
      <w:r>
        <w:rPr>
          <w:spacing w:val="-9"/>
          <w:sz w:val="20"/>
        </w:rPr>
        <w:t> </w:t>
      </w:r>
      <w:r>
        <w:rPr>
          <w:sz w:val="20"/>
        </w:rPr>
        <w:t>same</w:t>
      </w:r>
      <w:r>
        <w:rPr>
          <w:spacing w:val="-5"/>
          <w:sz w:val="20"/>
        </w:rPr>
        <w:t> </w:t>
      </w:r>
      <w:r>
        <w:rPr>
          <w:sz w:val="20"/>
        </w:rPr>
        <w:t>period</w:t>
      </w:r>
      <w:r>
        <w:rPr>
          <w:spacing w:val="-2"/>
          <w:sz w:val="20"/>
        </w:rPr>
        <w:t> </w:t>
      </w:r>
      <w:r>
        <w:rPr>
          <w:sz w:val="20"/>
        </w:rPr>
        <w:t>too —</w:t>
      </w:r>
      <w:r>
        <w:rPr>
          <w:spacing w:val="-2"/>
          <w:sz w:val="20"/>
        </w:rPr>
        <w:t> </w:t>
      </w:r>
      <w:r>
        <w:rPr>
          <w:sz w:val="20"/>
        </w:rPr>
        <w:t>Allstate's</w:t>
      </w:r>
      <w:r>
        <w:rPr>
          <w:spacing w:val="-3"/>
          <w:sz w:val="20"/>
        </w:rPr>
        <w:t> </w:t>
      </w:r>
      <w:r>
        <w:rPr>
          <w:sz w:val="20"/>
        </w:rPr>
        <w:t>gains were roughly in line with, not dramatically ahead of, the broader market.</w:t>
      </w:r>
    </w:p>
    <w:p>
      <w:pPr>
        <w:pStyle w:val="BodyText"/>
        <w:spacing w:before="70"/>
      </w:pPr>
    </w:p>
    <w:p>
      <w:pPr>
        <w:pStyle w:val="Heading3"/>
        <w:numPr>
          <w:ilvl w:val="1"/>
          <w:numId w:val="1"/>
        </w:numPr>
        <w:tabs>
          <w:tab w:pos="392" w:val="left" w:leader="none"/>
        </w:tabs>
        <w:spacing w:line="240" w:lineRule="auto" w:before="0" w:after="0"/>
        <w:ind w:left="392" w:right="0" w:hanging="392"/>
        <w:jc w:val="left"/>
      </w:pPr>
      <w:bookmarkStart w:name="2.3 Improvement recommendation" w:id="5"/>
      <w:bookmarkEnd w:id="5"/>
      <w:r>
        <w:rPr/>
      </w:r>
      <w:r>
        <w:rPr>
          <w:color w:val="2D74B5"/>
          <w:spacing w:val="-2"/>
        </w:rPr>
        <w:t>Improvement</w:t>
      </w:r>
      <w:r>
        <w:rPr>
          <w:color w:val="2D74B5"/>
          <w:spacing w:val="-1"/>
        </w:rPr>
        <w:t> </w:t>
      </w:r>
      <w:r>
        <w:rPr>
          <w:color w:val="2D74B5"/>
          <w:spacing w:val="-2"/>
        </w:rPr>
        <w:t>recommendation</w:t>
      </w:r>
    </w:p>
    <w:p>
      <w:pPr>
        <w:pStyle w:val="BodyText"/>
        <w:spacing w:before="151"/>
        <w:ind w:right="359"/>
      </w:pPr>
      <w:r>
        <w:rPr/>
        <w:t>Allstate Insurance Company is the suggested candidate for</w:t>
      </w:r>
      <w:r>
        <w:rPr>
          <w:spacing w:val="19"/>
        </w:rPr>
        <w:t> </w:t>
      </w:r>
      <w:r>
        <w:rPr/>
        <w:t>further improvement, notwithstanding its strong multi-year downward trend, for two reasons: (1) its Upheld and Question-of-Fact complaint shares remain above the industry average even after the improvement, and (2) among the five benchmarked companies its 2015 complaint ratio (0.0308) is roughly 3x GEICO General's (0.0109) and more than 3x Progressive Casualty's (0.0092) on a comparable</w:t>
      </w:r>
      <w:r>
        <w:rPr>
          <w:spacing w:val="-3"/>
        </w:rPr>
        <w:t> </w:t>
      </w:r>
      <w:r>
        <w:rPr/>
        <w:t>premium base.</w:t>
      </w:r>
      <w:r>
        <w:rPr>
          <w:spacing w:val="-2"/>
        </w:rPr>
        <w:t> </w:t>
      </w:r>
      <w:r>
        <w:rPr/>
        <w:t>Priority</w:t>
      </w:r>
      <w:r>
        <w:rPr>
          <w:spacing w:val="-9"/>
        </w:rPr>
        <w:t> </w:t>
      </w:r>
      <w:r>
        <w:rPr/>
        <w:t>areas</w:t>
      </w:r>
      <w:r>
        <w:rPr>
          <w:spacing w:val="-1"/>
        </w:rPr>
        <w:t> </w:t>
      </w:r>
      <w:r>
        <w:rPr/>
        <w:t>suggested by</w:t>
      </w:r>
      <w:r>
        <w:rPr>
          <w:spacing w:val="-9"/>
        </w:rPr>
        <w:t> </w:t>
      </w:r>
      <w:r>
        <w:rPr/>
        <w:t>the</w:t>
      </w:r>
      <w:r>
        <w:rPr>
          <w:spacing w:val="-3"/>
        </w:rPr>
        <w:t> </w:t>
      </w:r>
      <w:r>
        <w:rPr/>
        <w:t>data:</w:t>
      </w:r>
      <w:r>
        <w:rPr>
          <w:spacing w:val="-7"/>
        </w:rPr>
        <w:t> </w:t>
      </w:r>
      <w:r>
        <w:rPr/>
        <w:t>reducing</w:t>
      </w:r>
      <w:r>
        <w:rPr>
          <w:spacing w:val="-5"/>
        </w:rPr>
        <w:t> </w:t>
      </w:r>
      <w:r>
        <w:rPr/>
        <w:t>Question-of-Fact volume</w:t>
      </w:r>
      <w:r>
        <w:rPr>
          <w:spacing w:val="-3"/>
        </w:rPr>
        <w:t> </w:t>
      </w:r>
      <w:r>
        <w:rPr/>
        <w:t>(Allstate's</w:t>
      </w:r>
      <w:r>
        <w:rPr>
          <w:spacing w:val="-5"/>
        </w:rPr>
        <w:t> </w:t>
      </w:r>
      <w:r>
        <w:rPr/>
        <w:t>largest complaint category, and its biggest gap versus the market) through clearer claims documentation and faster</w:t>
      </w:r>
      <w:r>
        <w:rPr/>
        <w:t> resolution of no-fault disputes, which historically</w:t>
      </w:r>
      <w:r>
        <w:rPr>
          <w:spacing w:val="-2"/>
        </w:rPr>
        <w:t> </w:t>
      </w:r>
      <w:r>
        <w:rPr/>
        <w:t>has been the leading driver of ambiguous complaint outcomes in NY auto claims.</w:t>
      </w:r>
    </w:p>
    <w:p>
      <w:pPr>
        <w:pStyle w:val="BodyText"/>
        <w:spacing w:after="0"/>
        <w:sectPr>
          <w:pgSz w:w="12240" w:h="15840"/>
          <w:pgMar w:top="1540" w:bottom="280" w:left="1440" w:right="1080"/>
        </w:sectPr>
      </w:pPr>
    </w:p>
    <w:p>
      <w:pPr>
        <w:pStyle w:val="Heading2"/>
        <w:numPr>
          <w:ilvl w:val="0"/>
          <w:numId w:val="1"/>
        </w:numPr>
        <w:tabs>
          <w:tab w:pos="324" w:val="left" w:leader="none"/>
        </w:tabs>
        <w:spacing w:line="240" w:lineRule="auto" w:before="74" w:after="0"/>
        <w:ind w:left="324" w:right="0" w:hanging="324"/>
        <w:jc w:val="left"/>
      </w:pPr>
      <w:bookmarkStart w:name="3. Progress of Premiums Over Time and Li" w:id="6"/>
      <w:bookmarkEnd w:id="6"/>
      <w:r>
        <w:rPr/>
      </w:r>
      <w:r>
        <w:rPr>
          <w:color w:val="2D74B5"/>
        </w:rPr>
        <w:t>Progress</w:t>
      </w:r>
      <w:r>
        <w:rPr>
          <w:color w:val="2D74B5"/>
          <w:spacing w:val="-9"/>
        </w:rPr>
        <w:t> </w:t>
      </w:r>
      <w:r>
        <w:rPr>
          <w:color w:val="2D74B5"/>
        </w:rPr>
        <w:t>of</w:t>
      </w:r>
      <w:r>
        <w:rPr>
          <w:color w:val="2D74B5"/>
          <w:spacing w:val="-8"/>
        </w:rPr>
        <w:t> </w:t>
      </w:r>
      <w:r>
        <w:rPr>
          <w:color w:val="2D74B5"/>
        </w:rPr>
        <w:t>Premiums</w:t>
      </w:r>
      <w:r>
        <w:rPr>
          <w:color w:val="2D74B5"/>
          <w:spacing w:val="-7"/>
        </w:rPr>
        <w:t> </w:t>
      </w:r>
      <w:r>
        <w:rPr>
          <w:color w:val="2D74B5"/>
        </w:rPr>
        <w:t>Over</w:t>
      </w:r>
      <w:r>
        <w:rPr>
          <w:color w:val="2D74B5"/>
          <w:spacing w:val="-8"/>
        </w:rPr>
        <w:t> </w:t>
      </w:r>
      <w:r>
        <w:rPr>
          <w:color w:val="2D74B5"/>
        </w:rPr>
        <w:t>Time</w:t>
      </w:r>
      <w:r>
        <w:rPr>
          <w:color w:val="2D74B5"/>
          <w:spacing w:val="-10"/>
        </w:rPr>
        <w:t> </w:t>
      </w:r>
      <w:r>
        <w:rPr>
          <w:color w:val="2D74B5"/>
        </w:rPr>
        <w:t>and</w:t>
      </w:r>
      <w:r>
        <w:rPr>
          <w:color w:val="2D74B5"/>
          <w:spacing w:val="-8"/>
        </w:rPr>
        <w:t> </w:t>
      </w:r>
      <w:r>
        <w:rPr>
          <w:color w:val="2D74B5"/>
        </w:rPr>
        <w:t>Likely</w:t>
      </w:r>
      <w:r>
        <w:rPr>
          <w:color w:val="2D74B5"/>
          <w:spacing w:val="-12"/>
        </w:rPr>
        <w:t> </w:t>
      </w:r>
      <w:r>
        <w:rPr>
          <w:color w:val="2D74B5"/>
          <w:spacing w:val="-2"/>
        </w:rPr>
        <w:t>Causes</w:t>
      </w:r>
    </w:p>
    <w:p>
      <w:pPr>
        <w:pStyle w:val="BodyText"/>
        <w:spacing w:before="67"/>
      </w:pPr>
      <w:r>
        <w:rPr/>
        <w:drawing>
          <wp:anchor distT="0" distB="0" distL="0" distR="0" allowOverlap="1" layoutInCell="1" locked="0" behindDoc="1" simplePos="0" relativeHeight="487587840">
            <wp:simplePos x="0" y="0"/>
            <wp:positionH relativeFrom="page">
              <wp:posOffset>1362868</wp:posOffset>
            </wp:positionH>
            <wp:positionV relativeFrom="paragraph">
              <wp:posOffset>204311</wp:posOffset>
            </wp:positionV>
            <wp:extent cx="5059610" cy="274281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059610" cy="2742819"/>
                    </a:xfrm>
                    <a:prstGeom prst="rect">
                      <a:avLst/>
                    </a:prstGeom>
                  </pic:spPr>
                </pic:pic>
              </a:graphicData>
            </a:graphic>
          </wp:anchor>
        </w:drawing>
      </w:r>
    </w:p>
    <w:p>
      <w:pPr>
        <w:pStyle w:val="BodyText"/>
        <w:spacing w:before="361"/>
      </w:pPr>
      <w:r>
        <w:rPr/>
        <w:t>Allstate's</w:t>
      </w:r>
      <w:r>
        <w:rPr>
          <w:spacing w:val="-5"/>
        </w:rPr>
        <w:t> </w:t>
      </w:r>
      <w:r>
        <w:rPr/>
        <w:t>NY</w:t>
      </w:r>
      <w:r>
        <w:rPr>
          <w:spacing w:val="-9"/>
        </w:rPr>
        <w:t> </w:t>
      </w:r>
      <w:r>
        <w:rPr/>
        <w:t>premiums</w:t>
      </w:r>
      <w:r>
        <w:rPr>
          <w:spacing w:val="-9"/>
        </w:rPr>
        <w:t> </w:t>
      </w:r>
      <w:r>
        <w:rPr/>
        <w:t>written fell</w:t>
      </w:r>
      <w:r>
        <w:rPr>
          <w:spacing w:val="-2"/>
        </w:rPr>
        <w:t> </w:t>
      </w:r>
      <w:r>
        <w:rPr/>
        <w:t>steadily</w:t>
      </w:r>
      <w:r>
        <w:rPr>
          <w:spacing w:val="-12"/>
        </w:rPr>
        <w:t> </w:t>
      </w:r>
      <w:r>
        <w:rPr/>
        <w:t>every</w:t>
      </w:r>
      <w:r>
        <w:rPr>
          <w:spacing w:val="-8"/>
        </w:rPr>
        <w:t> </w:t>
      </w:r>
      <w:r>
        <w:rPr/>
        <w:t>year</w:t>
      </w:r>
      <w:r>
        <w:rPr>
          <w:spacing w:val="-4"/>
        </w:rPr>
        <w:t> </w:t>
      </w:r>
      <w:r>
        <w:rPr/>
        <w:t>in</w:t>
      </w:r>
      <w:r>
        <w:rPr>
          <w:spacing w:val="-4"/>
        </w:rPr>
        <w:t> </w:t>
      </w:r>
      <w:r>
        <w:rPr/>
        <w:t>the</w:t>
      </w:r>
      <w:r>
        <w:rPr>
          <w:spacing w:val="-6"/>
        </w:rPr>
        <w:t> </w:t>
      </w:r>
      <w:r>
        <w:rPr/>
        <w:t>dataset,</w:t>
      </w:r>
      <w:r>
        <w:rPr>
          <w:spacing w:val="-6"/>
        </w:rPr>
        <w:t> </w:t>
      </w:r>
      <w:r>
        <w:rPr/>
        <w:t>from</w:t>
      </w:r>
      <w:r>
        <w:rPr>
          <w:spacing w:val="-2"/>
        </w:rPr>
        <w:t> </w:t>
      </w:r>
      <w:r>
        <w:rPr/>
        <w:t>$1,269.4M</w:t>
      </w:r>
      <w:r>
        <w:rPr>
          <w:spacing w:val="-9"/>
        </w:rPr>
        <w:t> </w:t>
      </w:r>
      <w:r>
        <w:rPr/>
        <w:t>in</w:t>
      </w:r>
      <w:r>
        <w:rPr>
          <w:spacing w:val="-3"/>
        </w:rPr>
        <w:t> </w:t>
      </w:r>
      <w:r>
        <w:rPr/>
        <w:t>2009</w:t>
      </w:r>
      <w:r>
        <w:rPr>
          <w:spacing w:val="-9"/>
        </w:rPr>
        <w:t> </w:t>
      </w:r>
      <w:r>
        <w:rPr/>
        <w:t>to</w:t>
      </w:r>
      <w:r>
        <w:rPr>
          <w:spacing w:val="-8"/>
        </w:rPr>
        <w:t> </w:t>
      </w:r>
      <w:r>
        <w:rPr/>
        <w:t>$747.4M</w:t>
      </w:r>
      <w:r>
        <w:rPr>
          <w:spacing w:val="-9"/>
        </w:rPr>
        <w:t> </w:t>
      </w:r>
      <w:r>
        <w:rPr/>
        <w:t>in</w:t>
      </w:r>
      <w:r>
        <w:rPr>
          <w:spacing w:val="-3"/>
        </w:rPr>
        <w:t> </w:t>
      </w:r>
      <w:r>
        <w:rPr>
          <w:spacing w:val="-4"/>
        </w:rPr>
        <w:t>2015</w:t>
      </w:r>
    </w:p>
    <w:p>
      <w:pPr>
        <w:pStyle w:val="BodyText"/>
        <w:ind w:right="381"/>
      </w:pPr>
      <w:r>
        <w:rPr/>
        <w:t>—</w:t>
      </w:r>
      <w:r>
        <w:rPr>
          <w:spacing w:val="-1"/>
        </w:rPr>
        <w:t> </w:t>
      </w:r>
      <w:r>
        <w:rPr/>
        <w:t>a</w:t>
      </w:r>
      <w:r>
        <w:rPr>
          <w:spacing w:val="-4"/>
        </w:rPr>
        <w:t> </w:t>
      </w:r>
      <w:r>
        <w:rPr/>
        <w:t>41.1%</w:t>
      </w:r>
      <w:r>
        <w:rPr>
          <w:spacing w:val="-6"/>
        </w:rPr>
        <w:t> </w:t>
      </w:r>
      <w:r>
        <w:rPr/>
        <w:t>decline,</w:t>
      </w:r>
      <w:r>
        <w:rPr>
          <w:spacing w:val="-3"/>
        </w:rPr>
        <w:t> </w:t>
      </w:r>
      <w:r>
        <w:rPr/>
        <w:t>even as</w:t>
      </w:r>
      <w:r>
        <w:rPr>
          <w:spacing w:val="-7"/>
        </w:rPr>
        <w:t> </w:t>
      </w:r>
      <w:r>
        <w:rPr/>
        <w:t>the</w:t>
      </w:r>
      <w:r>
        <w:rPr>
          <w:spacing w:val="-9"/>
        </w:rPr>
        <w:t> </w:t>
      </w:r>
      <w:r>
        <w:rPr/>
        <w:t>number</w:t>
      </w:r>
      <w:r>
        <w:rPr>
          <w:spacing w:val="-1"/>
        </w:rPr>
        <w:t> </w:t>
      </w:r>
      <w:r>
        <w:rPr/>
        <w:t>of</w:t>
      </w:r>
      <w:r>
        <w:rPr>
          <w:spacing w:val="-6"/>
        </w:rPr>
        <w:t> </w:t>
      </w:r>
      <w:r>
        <w:rPr/>
        <w:t>policies</w:t>
      </w:r>
      <w:r>
        <w:rPr>
          <w:spacing w:val="-2"/>
        </w:rPr>
        <w:t> </w:t>
      </w:r>
      <w:r>
        <w:rPr/>
        <w:t>implied</w:t>
      </w:r>
      <w:r>
        <w:rPr>
          <w:spacing w:val="-1"/>
        </w:rPr>
        <w:t> </w:t>
      </w:r>
      <w:r>
        <w:rPr/>
        <w:t>by</w:t>
      </w:r>
      <w:r>
        <w:rPr>
          <w:spacing w:val="-6"/>
        </w:rPr>
        <w:t> </w:t>
      </w:r>
      <w:r>
        <w:rPr/>
        <w:t>complaint</w:t>
      </w:r>
      <w:r>
        <w:rPr>
          <w:spacing w:val="-4"/>
        </w:rPr>
        <w:t> </w:t>
      </w:r>
      <w:r>
        <w:rPr/>
        <w:t>volume</w:t>
      </w:r>
      <w:r>
        <w:rPr>
          <w:spacing w:val="-4"/>
        </w:rPr>
        <w:t> </w:t>
      </w:r>
      <w:r>
        <w:rPr/>
        <w:t>fell faster</w:t>
      </w:r>
      <w:r>
        <w:rPr>
          <w:spacing w:val="-1"/>
        </w:rPr>
        <w:t> </w:t>
      </w:r>
      <w:r>
        <w:rPr/>
        <w:t>still</w:t>
      </w:r>
      <w:r>
        <w:rPr>
          <w:spacing w:val="-4"/>
        </w:rPr>
        <w:t> </w:t>
      </w:r>
      <w:r>
        <w:rPr/>
        <w:t>(76.8%), which</w:t>
      </w:r>
      <w:r>
        <w:rPr>
          <w:spacing w:val="-1"/>
        </w:rPr>
        <w:t> </w:t>
      </w:r>
      <w:r>
        <w:rPr/>
        <w:t>is why the complaint ratio improved.</w:t>
      </w:r>
    </w:p>
    <w:p>
      <w:pPr>
        <w:pStyle w:val="BodyText"/>
        <w:spacing w:before="70"/>
      </w:pPr>
    </w:p>
    <w:p>
      <w:pPr>
        <w:pStyle w:val="Heading3"/>
        <w:numPr>
          <w:ilvl w:val="1"/>
          <w:numId w:val="1"/>
        </w:numPr>
        <w:tabs>
          <w:tab w:pos="392" w:val="left" w:leader="none"/>
        </w:tabs>
        <w:spacing w:line="240" w:lineRule="auto" w:before="1" w:after="0"/>
        <w:ind w:left="392" w:right="0" w:hanging="392"/>
        <w:jc w:val="left"/>
      </w:pPr>
      <w:bookmarkStart w:name="3.1 Likely contributing factors" w:id="7"/>
      <w:bookmarkEnd w:id="7"/>
      <w:r>
        <w:rPr/>
      </w:r>
      <w:r>
        <w:rPr>
          <w:color w:val="2D74B5"/>
        </w:rPr>
        <w:t>Likely</w:t>
      </w:r>
      <w:r>
        <w:rPr>
          <w:color w:val="2D74B5"/>
          <w:spacing w:val="-11"/>
        </w:rPr>
        <w:t> </w:t>
      </w:r>
      <w:r>
        <w:rPr>
          <w:color w:val="2D74B5"/>
        </w:rPr>
        <w:t>contributing</w:t>
      </w:r>
      <w:r>
        <w:rPr>
          <w:color w:val="2D74B5"/>
          <w:spacing w:val="-14"/>
        </w:rPr>
        <w:t> </w:t>
      </w:r>
      <w:r>
        <w:rPr>
          <w:color w:val="2D74B5"/>
          <w:spacing w:val="-2"/>
        </w:rPr>
        <w:t>factors</w:t>
      </w:r>
    </w:p>
    <w:p>
      <w:pPr>
        <w:pStyle w:val="ListParagraph"/>
        <w:numPr>
          <w:ilvl w:val="2"/>
          <w:numId w:val="1"/>
        </w:numPr>
        <w:tabs>
          <w:tab w:pos="721" w:val="left" w:leader="none"/>
        </w:tabs>
        <w:spacing w:line="240" w:lineRule="auto" w:before="150" w:after="0"/>
        <w:ind w:left="721" w:right="366" w:hanging="361"/>
        <w:jc w:val="left"/>
        <w:rPr>
          <w:sz w:val="20"/>
        </w:rPr>
      </w:pPr>
      <w:r>
        <w:rPr>
          <w:sz w:val="20"/>
        </w:rPr>
        <w:t>Claims</w:t>
      </w:r>
      <w:r>
        <w:rPr>
          <w:spacing w:val="-7"/>
          <w:sz w:val="20"/>
        </w:rPr>
        <w:t> </w:t>
      </w:r>
      <w:r>
        <w:rPr>
          <w:sz w:val="20"/>
        </w:rPr>
        <w:t>frequency</w:t>
      </w:r>
      <w:r>
        <w:rPr>
          <w:spacing w:val="-11"/>
          <w:sz w:val="20"/>
        </w:rPr>
        <w:t> </w:t>
      </w:r>
      <w:r>
        <w:rPr>
          <w:sz w:val="20"/>
        </w:rPr>
        <w:t>/</w:t>
      </w:r>
      <w:r>
        <w:rPr>
          <w:spacing w:val="-4"/>
          <w:sz w:val="20"/>
        </w:rPr>
        <w:t> </w:t>
      </w:r>
      <w:r>
        <w:rPr>
          <w:sz w:val="20"/>
        </w:rPr>
        <w:t>no-fault dynamics:</w:t>
      </w:r>
      <w:r>
        <w:rPr>
          <w:spacing w:val="-4"/>
          <w:sz w:val="20"/>
        </w:rPr>
        <w:t> </w:t>
      </w:r>
      <w:r>
        <w:rPr>
          <w:sz w:val="20"/>
        </w:rPr>
        <w:t>the</w:t>
      </w:r>
      <w:r>
        <w:rPr>
          <w:spacing w:val="-4"/>
          <w:sz w:val="20"/>
        </w:rPr>
        <w:t> </w:t>
      </w:r>
      <w:r>
        <w:rPr>
          <w:sz w:val="20"/>
        </w:rPr>
        <w:t>sharp</w:t>
      </w:r>
      <w:r>
        <w:rPr>
          <w:spacing w:val="-6"/>
          <w:sz w:val="20"/>
        </w:rPr>
        <w:t> </w:t>
      </w:r>
      <w:r>
        <w:rPr>
          <w:sz w:val="20"/>
        </w:rPr>
        <w:t>2009–2010</w:t>
      </w:r>
      <w:r>
        <w:rPr>
          <w:spacing w:val="-10"/>
          <w:sz w:val="20"/>
        </w:rPr>
        <w:t> </w:t>
      </w:r>
      <w:r>
        <w:rPr>
          <w:sz w:val="20"/>
        </w:rPr>
        <w:t>spike</w:t>
      </w:r>
      <w:r>
        <w:rPr>
          <w:spacing w:val="-4"/>
          <w:sz w:val="20"/>
        </w:rPr>
        <w:t> </w:t>
      </w:r>
      <w:r>
        <w:rPr>
          <w:sz w:val="20"/>
        </w:rPr>
        <w:t>in</w:t>
      </w:r>
      <w:r>
        <w:rPr>
          <w:spacing w:val="-1"/>
          <w:sz w:val="20"/>
        </w:rPr>
        <w:t> </w:t>
      </w:r>
      <w:r>
        <w:rPr>
          <w:sz w:val="20"/>
        </w:rPr>
        <w:t>Question-of-Fact complaints, followed by a steady decline, tracks the broader wave of no-fault claim disputes and fraud-related litigation that affected the NY auto market in the early</w:t>
      </w:r>
      <w:r>
        <w:rPr>
          <w:spacing w:val="-3"/>
          <w:sz w:val="20"/>
        </w:rPr>
        <w:t> </w:t>
      </w:r>
      <w:r>
        <w:rPr>
          <w:sz w:val="20"/>
        </w:rPr>
        <w:t>2010s; as that wave subsided, both complaints and (likely) loss costs eased.</w:t>
      </w:r>
    </w:p>
    <w:p>
      <w:pPr>
        <w:pStyle w:val="ListParagraph"/>
        <w:numPr>
          <w:ilvl w:val="2"/>
          <w:numId w:val="1"/>
        </w:numPr>
        <w:tabs>
          <w:tab w:pos="721" w:val="left" w:leader="none"/>
        </w:tabs>
        <w:spacing w:line="240" w:lineRule="auto" w:before="79" w:after="0"/>
        <w:ind w:left="721" w:right="768" w:hanging="361"/>
        <w:jc w:val="left"/>
        <w:rPr>
          <w:sz w:val="20"/>
        </w:rPr>
      </w:pPr>
      <w:r>
        <w:rPr>
          <w:sz w:val="20"/>
        </w:rPr>
        <w:t>Regulatory</w:t>
      </w:r>
      <w:r>
        <w:rPr>
          <w:spacing w:val="-3"/>
          <w:sz w:val="20"/>
        </w:rPr>
        <w:t> </w:t>
      </w:r>
      <w:r>
        <w:rPr>
          <w:sz w:val="20"/>
        </w:rPr>
        <w:t>changes: NY tightened no-fault claims-handling and anti-fraud</w:t>
      </w:r>
      <w:r>
        <w:rPr>
          <w:spacing w:val="-2"/>
          <w:sz w:val="20"/>
        </w:rPr>
        <w:t> </w:t>
      </w:r>
      <w:r>
        <w:rPr>
          <w:sz w:val="20"/>
        </w:rPr>
        <w:t>regulation over this period (including</w:t>
      </w:r>
      <w:r>
        <w:rPr>
          <w:spacing w:val="-3"/>
          <w:sz w:val="20"/>
        </w:rPr>
        <w:t> </w:t>
      </w:r>
      <w:r>
        <w:rPr>
          <w:sz w:val="20"/>
        </w:rPr>
        <w:t>stricter verification</w:t>
      </w:r>
      <w:r>
        <w:rPr>
          <w:spacing w:val="-7"/>
          <w:sz w:val="20"/>
        </w:rPr>
        <w:t> </w:t>
      </w:r>
      <w:r>
        <w:rPr>
          <w:sz w:val="20"/>
        </w:rPr>
        <w:t>requirements</w:t>
      </w:r>
      <w:r>
        <w:rPr>
          <w:spacing w:val="-4"/>
          <w:sz w:val="20"/>
        </w:rPr>
        <w:t> </w:t>
      </w:r>
      <w:r>
        <w:rPr>
          <w:sz w:val="20"/>
        </w:rPr>
        <w:t>for</w:t>
      </w:r>
      <w:r>
        <w:rPr>
          <w:spacing w:val="-3"/>
          <w:sz w:val="20"/>
        </w:rPr>
        <w:t> </w:t>
      </w:r>
      <w:r>
        <w:rPr>
          <w:sz w:val="20"/>
        </w:rPr>
        <w:t>medical/PIP</w:t>
      </w:r>
      <w:r>
        <w:rPr>
          <w:spacing w:val="-8"/>
          <w:sz w:val="20"/>
        </w:rPr>
        <w:t> </w:t>
      </w:r>
      <w:r>
        <w:rPr>
          <w:sz w:val="20"/>
        </w:rPr>
        <w:t>claims),</w:t>
      </w:r>
      <w:r>
        <w:rPr>
          <w:spacing w:val="-5"/>
          <w:sz w:val="20"/>
        </w:rPr>
        <w:t> </w:t>
      </w:r>
      <w:r>
        <w:rPr>
          <w:sz w:val="20"/>
        </w:rPr>
        <w:t>which plausibly</w:t>
      </w:r>
      <w:r>
        <w:rPr>
          <w:spacing w:val="-12"/>
          <w:sz w:val="20"/>
        </w:rPr>
        <w:t> </w:t>
      </w:r>
      <w:r>
        <w:rPr>
          <w:sz w:val="20"/>
        </w:rPr>
        <w:t>reduced</w:t>
      </w:r>
      <w:r>
        <w:rPr>
          <w:spacing w:val="-3"/>
          <w:sz w:val="20"/>
        </w:rPr>
        <w:t> </w:t>
      </w:r>
      <w:r>
        <w:rPr>
          <w:sz w:val="20"/>
        </w:rPr>
        <w:t>disputed claims industry-wide, consistent with the industry-wide complaint decline shown in Section 4.</w:t>
      </w:r>
    </w:p>
    <w:p>
      <w:pPr>
        <w:pStyle w:val="ListParagraph"/>
        <w:numPr>
          <w:ilvl w:val="2"/>
          <w:numId w:val="1"/>
        </w:numPr>
        <w:tabs>
          <w:tab w:pos="721" w:val="left" w:leader="none"/>
        </w:tabs>
        <w:spacing w:line="240" w:lineRule="auto" w:before="83" w:after="0"/>
        <w:ind w:left="721" w:right="740" w:hanging="361"/>
        <w:jc w:val="left"/>
        <w:rPr>
          <w:sz w:val="20"/>
        </w:rPr>
      </w:pPr>
      <w:r>
        <w:rPr>
          <w:sz w:val="20"/>
        </w:rPr>
        <w:t>Market/competitive</w:t>
      </w:r>
      <w:r>
        <w:rPr>
          <w:spacing w:val="-4"/>
          <w:sz w:val="20"/>
        </w:rPr>
        <w:t> </w:t>
      </w:r>
      <w:r>
        <w:rPr>
          <w:sz w:val="20"/>
        </w:rPr>
        <w:t>shifts:</w:t>
      </w:r>
      <w:r>
        <w:rPr>
          <w:spacing w:val="-4"/>
          <w:sz w:val="20"/>
        </w:rPr>
        <w:t> </w:t>
      </w:r>
      <w:r>
        <w:rPr>
          <w:sz w:val="20"/>
        </w:rPr>
        <w:t>the</w:t>
      </w:r>
      <w:r>
        <w:rPr>
          <w:spacing w:val="-4"/>
          <w:sz w:val="20"/>
        </w:rPr>
        <w:t> </w:t>
      </w:r>
      <w:r>
        <w:rPr>
          <w:sz w:val="20"/>
        </w:rPr>
        <w:t>steady</w:t>
      </w:r>
      <w:r>
        <w:rPr>
          <w:spacing w:val="-11"/>
          <w:sz w:val="20"/>
        </w:rPr>
        <w:t> </w:t>
      </w:r>
      <w:r>
        <w:rPr>
          <w:sz w:val="20"/>
        </w:rPr>
        <w:t>premium</w:t>
      </w:r>
      <w:r>
        <w:rPr>
          <w:spacing w:val="-4"/>
          <w:sz w:val="20"/>
        </w:rPr>
        <w:t> </w:t>
      </w:r>
      <w:r>
        <w:rPr>
          <w:sz w:val="20"/>
        </w:rPr>
        <w:t>decline,</w:t>
      </w:r>
      <w:r>
        <w:rPr>
          <w:spacing w:val="-3"/>
          <w:sz w:val="20"/>
        </w:rPr>
        <w:t> </w:t>
      </w:r>
      <w:r>
        <w:rPr>
          <w:sz w:val="20"/>
        </w:rPr>
        <w:t>even</w:t>
      </w:r>
      <w:r>
        <w:rPr>
          <w:spacing w:val="-1"/>
          <w:sz w:val="20"/>
        </w:rPr>
        <w:t> </w:t>
      </w:r>
      <w:r>
        <w:rPr>
          <w:sz w:val="20"/>
        </w:rPr>
        <w:t>as</w:t>
      </w:r>
      <w:r>
        <w:rPr>
          <w:spacing w:val="-2"/>
          <w:sz w:val="20"/>
        </w:rPr>
        <w:t> </w:t>
      </w:r>
      <w:r>
        <w:rPr>
          <w:sz w:val="20"/>
        </w:rPr>
        <w:t>New</w:t>
      </w:r>
      <w:r>
        <w:rPr>
          <w:spacing w:val="-7"/>
          <w:sz w:val="20"/>
        </w:rPr>
        <w:t> </w:t>
      </w:r>
      <w:r>
        <w:rPr>
          <w:sz w:val="20"/>
        </w:rPr>
        <w:t>York</w:t>
      </w:r>
      <w:r>
        <w:rPr>
          <w:spacing w:val="-1"/>
          <w:sz w:val="20"/>
        </w:rPr>
        <w:t> </w:t>
      </w:r>
      <w:r>
        <w:rPr>
          <w:sz w:val="20"/>
        </w:rPr>
        <w:t>auto</w:t>
      </w:r>
      <w:r>
        <w:rPr>
          <w:spacing w:val="-6"/>
          <w:sz w:val="20"/>
        </w:rPr>
        <w:t> </w:t>
      </w:r>
      <w:r>
        <w:rPr>
          <w:sz w:val="20"/>
        </w:rPr>
        <w:t>insurance</w:t>
      </w:r>
      <w:r>
        <w:rPr>
          <w:spacing w:val="-4"/>
          <w:sz w:val="20"/>
        </w:rPr>
        <w:t> </w:t>
      </w:r>
      <w:r>
        <w:rPr>
          <w:sz w:val="20"/>
        </w:rPr>
        <w:t>overall</w:t>
      </w:r>
      <w:r>
        <w:rPr>
          <w:spacing w:val="-4"/>
          <w:sz w:val="20"/>
        </w:rPr>
        <w:t> </w:t>
      </w:r>
      <w:r>
        <w:rPr>
          <w:sz w:val="20"/>
        </w:rPr>
        <w:t>grew, suggests Allstate lost market share in NY over this period — plausibly</w:t>
      </w:r>
      <w:r>
        <w:rPr>
          <w:spacing w:val="-2"/>
          <w:sz w:val="20"/>
        </w:rPr>
        <w:t> </w:t>
      </w:r>
      <w:r>
        <w:rPr>
          <w:sz w:val="20"/>
        </w:rPr>
        <w:t>to lower-priced direct writers (GEICO, Progressive) that gained share nationally over the same years.</w:t>
      </w:r>
    </w:p>
    <w:p>
      <w:pPr>
        <w:pStyle w:val="ListParagraph"/>
        <w:numPr>
          <w:ilvl w:val="2"/>
          <w:numId w:val="1"/>
        </w:numPr>
        <w:tabs>
          <w:tab w:pos="721" w:val="left" w:leader="none"/>
        </w:tabs>
        <w:spacing w:line="240" w:lineRule="auto" w:before="79" w:after="0"/>
        <w:ind w:left="721" w:right="503" w:hanging="361"/>
        <w:jc w:val="left"/>
        <w:rPr>
          <w:sz w:val="20"/>
        </w:rPr>
      </w:pPr>
      <w:r>
        <w:rPr>
          <w:sz w:val="20"/>
        </w:rPr>
        <w:t>Economic</w:t>
      </w:r>
      <w:r>
        <w:rPr>
          <w:spacing w:val="-4"/>
          <w:sz w:val="20"/>
        </w:rPr>
        <w:t> </w:t>
      </w:r>
      <w:r>
        <w:rPr>
          <w:sz w:val="20"/>
        </w:rPr>
        <w:t>conditions:</w:t>
      </w:r>
      <w:r>
        <w:rPr>
          <w:spacing w:val="-4"/>
          <w:sz w:val="20"/>
        </w:rPr>
        <w:t> </w:t>
      </w:r>
      <w:r>
        <w:rPr>
          <w:sz w:val="20"/>
        </w:rPr>
        <w:t>the</w:t>
      </w:r>
      <w:r>
        <w:rPr>
          <w:spacing w:val="-4"/>
          <w:sz w:val="20"/>
        </w:rPr>
        <w:t> </w:t>
      </w:r>
      <w:r>
        <w:rPr>
          <w:sz w:val="20"/>
        </w:rPr>
        <w:t>2009–2011</w:t>
      </w:r>
      <w:r>
        <w:rPr>
          <w:spacing w:val="-6"/>
          <w:sz w:val="20"/>
        </w:rPr>
        <w:t> </w:t>
      </w:r>
      <w:r>
        <w:rPr>
          <w:sz w:val="20"/>
        </w:rPr>
        <w:t>window</w:t>
      </w:r>
      <w:r>
        <w:rPr>
          <w:spacing w:val="-2"/>
          <w:sz w:val="20"/>
        </w:rPr>
        <w:t> </w:t>
      </w:r>
      <w:r>
        <w:rPr>
          <w:sz w:val="20"/>
        </w:rPr>
        <w:t>overlaps</w:t>
      </w:r>
      <w:r>
        <w:rPr>
          <w:spacing w:val="-7"/>
          <w:sz w:val="20"/>
        </w:rPr>
        <w:t> </w:t>
      </w:r>
      <w:r>
        <w:rPr>
          <w:sz w:val="20"/>
        </w:rPr>
        <w:t>the</w:t>
      </w:r>
      <w:r>
        <w:rPr>
          <w:spacing w:val="-8"/>
          <w:sz w:val="20"/>
        </w:rPr>
        <w:t> </w:t>
      </w:r>
      <w:r>
        <w:rPr>
          <w:sz w:val="20"/>
        </w:rPr>
        <w:t>aftermath of</w:t>
      </w:r>
      <w:r>
        <w:rPr>
          <w:spacing w:val="-6"/>
          <w:sz w:val="20"/>
        </w:rPr>
        <w:t> </w:t>
      </w:r>
      <w:r>
        <w:rPr>
          <w:sz w:val="20"/>
        </w:rPr>
        <w:t>the</w:t>
      </w:r>
      <w:r>
        <w:rPr>
          <w:spacing w:val="-4"/>
          <w:sz w:val="20"/>
        </w:rPr>
        <w:t> </w:t>
      </w:r>
      <w:r>
        <w:rPr>
          <w:sz w:val="20"/>
        </w:rPr>
        <w:t>2008</w:t>
      </w:r>
      <w:r>
        <w:rPr>
          <w:spacing w:val="-6"/>
          <w:sz w:val="20"/>
        </w:rPr>
        <w:t> </w:t>
      </w:r>
      <w:r>
        <w:rPr>
          <w:sz w:val="20"/>
        </w:rPr>
        <w:t>recession, when</w:t>
      </w:r>
      <w:r>
        <w:rPr>
          <w:spacing w:val="-6"/>
          <w:sz w:val="20"/>
        </w:rPr>
        <w:t> </w:t>
      </w:r>
      <w:r>
        <w:rPr>
          <w:sz w:val="20"/>
        </w:rPr>
        <w:t>reduced driving and vehicle purchases nationally softened auto insurance demand and pricing.</w:t>
      </w:r>
    </w:p>
    <w:p>
      <w:pPr>
        <w:pStyle w:val="BodyText"/>
        <w:spacing w:before="69"/>
      </w:pPr>
    </w:p>
    <w:p>
      <w:pPr>
        <w:pStyle w:val="Heading3"/>
        <w:numPr>
          <w:ilvl w:val="1"/>
          <w:numId w:val="1"/>
        </w:numPr>
        <w:tabs>
          <w:tab w:pos="392" w:val="left" w:leader="none"/>
        </w:tabs>
        <w:spacing w:line="240" w:lineRule="auto" w:before="1" w:after="0"/>
        <w:ind w:left="392" w:right="0" w:hanging="392"/>
        <w:jc w:val="left"/>
      </w:pPr>
      <w:bookmarkStart w:name="3.2 Outlook" w:id="8"/>
      <w:bookmarkEnd w:id="8"/>
      <w:r>
        <w:rPr/>
      </w:r>
      <w:r>
        <w:rPr>
          <w:color w:val="2D74B5"/>
          <w:spacing w:val="-2"/>
        </w:rPr>
        <w:t>Outlook</w:t>
      </w:r>
    </w:p>
    <w:p>
      <w:pPr>
        <w:pStyle w:val="BodyText"/>
        <w:spacing w:before="150"/>
        <w:ind w:right="381"/>
      </w:pPr>
      <w:r>
        <w:rPr/>
        <w:t>If Allstate's premium and complaint trends continue on their historical trajectories, the data points to continued gradual premium erosion in the New York book alongside continued improvement in complaint ratio — i.e., a smaller but better-performing</w:t>
      </w:r>
      <w:r>
        <w:rPr>
          <w:spacing w:val="-5"/>
        </w:rPr>
        <w:t> </w:t>
      </w:r>
      <w:r>
        <w:rPr/>
        <w:t>NY</w:t>
      </w:r>
      <w:r>
        <w:rPr>
          <w:spacing w:val="-1"/>
        </w:rPr>
        <w:t> </w:t>
      </w:r>
      <w:r>
        <w:rPr/>
        <w:t>book, assuming</w:t>
      </w:r>
      <w:r>
        <w:rPr>
          <w:spacing w:val="-5"/>
        </w:rPr>
        <w:t> </w:t>
      </w:r>
      <w:r>
        <w:rPr/>
        <w:t>no</w:t>
      </w:r>
      <w:r>
        <w:rPr>
          <w:spacing w:val="-9"/>
        </w:rPr>
        <w:t> </w:t>
      </w:r>
      <w:r>
        <w:rPr/>
        <w:t>reversal in</w:t>
      </w:r>
      <w:r>
        <w:rPr>
          <w:spacing w:val="-5"/>
        </w:rPr>
        <w:t> </w:t>
      </w:r>
      <w:r>
        <w:rPr/>
        <w:t>the</w:t>
      </w:r>
      <w:r>
        <w:rPr>
          <w:spacing w:val="-3"/>
        </w:rPr>
        <w:t> </w:t>
      </w:r>
      <w:r>
        <w:rPr/>
        <w:t>market-share</w:t>
      </w:r>
      <w:r>
        <w:rPr>
          <w:spacing w:val="-3"/>
        </w:rPr>
        <w:t> </w:t>
      </w:r>
      <w:r>
        <w:rPr/>
        <w:t>trend.</w:t>
      </w:r>
      <w:r>
        <w:rPr>
          <w:spacing w:val="-2"/>
        </w:rPr>
        <w:t> </w:t>
      </w:r>
      <w:r>
        <w:rPr/>
        <w:t>Because</w:t>
      </w:r>
      <w:r>
        <w:rPr>
          <w:spacing w:val="-3"/>
        </w:rPr>
        <w:t> </w:t>
      </w:r>
      <w:r>
        <w:rPr/>
        <w:t>the</w:t>
      </w:r>
      <w:r>
        <w:rPr>
          <w:spacing w:val="-3"/>
        </w:rPr>
        <w:t> </w:t>
      </w:r>
      <w:r>
        <w:rPr/>
        <w:t>2016</w:t>
      </w:r>
      <w:r>
        <w:rPr>
          <w:spacing w:val="-5"/>
        </w:rPr>
        <w:t> </w:t>
      </w:r>
      <w:r>
        <w:rPr/>
        <w:t>record duplicates 2015 in this dataset, that year cannot confirm whether the decline continued, flattened, or reversed; refreshed DFS filings would be needed to extend the trend with confidence.</w:t>
      </w:r>
    </w:p>
    <w:p>
      <w:pPr>
        <w:pStyle w:val="BodyText"/>
        <w:spacing w:after="0"/>
        <w:sectPr>
          <w:pgSz w:w="12240" w:h="15840"/>
          <w:pgMar w:top="1360" w:bottom="280" w:left="1440" w:right="1080"/>
        </w:sectPr>
      </w:pPr>
    </w:p>
    <w:p>
      <w:pPr>
        <w:pStyle w:val="Heading2"/>
        <w:numPr>
          <w:ilvl w:val="0"/>
          <w:numId w:val="1"/>
        </w:numPr>
        <w:tabs>
          <w:tab w:pos="324" w:val="left" w:leader="none"/>
        </w:tabs>
        <w:spacing w:line="240" w:lineRule="auto" w:before="74" w:after="0"/>
        <w:ind w:left="324" w:right="0" w:hanging="324"/>
        <w:jc w:val="left"/>
      </w:pPr>
      <w:bookmarkStart w:name="4. Five-Company Comparison Dashboard" w:id="9"/>
      <w:bookmarkEnd w:id="9"/>
      <w:r>
        <w:rPr/>
      </w:r>
      <w:r>
        <w:rPr>
          <w:color w:val="2D74B5"/>
        </w:rPr>
        <w:t>Five-Company</w:t>
      </w:r>
      <w:r>
        <w:rPr>
          <w:color w:val="2D74B5"/>
          <w:spacing w:val="-19"/>
        </w:rPr>
        <w:t> </w:t>
      </w:r>
      <w:r>
        <w:rPr>
          <w:color w:val="2D74B5"/>
        </w:rPr>
        <w:t>Comparison</w:t>
      </w:r>
      <w:r>
        <w:rPr>
          <w:color w:val="2D74B5"/>
          <w:spacing w:val="-11"/>
        </w:rPr>
        <w:t> </w:t>
      </w:r>
      <w:r>
        <w:rPr>
          <w:color w:val="2D74B5"/>
          <w:spacing w:val="-2"/>
        </w:rPr>
        <w:t>Dashboard</w:t>
      </w:r>
    </w:p>
    <w:p>
      <w:pPr>
        <w:pStyle w:val="BodyText"/>
        <w:spacing w:before="152"/>
        <w:ind w:right="680"/>
      </w:pPr>
      <w:r>
        <w:rPr/>
        <w:t>Allstate is benchmarked here against four peers with full 2009–2015 NY filings: GEICO General Insurance Company,</w:t>
      </w:r>
      <w:r>
        <w:rPr>
          <w:spacing w:val="-1"/>
        </w:rPr>
        <w:t> </w:t>
      </w:r>
      <w:r>
        <w:rPr/>
        <w:t>State</w:t>
      </w:r>
      <w:r>
        <w:rPr>
          <w:spacing w:val="-5"/>
        </w:rPr>
        <w:t> </w:t>
      </w:r>
      <w:r>
        <w:rPr/>
        <w:t>Farm</w:t>
      </w:r>
      <w:r>
        <w:rPr>
          <w:spacing w:val="-1"/>
        </w:rPr>
        <w:t> </w:t>
      </w:r>
      <w:r>
        <w:rPr/>
        <w:t>Mutual</w:t>
      </w:r>
      <w:r>
        <w:rPr>
          <w:spacing w:val="-1"/>
        </w:rPr>
        <w:t> </w:t>
      </w:r>
      <w:r>
        <w:rPr/>
        <w:t>Automobile</w:t>
      </w:r>
      <w:r>
        <w:rPr>
          <w:spacing w:val="-5"/>
        </w:rPr>
        <w:t> </w:t>
      </w:r>
      <w:r>
        <w:rPr/>
        <w:t>Insurance</w:t>
      </w:r>
      <w:r>
        <w:rPr>
          <w:spacing w:val="-5"/>
        </w:rPr>
        <w:t> </w:t>
      </w:r>
      <w:r>
        <w:rPr/>
        <w:t>Company,</w:t>
      </w:r>
      <w:r>
        <w:rPr>
          <w:spacing w:val="-1"/>
        </w:rPr>
        <w:t> </w:t>
      </w:r>
      <w:r>
        <w:rPr/>
        <w:t>Progressive</w:t>
      </w:r>
      <w:r>
        <w:rPr>
          <w:spacing w:val="-5"/>
        </w:rPr>
        <w:t> </w:t>
      </w:r>
      <w:r>
        <w:rPr/>
        <w:t>Casualty</w:t>
      </w:r>
      <w:r>
        <w:rPr>
          <w:spacing w:val="-12"/>
        </w:rPr>
        <w:t> </w:t>
      </w:r>
      <w:r>
        <w:rPr/>
        <w:t>Insurance</w:t>
      </w:r>
      <w:r>
        <w:rPr>
          <w:spacing w:val="-5"/>
        </w:rPr>
        <w:t> </w:t>
      </w:r>
      <w:r>
        <w:rPr/>
        <w:t>Company,</w:t>
      </w:r>
      <w:r>
        <w:rPr>
          <w:spacing w:val="-1"/>
        </w:rPr>
        <w:t> </w:t>
      </w:r>
      <w:r>
        <w:rPr/>
        <w:t>and Liberty Mutual Fire Insurance Company.</w:t>
      </w:r>
    </w:p>
    <w:p>
      <w:pPr>
        <w:pStyle w:val="BodyText"/>
        <w:spacing w:before="54"/>
      </w:pPr>
      <w:r>
        <w:rPr/>
        <w:drawing>
          <wp:anchor distT="0" distB="0" distL="0" distR="0" allowOverlap="1" layoutInCell="1" locked="0" behindDoc="1" simplePos="0" relativeHeight="487588352">
            <wp:simplePos x="0" y="0"/>
            <wp:positionH relativeFrom="page">
              <wp:posOffset>1260051</wp:posOffset>
            </wp:positionH>
            <wp:positionV relativeFrom="paragraph">
              <wp:posOffset>195628</wp:posOffset>
            </wp:positionV>
            <wp:extent cx="5297824" cy="287521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97824" cy="2875216"/>
                    </a:xfrm>
                    <a:prstGeom prst="rect">
                      <a:avLst/>
                    </a:prstGeom>
                  </pic:spPr>
                </pic:pic>
              </a:graphicData>
            </a:graphic>
          </wp:anchor>
        </w:drawing>
      </w:r>
      <w:r>
        <w:rPr/>
        <w:drawing>
          <wp:anchor distT="0" distB="0" distL="0" distR="0" allowOverlap="1" layoutInCell="1" locked="0" behindDoc="1" simplePos="0" relativeHeight="487588864">
            <wp:simplePos x="0" y="0"/>
            <wp:positionH relativeFrom="page">
              <wp:posOffset>1260051</wp:posOffset>
            </wp:positionH>
            <wp:positionV relativeFrom="paragraph">
              <wp:posOffset>3371612</wp:posOffset>
            </wp:positionV>
            <wp:extent cx="5299591" cy="287521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299591" cy="2875216"/>
                    </a:xfrm>
                    <a:prstGeom prst="rect">
                      <a:avLst/>
                    </a:prstGeom>
                  </pic:spPr>
                </pic:pic>
              </a:graphicData>
            </a:graphic>
          </wp:anchor>
        </w:drawing>
      </w:r>
    </w:p>
    <w:p>
      <w:pPr>
        <w:pStyle w:val="BodyText"/>
        <w:spacing w:before="219"/>
      </w:pPr>
    </w:p>
    <w:p>
      <w:pPr>
        <w:pStyle w:val="BodyText"/>
        <w:spacing w:before="84"/>
      </w:pPr>
    </w:p>
    <w:p>
      <w:pPr>
        <w:pStyle w:val="BodyText"/>
        <w:spacing w:before="1"/>
      </w:pPr>
      <w:r>
        <w:rPr/>
        <w:t>2015 </w:t>
      </w:r>
      <w:r>
        <w:rPr>
          <w:spacing w:val="-2"/>
        </w:rPr>
        <w:t>snapshot:</w:t>
      </w:r>
    </w:p>
    <w:p>
      <w:pPr>
        <w:pStyle w:val="BodyText"/>
        <w:spacing w:before="3" w:after="1"/>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1700"/>
        <w:gridCol w:w="1801"/>
        <w:gridCol w:w="1801"/>
        <w:gridCol w:w="1902"/>
      </w:tblGrid>
      <w:tr>
        <w:trPr>
          <w:trHeight w:val="230" w:hRule="atLeast"/>
        </w:trPr>
        <w:tc>
          <w:tcPr>
            <w:tcW w:w="2161" w:type="dxa"/>
            <w:shd w:val="clear" w:color="auto" w:fill="1F3863"/>
          </w:tcPr>
          <w:p>
            <w:pPr>
              <w:pStyle w:val="TableParagraph"/>
              <w:rPr>
                <w:b/>
                <w:sz w:val="20"/>
              </w:rPr>
            </w:pPr>
            <w:r>
              <w:rPr>
                <w:b/>
                <w:color w:val="FFFFFF"/>
                <w:spacing w:val="-2"/>
                <w:sz w:val="20"/>
              </w:rPr>
              <w:t>Company</w:t>
            </w:r>
          </w:p>
        </w:tc>
        <w:tc>
          <w:tcPr>
            <w:tcW w:w="1700" w:type="dxa"/>
            <w:shd w:val="clear" w:color="auto" w:fill="1F3863"/>
          </w:tcPr>
          <w:p>
            <w:pPr>
              <w:pStyle w:val="TableParagraph"/>
              <w:rPr>
                <w:b/>
                <w:sz w:val="20"/>
              </w:rPr>
            </w:pPr>
            <w:r>
              <w:rPr>
                <w:b/>
                <w:color w:val="FFFFFF"/>
                <w:sz w:val="20"/>
              </w:rPr>
              <w:t>Complaint</w:t>
            </w:r>
            <w:r>
              <w:rPr>
                <w:b/>
                <w:color w:val="FFFFFF"/>
                <w:spacing w:val="-9"/>
                <w:sz w:val="20"/>
              </w:rPr>
              <w:t> </w:t>
            </w:r>
            <w:r>
              <w:rPr>
                <w:b/>
                <w:color w:val="FFFFFF"/>
                <w:spacing w:val="-4"/>
                <w:sz w:val="20"/>
              </w:rPr>
              <w:t>Ratio</w:t>
            </w:r>
          </w:p>
        </w:tc>
        <w:tc>
          <w:tcPr>
            <w:tcW w:w="1801" w:type="dxa"/>
            <w:shd w:val="clear" w:color="auto" w:fill="1F3863"/>
          </w:tcPr>
          <w:p>
            <w:pPr>
              <w:pStyle w:val="TableParagraph"/>
              <w:rPr>
                <w:b/>
                <w:sz w:val="20"/>
              </w:rPr>
            </w:pPr>
            <w:r>
              <w:rPr>
                <w:b/>
                <w:color w:val="FFFFFF"/>
                <w:sz w:val="20"/>
              </w:rPr>
              <w:t>Total</w:t>
            </w:r>
            <w:r>
              <w:rPr>
                <w:b/>
                <w:color w:val="FFFFFF"/>
                <w:spacing w:val="-1"/>
                <w:sz w:val="20"/>
              </w:rPr>
              <w:t> </w:t>
            </w:r>
            <w:r>
              <w:rPr>
                <w:b/>
                <w:color w:val="FFFFFF"/>
                <w:spacing w:val="-2"/>
                <w:sz w:val="20"/>
              </w:rPr>
              <w:t>Complaints</w:t>
            </w:r>
          </w:p>
        </w:tc>
        <w:tc>
          <w:tcPr>
            <w:tcW w:w="1801" w:type="dxa"/>
            <w:shd w:val="clear" w:color="auto" w:fill="1F3863"/>
          </w:tcPr>
          <w:p>
            <w:pPr>
              <w:pStyle w:val="TableParagraph"/>
              <w:ind w:left="8"/>
              <w:rPr>
                <w:b/>
                <w:sz w:val="20"/>
              </w:rPr>
            </w:pPr>
            <w:r>
              <w:rPr>
                <w:b/>
                <w:color w:val="FFFFFF"/>
                <w:sz w:val="20"/>
              </w:rPr>
              <w:t>Premiums</w:t>
            </w:r>
            <w:r>
              <w:rPr>
                <w:b/>
                <w:color w:val="FFFFFF"/>
                <w:spacing w:val="-12"/>
                <w:sz w:val="20"/>
              </w:rPr>
              <w:t> </w:t>
            </w:r>
            <w:r>
              <w:rPr>
                <w:b/>
                <w:color w:val="FFFFFF"/>
                <w:spacing w:val="-4"/>
                <w:sz w:val="20"/>
              </w:rPr>
              <w:t>($M)</w:t>
            </w:r>
          </w:p>
        </w:tc>
        <w:tc>
          <w:tcPr>
            <w:tcW w:w="1902" w:type="dxa"/>
            <w:shd w:val="clear" w:color="auto" w:fill="1F3863"/>
          </w:tcPr>
          <w:p>
            <w:pPr>
              <w:pStyle w:val="TableParagraph"/>
              <w:ind w:left="8"/>
              <w:rPr>
                <w:b/>
                <w:sz w:val="20"/>
              </w:rPr>
            </w:pPr>
            <w:r>
              <w:rPr>
                <w:b/>
                <w:color w:val="FFFFFF"/>
                <w:sz w:val="20"/>
              </w:rPr>
              <w:t>DFS</w:t>
            </w:r>
            <w:r>
              <w:rPr>
                <w:b/>
                <w:color w:val="FFFFFF"/>
                <w:spacing w:val="-7"/>
                <w:sz w:val="20"/>
              </w:rPr>
              <w:t> </w:t>
            </w:r>
            <w:r>
              <w:rPr>
                <w:b/>
                <w:color w:val="FFFFFF"/>
                <w:spacing w:val="-4"/>
                <w:sz w:val="20"/>
              </w:rPr>
              <w:t>Rank</w:t>
            </w:r>
          </w:p>
        </w:tc>
      </w:tr>
      <w:tr>
        <w:trPr>
          <w:trHeight w:val="230" w:hRule="atLeast"/>
        </w:trPr>
        <w:tc>
          <w:tcPr>
            <w:tcW w:w="2161" w:type="dxa"/>
          </w:tcPr>
          <w:p>
            <w:pPr>
              <w:pStyle w:val="TableParagraph"/>
              <w:rPr>
                <w:sz w:val="20"/>
              </w:rPr>
            </w:pPr>
            <w:r>
              <w:rPr>
                <w:sz w:val="20"/>
              </w:rPr>
              <w:t>GEICO</w:t>
            </w:r>
            <w:r>
              <w:rPr>
                <w:spacing w:val="-2"/>
                <w:sz w:val="20"/>
              </w:rPr>
              <w:t> General</w:t>
            </w:r>
          </w:p>
        </w:tc>
        <w:tc>
          <w:tcPr>
            <w:tcW w:w="1700" w:type="dxa"/>
          </w:tcPr>
          <w:p>
            <w:pPr>
              <w:pStyle w:val="TableParagraph"/>
              <w:rPr>
                <w:sz w:val="20"/>
              </w:rPr>
            </w:pPr>
            <w:r>
              <w:rPr>
                <w:spacing w:val="-2"/>
                <w:sz w:val="20"/>
              </w:rPr>
              <w:t>0.0109</w:t>
            </w:r>
          </w:p>
        </w:tc>
        <w:tc>
          <w:tcPr>
            <w:tcW w:w="1801" w:type="dxa"/>
          </w:tcPr>
          <w:p>
            <w:pPr>
              <w:pStyle w:val="TableParagraph"/>
              <w:rPr>
                <w:sz w:val="20"/>
              </w:rPr>
            </w:pPr>
            <w:r>
              <w:rPr>
                <w:spacing w:val="-5"/>
                <w:sz w:val="20"/>
              </w:rPr>
              <w:t>503</w:t>
            </w:r>
          </w:p>
        </w:tc>
        <w:tc>
          <w:tcPr>
            <w:tcW w:w="1801" w:type="dxa"/>
          </w:tcPr>
          <w:p>
            <w:pPr>
              <w:pStyle w:val="TableParagraph"/>
              <w:ind w:left="8"/>
              <w:rPr>
                <w:sz w:val="20"/>
              </w:rPr>
            </w:pPr>
            <w:r>
              <w:rPr>
                <w:spacing w:val="-2"/>
                <w:sz w:val="20"/>
              </w:rPr>
              <w:t>2199.89</w:t>
            </w:r>
          </w:p>
        </w:tc>
        <w:tc>
          <w:tcPr>
            <w:tcW w:w="1902" w:type="dxa"/>
          </w:tcPr>
          <w:p>
            <w:pPr>
              <w:pStyle w:val="TableParagraph"/>
              <w:ind w:left="8"/>
              <w:rPr>
                <w:sz w:val="20"/>
              </w:rPr>
            </w:pPr>
            <w:r>
              <w:rPr>
                <w:spacing w:val="-5"/>
                <w:sz w:val="20"/>
              </w:rPr>
              <w:t>96</w:t>
            </w:r>
          </w:p>
        </w:tc>
      </w:tr>
      <w:tr>
        <w:trPr>
          <w:trHeight w:val="230" w:hRule="atLeast"/>
        </w:trPr>
        <w:tc>
          <w:tcPr>
            <w:tcW w:w="2161" w:type="dxa"/>
          </w:tcPr>
          <w:p>
            <w:pPr>
              <w:pStyle w:val="TableParagraph"/>
              <w:rPr>
                <w:sz w:val="20"/>
              </w:rPr>
            </w:pPr>
            <w:r>
              <w:rPr>
                <w:sz w:val="20"/>
              </w:rPr>
              <w:t>State</w:t>
            </w:r>
            <w:r>
              <w:rPr>
                <w:spacing w:val="-2"/>
                <w:sz w:val="20"/>
              </w:rPr>
              <w:t> </w:t>
            </w:r>
            <w:r>
              <w:rPr>
                <w:spacing w:val="-4"/>
                <w:sz w:val="20"/>
              </w:rPr>
              <w:t>Farm</w:t>
            </w:r>
          </w:p>
        </w:tc>
        <w:tc>
          <w:tcPr>
            <w:tcW w:w="1700" w:type="dxa"/>
          </w:tcPr>
          <w:p>
            <w:pPr>
              <w:pStyle w:val="TableParagraph"/>
              <w:rPr>
                <w:sz w:val="20"/>
              </w:rPr>
            </w:pPr>
            <w:r>
              <w:rPr>
                <w:spacing w:val="-2"/>
                <w:sz w:val="20"/>
              </w:rPr>
              <w:t>0.0314</w:t>
            </w:r>
          </w:p>
        </w:tc>
        <w:tc>
          <w:tcPr>
            <w:tcW w:w="1801" w:type="dxa"/>
          </w:tcPr>
          <w:p>
            <w:pPr>
              <w:pStyle w:val="TableParagraph"/>
              <w:rPr>
                <w:sz w:val="20"/>
              </w:rPr>
            </w:pPr>
            <w:r>
              <w:rPr>
                <w:spacing w:val="-5"/>
                <w:sz w:val="20"/>
              </w:rPr>
              <w:t>221</w:t>
            </w:r>
          </w:p>
        </w:tc>
        <w:tc>
          <w:tcPr>
            <w:tcW w:w="1801" w:type="dxa"/>
          </w:tcPr>
          <w:p>
            <w:pPr>
              <w:pStyle w:val="TableParagraph"/>
              <w:ind w:left="8"/>
              <w:rPr>
                <w:sz w:val="20"/>
              </w:rPr>
            </w:pPr>
            <w:r>
              <w:rPr>
                <w:spacing w:val="-2"/>
                <w:sz w:val="20"/>
              </w:rPr>
              <w:t>1434.015</w:t>
            </w:r>
          </w:p>
        </w:tc>
        <w:tc>
          <w:tcPr>
            <w:tcW w:w="1902" w:type="dxa"/>
          </w:tcPr>
          <w:p>
            <w:pPr>
              <w:pStyle w:val="TableParagraph"/>
              <w:ind w:left="8"/>
              <w:rPr>
                <w:sz w:val="20"/>
              </w:rPr>
            </w:pPr>
            <w:r>
              <w:rPr>
                <w:spacing w:val="-5"/>
                <w:sz w:val="20"/>
              </w:rPr>
              <w:t>116</w:t>
            </w:r>
          </w:p>
        </w:tc>
      </w:tr>
      <w:tr>
        <w:trPr>
          <w:trHeight w:val="230" w:hRule="atLeast"/>
        </w:trPr>
        <w:tc>
          <w:tcPr>
            <w:tcW w:w="2161" w:type="dxa"/>
          </w:tcPr>
          <w:p>
            <w:pPr>
              <w:pStyle w:val="TableParagraph"/>
              <w:rPr>
                <w:sz w:val="20"/>
              </w:rPr>
            </w:pPr>
            <w:r>
              <w:rPr>
                <w:spacing w:val="-2"/>
                <w:sz w:val="20"/>
              </w:rPr>
              <w:t>Allstate</w:t>
            </w:r>
          </w:p>
        </w:tc>
        <w:tc>
          <w:tcPr>
            <w:tcW w:w="1700" w:type="dxa"/>
          </w:tcPr>
          <w:p>
            <w:pPr>
              <w:pStyle w:val="TableParagraph"/>
              <w:rPr>
                <w:sz w:val="20"/>
              </w:rPr>
            </w:pPr>
            <w:r>
              <w:rPr>
                <w:spacing w:val="-2"/>
                <w:sz w:val="20"/>
              </w:rPr>
              <w:t>0.0308</w:t>
            </w:r>
          </w:p>
        </w:tc>
        <w:tc>
          <w:tcPr>
            <w:tcW w:w="1801" w:type="dxa"/>
          </w:tcPr>
          <w:p>
            <w:pPr>
              <w:pStyle w:val="TableParagraph"/>
              <w:rPr>
                <w:sz w:val="20"/>
              </w:rPr>
            </w:pPr>
            <w:r>
              <w:rPr>
                <w:spacing w:val="-5"/>
                <w:sz w:val="20"/>
              </w:rPr>
              <w:t>237</w:t>
            </w:r>
          </w:p>
        </w:tc>
        <w:tc>
          <w:tcPr>
            <w:tcW w:w="1801" w:type="dxa"/>
          </w:tcPr>
          <w:p>
            <w:pPr>
              <w:pStyle w:val="TableParagraph"/>
              <w:ind w:left="8"/>
              <w:rPr>
                <w:sz w:val="20"/>
              </w:rPr>
            </w:pPr>
            <w:r>
              <w:rPr>
                <w:spacing w:val="-2"/>
                <w:sz w:val="20"/>
              </w:rPr>
              <w:t>747.431</w:t>
            </w:r>
          </w:p>
        </w:tc>
        <w:tc>
          <w:tcPr>
            <w:tcW w:w="1902" w:type="dxa"/>
          </w:tcPr>
          <w:p>
            <w:pPr>
              <w:pStyle w:val="TableParagraph"/>
              <w:ind w:left="8"/>
              <w:rPr>
                <w:sz w:val="20"/>
              </w:rPr>
            </w:pPr>
            <w:r>
              <w:rPr>
                <w:spacing w:val="-5"/>
                <w:sz w:val="20"/>
              </w:rPr>
              <w:t>115</w:t>
            </w:r>
          </w:p>
        </w:tc>
      </w:tr>
      <w:tr>
        <w:trPr>
          <w:trHeight w:val="230" w:hRule="atLeast"/>
        </w:trPr>
        <w:tc>
          <w:tcPr>
            <w:tcW w:w="2161" w:type="dxa"/>
          </w:tcPr>
          <w:p>
            <w:pPr>
              <w:pStyle w:val="TableParagraph"/>
              <w:rPr>
                <w:sz w:val="20"/>
              </w:rPr>
            </w:pPr>
            <w:r>
              <w:rPr>
                <w:spacing w:val="-2"/>
                <w:sz w:val="20"/>
              </w:rPr>
              <w:t>Progressive</w:t>
            </w:r>
          </w:p>
        </w:tc>
        <w:tc>
          <w:tcPr>
            <w:tcW w:w="1700" w:type="dxa"/>
          </w:tcPr>
          <w:p>
            <w:pPr>
              <w:pStyle w:val="TableParagraph"/>
              <w:rPr>
                <w:sz w:val="20"/>
              </w:rPr>
            </w:pPr>
            <w:r>
              <w:rPr>
                <w:spacing w:val="-2"/>
                <w:sz w:val="20"/>
              </w:rPr>
              <w:t>0.0092</w:t>
            </w:r>
          </w:p>
        </w:tc>
        <w:tc>
          <w:tcPr>
            <w:tcW w:w="1801" w:type="dxa"/>
          </w:tcPr>
          <w:p>
            <w:pPr>
              <w:pStyle w:val="TableParagraph"/>
              <w:rPr>
                <w:sz w:val="20"/>
              </w:rPr>
            </w:pPr>
            <w:r>
              <w:rPr>
                <w:spacing w:val="-5"/>
                <w:sz w:val="20"/>
              </w:rPr>
              <w:t>96</w:t>
            </w:r>
          </w:p>
        </w:tc>
        <w:tc>
          <w:tcPr>
            <w:tcW w:w="1801" w:type="dxa"/>
          </w:tcPr>
          <w:p>
            <w:pPr>
              <w:pStyle w:val="TableParagraph"/>
              <w:ind w:left="8"/>
              <w:rPr>
                <w:sz w:val="20"/>
              </w:rPr>
            </w:pPr>
            <w:r>
              <w:rPr>
                <w:spacing w:val="-2"/>
                <w:sz w:val="20"/>
              </w:rPr>
              <w:t>432.722</w:t>
            </w:r>
          </w:p>
        </w:tc>
        <w:tc>
          <w:tcPr>
            <w:tcW w:w="1902" w:type="dxa"/>
          </w:tcPr>
          <w:p>
            <w:pPr>
              <w:pStyle w:val="TableParagraph"/>
              <w:ind w:left="8"/>
              <w:rPr>
                <w:sz w:val="20"/>
              </w:rPr>
            </w:pPr>
            <w:r>
              <w:rPr>
                <w:spacing w:val="-5"/>
                <w:sz w:val="20"/>
              </w:rPr>
              <w:t>94</w:t>
            </w:r>
          </w:p>
        </w:tc>
      </w:tr>
    </w:tbl>
    <w:p>
      <w:pPr>
        <w:pStyle w:val="TableParagraph"/>
        <w:spacing w:after="0"/>
        <w:rPr>
          <w:sz w:val="20"/>
        </w:rPr>
        <w:sectPr>
          <w:pgSz w:w="12240" w:h="15840"/>
          <w:pgMar w:top="1360" w:bottom="1335" w:left="1440" w:right="108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1"/>
        <w:gridCol w:w="1700"/>
        <w:gridCol w:w="1801"/>
        <w:gridCol w:w="1801"/>
        <w:gridCol w:w="1902"/>
      </w:tblGrid>
      <w:tr>
        <w:trPr>
          <w:trHeight w:val="230" w:hRule="atLeast"/>
        </w:trPr>
        <w:tc>
          <w:tcPr>
            <w:tcW w:w="2161" w:type="dxa"/>
          </w:tcPr>
          <w:p>
            <w:pPr>
              <w:pStyle w:val="TableParagraph"/>
              <w:rPr>
                <w:sz w:val="20"/>
              </w:rPr>
            </w:pPr>
            <w:r>
              <w:rPr>
                <w:sz w:val="20"/>
              </w:rPr>
              <w:t>Liberty</w:t>
            </w:r>
            <w:r>
              <w:rPr>
                <w:spacing w:val="-12"/>
                <w:sz w:val="20"/>
              </w:rPr>
              <w:t> </w:t>
            </w:r>
            <w:r>
              <w:rPr>
                <w:spacing w:val="-2"/>
                <w:sz w:val="20"/>
              </w:rPr>
              <w:t>Mutual</w:t>
            </w:r>
          </w:p>
        </w:tc>
        <w:tc>
          <w:tcPr>
            <w:tcW w:w="1700" w:type="dxa"/>
          </w:tcPr>
          <w:p>
            <w:pPr>
              <w:pStyle w:val="TableParagraph"/>
              <w:rPr>
                <w:sz w:val="20"/>
              </w:rPr>
            </w:pPr>
            <w:r>
              <w:rPr>
                <w:spacing w:val="-2"/>
                <w:sz w:val="20"/>
              </w:rPr>
              <w:t>0.0164</w:t>
            </w:r>
          </w:p>
        </w:tc>
        <w:tc>
          <w:tcPr>
            <w:tcW w:w="1801" w:type="dxa"/>
          </w:tcPr>
          <w:p>
            <w:pPr>
              <w:pStyle w:val="TableParagraph"/>
              <w:rPr>
                <w:sz w:val="20"/>
              </w:rPr>
            </w:pPr>
            <w:r>
              <w:rPr>
                <w:spacing w:val="-5"/>
                <w:sz w:val="20"/>
              </w:rPr>
              <w:t>56</w:t>
            </w:r>
          </w:p>
        </w:tc>
        <w:tc>
          <w:tcPr>
            <w:tcW w:w="1801" w:type="dxa"/>
          </w:tcPr>
          <w:p>
            <w:pPr>
              <w:pStyle w:val="TableParagraph"/>
              <w:ind w:left="8"/>
              <w:rPr>
                <w:sz w:val="20"/>
              </w:rPr>
            </w:pPr>
            <w:r>
              <w:rPr>
                <w:spacing w:val="-2"/>
                <w:sz w:val="20"/>
              </w:rPr>
              <w:t>304.589</w:t>
            </w:r>
          </w:p>
        </w:tc>
        <w:tc>
          <w:tcPr>
            <w:tcW w:w="1902" w:type="dxa"/>
          </w:tcPr>
          <w:p>
            <w:pPr>
              <w:pStyle w:val="TableParagraph"/>
              <w:ind w:left="8"/>
              <w:rPr>
                <w:sz w:val="20"/>
              </w:rPr>
            </w:pPr>
            <w:r>
              <w:rPr>
                <w:spacing w:val="-5"/>
                <w:sz w:val="20"/>
              </w:rPr>
              <w:t>101</w:t>
            </w:r>
          </w:p>
        </w:tc>
      </w:tr>
    </w:tbl>
    <w:p>
      <w:pPr>
        <w:pStyle w:val="BodyText"/>
      </w:pPr>
    </w:p>
    <w:p>
      <w:pPr>
        <w:pStyle w:val="BodyText"/>
        <w:spacing w:before="116"/>
      </w:pPr>
      <w:r>
        <w:rPr/>
        <w:drawing>
          <wp:anchor distT="0" distB="0" distL="0" distR="0" allowOverlap="1" layoutInCell="1" locked="0" behindDoc="1" simplePos="0" relativeHeight="487589376">
            <wp:simplePos x="0" y="0"/>
            <wp:positionH relativeFrom="page">
              <wp:posOffset>1592262</wp:posOffset>
            </wp:positionH>
            <wp:positionV relativeFrom="paragraph">
              <wp:posOffset>235518</wp:posOffset>
            </wp:positionV>
            <wp:extent cx="4540275" cy="245249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540275" cy="2452497"/>
                    </a:xfrm>
                    <a:prstGeom prst="rect">
                      <a:avLst/>
                    </a:prstGeom>
                  </pic:spPr>
                </pic:pic>
              </a:graphicData>
            </a:graphic>
          </wp:anchor>
        </w:drawing>
      </w:r>
    </w:p>
    <w:p>
      <w:pPr>
        <w:pStyle w:val="BodyText"/>
      </w:pPr>
    </w:p>
    <w:p>
      <w:pPr>
        <w:pStyle w:val="BodyText"/>
        <w:spacing w:before="52"/>
      </w:pPr>
      <w:r>
        <w:rPr/>
        <w:drawing>
          <wp:anchor distT="0" distB="0" distL="0" distR="0" allowOverlap="1" layoutInCell="1" locked="0" behindDoc="1" simplePos="0" relativeHeight="487589888">
            <wp:simplePos x="0" y="0"/>
            <wp:positionH relativeFrom="page">
              <wp:posOffset>1592262</wp:posOffset>
            </wp:positionH>
            <wp:positionV relativeFrom="paragraph">
              <wp:posOffset>194485</wp:posOffset>
            </wp:positionV>
            <wp:extent cx="4538545" cy="245249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538545" cy="2452497"/>
                    </a:xfrm>
                    <a:prstGeom prst="rect">
                      <a:avLst/>
                    </a:prstGeom>
                  </pic:spPr>
                </pic:pic>
              </a:graphicData>
            </a:graphic>
          </wp:anchor>
        </w:drawing>
      </w:r>
    </w:p>
    <w:p>
      <w:pPr>
        <w:pStyle w:val="BodyText"/>
        <w:spacing w:before="157"/>
      </w:pPr>
    </w:p>
    <w:p>
      <w:pPr>
        <w:pStyle w:val="ListParagraph"/>
        <w:numPr>
          <w:ilvl w:val="0"/>
          <w:numId w:val="2"/>
        </w:numPr>
        <w:tabs>
          <w:tab w:pos="721" w:val="left" w:leader="none"/>
        </w:tabs>
        <w:spacing w:line="240" w:lineRule="auto" w:before="0" w:after="0"/>
        <w:ind w:left="721" w:right="778" w:hanging="361"/>
        <w:jc w:val="left"/>
        <w:rPr>
          <w:sz w:val="20"/>
        </w:rPr>
      </w:pPr>
      <w:r>
        <w:rPr>
          <w:sz w:val="20"/>
        </w:rPr>
        <w:t>Progressive Casualty and GEICO General post the lowest complaint ratios of the group (0.0092 and 0.0109)</w:t>
      </w:r>
      <w:r>
        <w:rPr>
          <w:spacing w:val="-2"/>
          <w:sz w:val="20"/>
        </w:rPr>
        <w:t> </w:t>
      </w:r>
      <w:r>
        <w:rPr>
          <w:sz w:val="20"/>
        </w:rPr>
        <w:t>despite</w:t>
      </w:r>
      <w:r>
        <w:rPr>
          <w:spacing w:val="-5"/>
          <w:sz w:val="20"/>
        </w:rPr>
        <w:t> </w:t>
      </w:r>
      <w:r>
        <w:rPr>
          <w:sz w:val="20"/>
        </w:rPr>
        <w:t>carrying</w:t>
      </w:r>
      <w:r>
        <w:rPr>
          <w:spacing w:val="-7"/>
          <w:sz w:val="20"/>
        </w:rPr>
        <w:t> </w:t>
      </w:r>
      <w:r>
        <w:rPr>
          <w:sz w:val="20"/>
        </w:rPr>
        <w:t>large</w:t>
      </w:r>
      <w:r>
        <w:rPr>
          <w:spacing w:val="-5"/>
          <w:sz w:val="20"/>
        </w:rPr>
        <w:t> </w:t>
      </w:r>
      <w:r>
        <w:rPr>
          <w:sz w:val="20"/>
        </w:rPr>
        <w:t>or</w:t>
      </w:r>
      <w:r>
        <w:rPr>
          <w:spacing w:val="-2"/>
          <w:sz w:val="20"/>
        </w:rPr>
        <w:t> </w:t>
      </w:r>
      <w:r>
        <w:rPr>
          <w:sz w:val="20"/>
        </w:rPr>
        <w:t>mid-sized</w:t>
      </w:r>
      <w:r>
        <w:rPr>
          <w:spacing w:val="-2"/>
          <w:sz w:val="20"/>
        </w:rPr>
        <w:t> </w:t>
      </w:r>
      <w:r>
        <w:rPr>
          <w:sz w:val="20"/>
        </w:rPr>
        <w:t>premium bases,</w:t>
      </w:r>
      <w:r>
        <w:rPr>
          <w:spacing w:val="-4"/>
          <w:sz w:val="20"/>
        </w:rPr>
        <w:t> </w:t>
      </w:r>
      <w:r>
        <w:rPr>
          <w:sz w:val="20"/>
        </w:rPr>
        <w:t>indicating</w:t>
      </w:r>
      <w:r>
        <w:rPr>
          <w:spacing w:val="-7"/>
          <w:sz w:val="20"/>
        </w:rPr>
        <w:t> </w:t>
      </w:r>
      <w:r>
        <w:rPr>
          <w:sz w:val="20"/>
        </w:rPr>
        <w:t>the</w:t>
      </w:r>
      <w:r>
        <w:rPr>
          <w:spacing w:val="-5"/>
          <w:sz w:val="20"/>
        </w:rPr>
        <w:t> </w:t>
      </w:r>
      <w:r>
        <w:rPr>
          <w:sz w:val="20"/>
        </w:rPr>
        <w:t>strongest complaint-to-scale </w:t>
      </w:r>
      <w:r>
        <w:rPr>
          <w:spacing w:val="-2"/>
          <w:sz w:val="20"/>
        </w:rPr>
        <w:t>performance.</w:t>
      </w:r>
    </w:p>
    <w:p>
      <w:pPr>
        <w:pStyle w:val="ListParagraph"/>
        <w:numPr>
          <w:ilvl w:val="0"/>
          <w:numId w:val="2"/>
        </w:numPr>
        <w:tabs>
          <w:tab w:pos="721" w:val="left" w:leader="none"/>
        </w:tabs>
        <w:spacing w:line="240" w:lineRule="auto" w:before="78" w:after="0"/>
        <w:ind w:left="721" w:right="1070" w:hanging="361"/>
        <w:jc w:val="left"/>
        <w:rPr>
          <w:sz w:val="20"/>
        </w:rPr>
      </w:pPr>
      <w:r>
        <w:rPr>
          <w:sz w:val="20"/>
        </w:rPr>
        <w:t>Allstate</w:t>
      </w:r>
      <w:r>
        <w:rPr>
          <w:spacing w:val="-8"/>
          <w:sz w:val="20"/>
        </w:rPr>
        <w:t> </w:t>
      </w:r>
      <w:r>
        <w:rPr>
          <w:sz w:val="20"/>
        </w:rPr>
        <w:t>and State</w:t>
      </w:r>
      <w:r>
        <w:rPr>
          <w:spacing w:val="-3"/>
          <w:sz w:val="20"/>
        </w:rPr>
        <w:t> </w:t>
      </w:r>
      <w:r>
        <w:rPr>
          <w:sz w:val="20"/>
        </w:rPr>
        <w:t>Farm sit</w:t>
      </w:r>
      <w:r>
        <w:rPr>
          <w:spacing w:val="-3"/>
          <w:sz w:val="20"/>
        </w:rPr>
        <w:t> </w:t>
      </w:r>
      <w:r>
        <w:rPr>
          <w:sz w:val="20"/>
        </w:rPr>
        <w:t>close</w:t>
      </w:r>
      <w:r>
        <w:rPr>
          <w:spacing w:val="-3"/>
          <w:sz w:val="20"/>
        </w:rPr>
        <w:t> </w:t>
      </w:r>
      <w:r>
        <w:rPr>
          <w:sz w:val="20"/>
        </w:rPr>
        <w:t>together at</w:t>
      </w:r>
      <w:r>
        <w:rPr>
          <w:spacing w:val="-3"/>
          <w:sz w:val="20"/>
        </w:rPr>
        <w:t> </w:t>
      </w:r>
      <w:r>
        <w:rPr>
          <w:sz w:val="20"/>
        </w:rPr>
        <w:t>the</w:t>
      </w:r>
      <w:r>
        <w:rPr>
          <w:spacing w:val="-8"/>
          <w:sz w:val="20"/>
        </w:rPr>
        <w:t> </w:t>
      </w:r>
      <w:r>
        <w:rPr>
          <w:sz w:val="20"/>
        </w:rPr>
        <w:t>higher end</w:t>
      </w:r>
      <w:r>
        <w:rPr>
          <w:spacing w:val="-5"/>
          <w:sz w:val="20"/>
        </w:rPr>
        <w:t> </w:t>
      </w:r>
      <w:r>
        <w:rPr>
          <w:sz w:val="20"/>
        </w:rPr>
        <w:t>(0.0308</w:t>
      </w:r>
      <w:r>
        <w:rPr>
          <w:spacing w:val="-5"/>
          <w:sz w:val="20"/>
        </w:rPr>
        <w:t> </w:t>
      </w:r>
      <w:r>
        <w:rPr>
          <w:sz w:val="20"/>
        </w:rPr>
        <w:t>and 0.0314)</w:t>
      </w:r>
      <w:r>
        <w:rPr>
          <w:spacing w:val="-1"/>
          <w:sz w:val="20"/>
        </w:rPr>
        <w:t> </w:t>
      </w:r>
      <w:r>
        <w:rPr>
          <w:sz w:val="20"/>
        </w:rPr>
        <w:t>— both</w:t>
      </w:r>
      <w:r>
        <w:rPr>
          <w:spacing w:val="-5"/>
          <w:sz w:val="20"/>
        </w:rPr>
        <w:t> </w:t>
      </w:r>
      <w:r>
        <w:rPr>
          <w:sz w:val="20"/>
        </w:rPr>
        <w:t>roughly</w:t>
      </w:r>
      <w:r>
        <w:rPr>
          <w:spacing w:val="-10"/>
          <w:sz w:val="20"/>
        </w:rPr>
        <w:t> </w:t>
      </w:r>
      <w:r>
        <w:rPr>
          <w:sz w:val="20"/>
        </w:rPr>
        <w:t>3x GEICO's</w:t>
      </w:r>
      <w:r>
        <w:rPr>
          <w:spacing w:val="-9"/>
          <w:sz w:val="20"/>
        </w:rPr>
        <w:t> </w:t>
      </w:r>
      <w:r>
        <w:rPr>
          <w:sz w:val="20"/>
        </w:rPr>
        <w:t>ratio.</w:t>
      </w:r>
    </w:p>
    <w:p>
      <w:pPr>
        <w:pStyle w:val="ListParagraph"/>
        <w:numPr>
          <w:ilvl w:val="0"/>
          <w:numId w:val="2"/>
        </w:numPr>
        <w:tabs>
          <w:tab w:pos="721" w:val="left" w:leader="none"/>
        </w:tabs>
        <w:spacing w:line="240" w:lineRule="auto" w:before="83" w:after="0"/>
        <w:ind w:left="721" w:right="1407" w:hanging="361"/>
        <w:jc w:val="left"/>
        <w:rPr>
          <w:sz w:val="20"/>
        </w:rPr>
      </w:pPr>
      <w:r>
        <w:rPr>
          <w:sz w:val="20"/>
        </w:rPr>
        <w:t>Liberty</w:t>
      </w:r>
      <w:r>
        <w:rPr>
          <w:spacing w:val="-10"/>
          <w:sz w:val="20"/>
        </w:rPr>
        <w:t> </w:t>
      </w:r>
      <w:r>
        <w:rPr>
          <w:sz w:val="20"/>
        </w:rPr>
        <w:t>Mutual sits</w:t>
      </w:r>
      <w:r>
        <w:rPr>
          <w:spacing w:val="-6"/>
          <w:sz w:val="20"/>
        </w:rPr>
        <w:t> </w:t>
      </w:r>
      <w:r>
        <w:rPr>
          <w:sz w:val="20"/>
        </w:rPr>
        <w:t>in</w:t>
      </w:r>
      <w:r>
        <w:rPr>
          <w:spacing w:val="-1"/>
          <w:sz w:val="20"/>
        </w:rPr>
        <w:t> </w:t>
      </w:r>
      <w:r>
        <w:rPr>
          <w:sz w:val="20"/>
        </w:rPr>
        <w:t>the</w:t>
      </w:r>
      <w:r>
        <w:rPr>
          <w:spacing w:val="-8"/>
          <w:sz w:val="20"/>
        </w:rPr>
        <w:t> </w:t>
      </w:r>
      <w:r>
        <w:rPr>
          <w:sz w:val="20"/>
        </w:rPr>
        <w:t>middle</w:t>
      </w:r>
      <w:r>
        <w:rPr>
          <w:spacing w:val="-3"/>
          <w:sz w:val="20"/>
        </w:rPr>
        <w:t> </w:t>
      </w:r>
      <w:r>
        <w:rPr>
          <w:sz w:val="20"/>
        </w:rPr>
        <w:t>(0.0164)</w:t>
      </w:r>
      <w:r>
        <w:rPr>
          <w:spacing w:val="-1"/>
          <w:sz w:val="20"/>
        </w:rPr>
        <w:t> </w:t>
      </w:r>
      <w:r>
        <w:rPr>
          <w:sz w:val="20"/>
        </w:rPr>
        <w:t>with</w:t>
      </w:r>
      <w:r>
        <w:rPr>
          <w:spacing w:val="-1"/>
          <w:sz w:val="20"/>
        </w:rPr>
        <w:t> </w:t>
      </w:r>
      <w:r>
        <w:rPr>
          <w:sz w:val="20"/>
        </w:rPr>
        <w:t>the</w:t>
      </w:r>
      <w:r>
        <w:rPr>
          <w:spacing w:val="-3"/>
          <w:sz w:val="20"/>
        </w:rPr>
        <w:t> </w:t>
      </w:r>
      <w:r>
        <w:rPr>
          <w:sz w:val="20"/>
        </w:rPr>
        <w:t>smallest</w:t>
      </w:r>
      <w:r>
        <w:rPr>
          <w:spacing w:val="-8"/>
          <w:sz w:val="20"/>
        </w:rPr>
        <w:t> </w:t>
      </w:r>
      <w:r>
        <w:rPr>
          <w:sz w:val="20"/>
        </w:rPr>
        <w:t>premium base</w:t>
      </w:r>
      <w:r>
        <w:rPr>
          <w:spacing w:val="-3"/>
          <w:sz w:val="20"/>
        </w:rPr>
        <w:t> </w:t>
      </w:r>
      <w:r>
        <w:rPr>
          <w:sz w:val="20"/>
        </w:rPr>
        <w:t>of</w:t>
      </w:r>
      <w:r>
        <w:rPr>
          <w:spacing w:val="-5"/>
          <w:sz w:val="20"/>
        </w:rPr>
        <w:t> </w:t>
      </w:r>
      <w:r>
        <w:rPr>
          <w:sz w:val="20"/>
        </w:rPr>
        <w:t>the</w:t>
      </w:r>
      <w:r>
        <w:rPr>
          <w:spacing w:val="-3"/>
          <w:sz w:val="20"/>
        </w:rPr>
        <w:t> </w:t>
      </w:r>
      <w:r>
        <w:rPr>
          <w:sz w:val="20"/>
        </w:rPr>
        <w:t>five, giving</w:t>
      </w:r>
      <w:r>
        <w:rPr>
          <w:spacing w:val="-5"/>
          <w:sz w:val="20"/>
        </w:rPr>
        <w:t> </w:t>
      </w:r>
      <w:r>
        <w:rPr>
          <w:sz w:val="20"/>
        </w:rPr>
        <w:t>it comparatively little room for complaint volume to be diluted by scale.</w:t>
      </w:r>
    </w:p>
    <w:p>
      <w:pPr>
        <w:pStyle w:val="ListParagraph"/>
        <w:numPr>
          <w:ilvl w:val="0"/>
          <w:numId w:val="2"/>
        </w:numPr>
        <w:tabs>
          <w:tab w:pos="721" w:val="left" w:leader="none"/>
        </w:tabs>
        <w:spacing w:line="240" w:lineRule="auto" w:before="78" w:after="0"/>
        <w:ind w:left="721" w:right="424" w:hanging="361"/>
        <w:jc w:val="left"/>
        <w:rPr>
          <w:sz w:val="20"/>
        </w:rPr>
      </w:pPr>
      <w:r>
        <w:rPr>
          <w:sz w:val="20"/>
        </w:rPr>
        <w:t>All five</w:t>
      </w:r>
      <w:r>
        <w:rPr>
          <w:spacing w:val="-3"/>
          <w:sz w:val="20"/>
        </w:rPr>
        <w:t> </w:t>
      </w:r>
      <w:r>
        <w:rPr>
          <w:sz w:val="20"/>
        </w:rPr>
        <w:t>companies</w:t>
      </w:r>
      <w:r>
        <w:rPr>
          <w:spacing w:val="-2"/>
          <w:sz w:val="20"/>
        </w:rPr>
        <w:t> </w:t>
      </w:r>
      <w:r>
        <w:rPr>
          <w:sz w:val="20"/>
        </w:rPr>
        <w:t>trended</w:t>
      </w:r>
      <w:r>
        <w:rPr>
          <w:spacing w:val="-1"/>
          <w:sz w:val="20"/>
        </w:rPr>
        <w:t> </w:t>
      </w:r>
      <w:r>
        <w:rPr>
          <w:sz w:val="20"/>
        </w:rPr>
        <w:t>downward</w:t>
      </w:r>
      <w:r>
        <w:rPr>
          <w:spacing w:val="-5"/>
          <w:sz w:val="20"/>
        </w:rPr>
        <w:t> </w:t>
      </w:r>
      <w:r>
        <w:rPr>
          <w:sz w:val="20"/>
        </w:rPr>
        <w:t>in</w:t>
      </w:r>
      <w:r>
        <w:rPr>
          <w:spacing w:val="-1"/>
          <w:sz w:val="20"/>
        </w:rPr>
        <w:t> </w:t>
      </w:r>
      <w:r>
        <w:rPr>
          <w:sz w:val="20"/>
        </w:rPr>
        <w:t>complaint</w:t>
      </w:r>
      <w:r>
        <w:rPr>
          <w:spacing w:val="-3"/>
          <w:sz w:val="20"/>
        </w:rPr>
        <w:t> </w:t>
      </w:r>
      <w:r>
        <w:rPr>
          <w:sz w:val="20"/>
        </w:rPr>
        <w:t>ratio</w:t>
      </w:r>
      <w:r>
        <w:rPr>
          <w:spacing w:val="-5"/>
          <w:sz w:val="20"/>
        </w:rPr>
        <w:t> </w:t>
      </w:r>
      <w:r>
        <w:rPr>
          <w:sz w:val="20"/>
        </w:rPr>
        <w:t>from 2009</w:t>
      </w:r>
      <w:r>
        <w:rPr>
          <w:spacing w:val="-5"/>
          <w:sz w:val="20"/>
        </w:rPr>
        <w:t> </w:t>
      </w:r>
      <w:r>
        <w:rPr>
          <w:sz w:val="20"/>
        </w:rPr>
        <w:t>to</w:t>
      </w:r>
      <w:r>
        <w:rPr>
          <w:spacing w:val="-5"/>
          <w:sz w:val="20"/>
        </w:rPr>
        <w:t> </w:t>
      </w:r>
      <w:r>
        <w:rPr>
          <w:sz w:val="20"/>
        </w:rPr>
        <w:t>2015,</w:t>
      </w:r>
      <w:r>
        <w:rPr>
          <w:spacing w:val="-3"/>
          <w:sz w:val="20"/>
        </w:rPr>
        <w:t> </w:t>
      </w:r>
      <w:r>
        <w:rPr>
          <w:sz w:val="20"/>
        </w:rPr>
        <w:t>indicating</w:t>
      </w:r>
      <w:r>
        <w:rPr>
          <w:spacing w:val="-5"/>
          <w:sz w:val="20"/>
        </w:rPr>
        <w:t> </w:t>
      </w:r>
      <w:r>
        <w:rPr>
          <w:sz w:val="20"/>
        </w:rPr>
        <w:t>the</w:t>
      </w:r>
      <w:r>
        <w:rPr>
          <w:spacing w:val="-8"/>
          <w:sz w:val="20"/>
        </w:rPr>
        <w:t> </w:t>
      </w:r>
      <w:r>
        <w:rPr>
          <w:sz w:val="20"/>
        </w:rPr>
        <w:t>improvement</w:t>
      </w:r>
      <w:r>
        <w:rPr>
          <w:spacing w:val="-3"/>
          <w:sz w:val="20"/>
        </w:rPr>
        <w:t> </w:t>
      </w:r>
      <w:r>
        <w:rPr>
          <w:sz w:val="20"/>
        </w:rPr>
        <w:t>is partly a market-wide effect (see Section 3.1) rather than unique to any one insurer.</w:t>
      </w:r>
    </w:p>
    <w:p>
      <w:pPr>
        <w:pStyle w:val="BodyText"/>
        <w:spacing w:before="71"/>
      </w:pPr>
    </w:p>
    <w:p>
      <w:pPr>
        <w:pStyle w:val="Heading2"/>
        <w:numPr>
          <w:ilvl w:val="0"/>
          <w:numId w:val="1"/>
        </w:numPr>
        <w:tabs>
          <w:tab w:pos="324" w:val="left" w:leader="none"/>
        </w:tabs>
        <w:spacing w:line="240" w:lineRule="auto" w:before="0" w:after="0"/>
        <w:ind w:left="324" w:right="0" w:hanging="324"/>
        <w:jc w:val="left"/>
      </w:pPr>
      <w:bookmarkStart w:name="5. Summary" w:id="10"/>
      <w:bookmarkEnd w:id="10"/>
      <w:r>
        <w:rPr/>
      </w:r>
      <w:r>
        <w:rPr>
          <w:color w:val="2D74B5"/>
          <w:spacing w:val="-2"/>
        </w:rPr>
        <w:t>Summary</w:t>
      </w:r>
    </w:p>
    <w:p>
      <w:pPr>
        <w:pStyle w:val="Heading2"/>
        <w:spacing w:after="0" w:line="240" w:lineRule="auto"/>
        <w:jc w:val="left"/>
        <w:sectPr>
          <w:type w:val="continuous"/>
          <w:pgSz w:w="12240" w:h="15840"/>
          <w:pgMar w:top="1420" w:bottom="280" w:left="1440" w:right="1080"/>
        </w:sectPr>
      </w:pPr>
    </w:p>
    <w:p>
      <w:pPr>
        <w:pStyle w:val="BodyText"/>
        <w:spacing w:before="76"/>
        <w:ind w:right="381"/>
      </w:pPr>
      <w:r>
        <w:rPr/>
        <w:t>Across 2009–2015, Allstate's New York auto complaint experience improved substantially in absolute and ratio terms, in step with a broader industry-wide decline in complaints likely</w:t>
      </w:r>
      <w:r>
        <w:rPr>
          <w:spacing w:val="-1"/>
        </w:rPr>
        <w:t> </w:t>
      </w:r>
      <w:r>
        <w:rPr/>
        <w:t>tied to regulatory</w:t>
      </w:r>
      <w:r>
        <w:rPr>
          <w:spacing w:val="-1"/>
        </w:rPr>
        <w:t> </w:t>
      </w:r>
      <w:r>
        <w:rPr/>
        <w:t>tightening of no-fault claims</w:t>
      </w:r>
      <w:r>
        <w:rPr>
          <w:spacing w:val="-1"/>
        </w:rPr>
        <w:t> </w:t>
      </w:r>
      <w:r>
        <w:rPr/>
        <w:t>handling. Allstate's premium base contracted over the same period, suggesting the improvement came alongside a shrinking book rather than being purely</w:t>
      </w:r>
      <w:r>
        <w:rPr>
          <w:spacing w:val="-1"/>
        </w:rPr>
        <w:t> </w:t>
      </w:r>
      <w:r>
        <w:rPr/>
        <w:t>a service-quality</w:t>
      </w:r>
      <w:r>
        <w:rPr>
          <w:spacing w:val="-1"/>
        </w:rPr>
        <w:t> </w:t>
      </w:r>
      <w:r>
        <w:rPr/>
        <w:t>gain. Relative to peers, Allstate's 2015 complaint</w:t>
      </w:r>
      <w:r>
        <w:rPr>
          <w:spacing w:val="-8"/>
        </w:rPr>
        <w:t> </w:t>
      </w:r>
      <w:r>
        <w:rPr/>
        <w:t>ratio</w:t>
      </w:r>
      <w:r>
        <w:rPr>
          <w:spacing w:val="-9"/>
        </w:rPr>
        <w:t> </w:t>
      </w:r>
      <w:r>
        <w:rPr/>
        <w:t>remains</w:t>
      </w:r>
      <w:r>
        <w:rPr>
          <w:spacing w:val="-6"/>
        </w:rPr>
        <w:t> </w:t>
      </w:r>
      <w:r>
        <w:rPr/>
        <w:t>above</w:t>
      </w:r>
      <w:r>
        <w:rPr>
          <w:spacing w:val="-3"/>
        </w:rPr>
        <w:t> </w:t>
      </w:r>
      <w:r>
        <w:rPr/>
        <w:t>GEICO's</w:t>
      </w:r>
      <w:r>
        <w:rPr>
          <w:spacing w:val="-6"/>
        </w:rPr>
        <w:t> </w:t>
      </w:r>
      <w:r>
        <w:rPr/>
        <w:t>and</w:t>
      </w:r>
      <w:r>
        <w:rPr>
          <w:spacing w:val="-5"/>
        </w:rPr>
        <w:t> </w:t>
      </w:r>
      <w:r>
        <w:rPr/>
        <w:t>Progressive's, with Question-of-Fact complaints</w:t>
      </w:r>
      <w:r>
        <w:rPr>
          <w:spacing w:val="-6"/>
        </w:rPr>
        <w:t> </w:t>
      </w:r>
      <w:r>
        <w:rPr/>
        <w:t>as</w:t>
      </w:r>
      <w:r>
        <w:rPr>
          <w:spacing w:val="-6"/>
        </w:rPr>
        <w:t> </w:t>
      </w:r>
      <w:r>
        <w:rPr/>
        <w:t>its</w:t>
      </w:r>
      <w:r>
        <w:rPr>
          <w:spacing w:val="-1"/>
        </w:rPr>
        <w:t> </w:t>
      </w:r>
      <w:r>
        <w:rPr/>
        <w:t>clearest</w:t>
      </w:r>
      <w:r>
        <w:rPr>
          <w:spacing w:val="-3"/>
        </w:rPr>
        <w:t> </w:t>
      </w:r>
      <w:r>
        <w:rPr/>
        <w:t>area for continued improvement.</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1" w:hanging="361"/>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620" w:hanging="361"/>
      </w:pPr>
      <w:rPr>
        <w:rFonts w:hint="default"/>
        <w:lang w:val="en-US" w:eastAsia="en-US" w:bidi="ar-SA"/>
      </w:rPr>
    </w:lvl>
    <w:lvl w:ilvl="2">
      <w:start w:val="0"/>
      <w:numFmt w:val="bullet"/>
      <w:lvlText w:val="•"/>
      <w:lvlJc w:val="left"/>
      <w:pPr>
        <w:ind w:left="2520" w:hanging="361"/>
      </w:pPr>
      <w:rPr>
        <w:rFonts w:hint="default"/>
        <w:lang w:val="en-US" w:eastAsia="en-US" w:bidi="ar-SA"/>
      </w:rPr>
    </w:lvl>
    <w:lvl w:ilvl="3">
      <w:start w:val="0"/>
      <w:numFmt w:val="bullet"/>
      <w:lvlText w:val="•"/>
      <w:lvlJc w:val="left"/>
      <w:pPr>
        <w:ind w:left="3420" w:hanging="361"/>
      </w:pPr>
      <w:rPr>
        <w:rFonts w:hint="default"/>
        <w:lang w:val="en-US" w:eastAsia="en-US" w:bidi="ar-SA"/>
      </w:rPr>
    </w:lvl>
    <w:lvl w:ilvl="4">
      <w:start w:val="0"/>
      <w:numFmt w:val="bullet"/>
      <w:lvlText w:val="•"/>
      <w:lvlJc w:val="left"/>
      <w:pPr>
        <w:ind w:left="4320"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020" w:hanging="361"/>
      </w:pPr>
      <w:rPr>
        <w:rFonts w:hint="default"/>
        <w:lang w:val="en-US" w:eastAsia="en-US" w:bidi="ar-SA"/>
      </w:rPr>
    </w:lvl>
    <w:lvl w:ilvl="8">
      <w:start w:val="0"/>
      <w:numFmt w:val="bullet"/>
      <w:lvlText w:val="•"/>
      <w:lvlJc w:val="left"/>
      <w:pPr>
        <w:ind w:left="7920" w:hanging="361"/>
      </w:pPr>
      <w:rPr>
        <w:rFonts w:hint="default"/>
        <w:lang w:val="en-US" w:eastAsia="en-US" w:bidi="ar-SA"/>
      </w:rPr>
    </w:lvl>
  </w:abstractNum>
  <w:abstractNum w:abstractNumId="0">
    <w:multiLevelType w:val="hybridMultilevel"/>
    <w:lvl w:ilvl="0">
      <w:start w:val="1"/>
      <w:numFmt w:val="decimal"/>
      <w:lvlText w:val="%1."/>
      <w:lvlJc w:val="left"/>
      <w:pPr>
        <w:ind w:left="325" w:hanging="326"/>
        <w:jc w:val="left"/>
      </w:pPr>
      <w:rPr>
        <w:rFonts w:hint="default" w:ascii="Times New Roman" w:hAnsi="Times New Roman" w:eastAsia="Times New Roman" w:cs="Times New Roman"/>
        <w:b w:val="0"/>
        <w:bCs w:val="0"/>
        <w:i w:val="0"/>
        <w:iCs w:val="0"/>
        <w:color w:val="2D74B5"/>
        <w:spacing w:val="0"/>
        <w:w w:val="100"/>
        <w:sz w:val="32"/>
        <w:szCs w:val="32"/>
        <w:lang w:val="en-US" w:eastAsia="en-US" w:bidi="ar-SA"/>
      </w:rPr>
    </w:lvl>
    <w:lvl w:ilvl="1">
      <w:start w:val="1"/>
      <w:numFmt w:val="decimal"/>
      <w:lvlText w:val="%1.%2"/>
      <w:lvlJc w:val="left"/>
      <w:pPr>
        <w:ind w:left="393" w:hanging="393"/>
        <w:jc w:val="left"/>
      </w:pPr>
      <w:rPr>
        <w:rFonts w:hint="default" w:ascii="Times New Roman" w:hAnsi="Times New Roman" w:eastAsia="Times New Roman" w:cs="Times New Roman"/>
        <w:b w:val="0"/>
        <w:bCs w:val="0"/>
        <w:i w:val="0"/>
        <w:iCs w:val="0"/>
        <w:color w:val="2D74B5"/>
        <w:spacing w:val="0"/>
        <w:w w:val="99"/>
        <w:sz w:val="26"/>
        <w:szCs w:val="26"/>
        <w:lang w:val="en-US" w:eastAsia="en-US" w:bidi="ar-SA"/>
      </w:rPr>
    </w:lvl>
    <w:lvl w:ilvl="2">
      <w:start w:val="0"/>
      <w:numFmt w:val="bullet"/>
      <w:lvlText w:val="●"/>
      <w:lvlJc w:val="left"/>
      <w:pPr>
        <w:ind w:left="721" w:hanging="361"/>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1845" w:hanging="361"/>
      </w:pPr>
      <w:rPr>
        <w:rFonts w:hint="default"/>
        <w:lang w:val="en-US" w:eastAsia="en-US" w:bidi="ar-SA"/>
      </w:rPr>
    </w:lvl>
    <w:lvl w:ilvl="4">
      <w:start w:val="0"/>
      <w:numFmt w:val="bullet"/>
      <w:lvlText w:val="•"/>
      <w:lvlJc w:val="left"/>
      <w:pPr>
        <w:ind w:left="2970" w:hanging="361"/>
      </w:pPr>
      <w:rPr>
        <w:rFonts w:hint="default"/>
        <w:lang w:val="en-US" w:eastAsia="en-US" w:bidi="ar-SA"/>
      </w:rPr>
    </w:lvl>
    <w:lvl w:ilvl="5">
      <w:start w:val="0"/>
      <w:numFmt w:val="bullet"/>
      <w:lvlText w:val="•"/>
      <w:lvlJc w:val="left"/>
      <w:pPr>
        <w:ind w:left="4095" w:hanging="361"/>
      </w:pPr>
      <w:rPr>
        <w:rFonts w:hint="default"/>
        <w:lang w:val="en-US" w:eastAsia="en-US" w:bidi="ar-SA"/>
      </w:rPr>
    </w:lvl>
    <w:lvl w:ilvl="6">
      <w:start w:val="0"/>
      <w:numFmt w:val="bullet"/>
      <w:lvlText w:val="•"/>
      <w:lvlJc w:val="left"/>
      <w:pPr>
        <w:ind w:left="5220" w:hanging="361"/>
      </w:pPr>
      <w:rPr>
        <w:rFonts w:hint="default"/>
        <w:lang w:val="en-US" w:eastAsia="en-US" w:bidi="ar-SA"/>
      </w:rPr>
    </w:lvl>
    <w:lvl w:ilvl="7">
      <w:start w:val="0"/>
      <w:numFmt w:val="bullet"/>
      <w:lvlText w:val="•"/>
      <w:lvlJc w:val="left"/>
      <w:pPr>
        <w:ind w:left="6345" w:hanging="361"/>
      </w:pPr>
      <w:rPr>
        <w:rFonts w:hint="default"/>
        <w:lang w:val="en-US" w:eastAsia="en-US" w:bidi="ar-SA"/>
      </w:rPr>
    </w:lvl>
    <w:lvl w:ilvl="8">
      <w:start w:val="0"/>
      <w:numFmt w:val="bullet"/>
      <w:lvlText w:val="•"/>
      <w:lvlJc w:val="left"/>
      <w:pPr>
        <w:ind w:left="7470"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57"/>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ind w:left="324" w:hanging="324"/>
      <w:outlineLvl w:val="2"/>
    </w:pPr>
    <w:rPr>
      <w:rFonts w:ascii="Times New Roman" w:hAnsi="Times New Roman" w:eastAsia="Times New Roman" w:cs="Times New Roman"/>
      <w:sz w:val="32"/>
      <w:szCs w:val="32"/>
      <w:lang w:val="en-US" w:eastAsia="en-US" w:bidi="ar-SA"/>
    </w:rPr>
  </w:style>
  <w:style w:styleId="Heading3" w:type="paragraph">
    <w:name w:val="Heading 3"/>
    <w:basedOn w:val="Normal"/>
    <w:uiPriority w:val="1"/>
    <w:qFormat/>
    <w:pPr>
      <w:ind w:left="392" w:hanging="392"/>
      <w:outlineLvl w:val="3"/>
    </w:pPr>
    <w:rPr>
      <w:rFonts w:ascii="Times New Roman" w:hAnsi="Times New Roman" w:eastAsia="Times New Roman" w:cs="Times New Roman"/>
      <w:sz w:val="26"/>
      <w:szCs w:val="26"/>
      <w:lang w:val="en-US" w:eastAsia="en-US" w:bidi="ar-SA"/>
    </w:rPr>
  </w:style>
  <w:style w:styleId="ListParagraph" w:type="paragraph">
    <w:name w:val="List Paragraph"/>
    <w:basedOn w:val="Normal"/>
    <w:uiPriority w:val="1"/>
    <w:qFormat/>
    <w:pPr>
      <w:ind w:left="72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ind w:left="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2026-10-01T14:12:29Z</dcterms:created>
  <dcterms:modified xsi:type="dcterms:W3CDTF">2026-10-01T14:12:29Z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2026-10-01T00:00:00Z</vt:filetime>
  </property>
  <property fmtid="{D5CDD505-2E9C-101B-9397-08002B2CF9AE}" pid="6" name="Producer">
    <vt:lpwstr>www.ilovepdf.com</vt:lpwstr>
  </property>
</Properties>
</file>