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80"/>
        <w:jc w:val="center"/>
      </w:pPr>
      <w:r>
        <w:rPr>
          <w:rFonts w:ascii="Calibri" w:hAnsi="Calibri"/>
          <w:b/>
          <w:color w:val="FF6B35"/>
          <w:sz w:val="20"/>
        </w:rPr>
        <w:t>TE CONNECTIVITY  |  STANDARD</w:t>
      </w:r>
    </w:p>
    <w:p>
      <w:pPr>
        <w:pStyle w:val="Title"/>
        <w:spacing w:before="120" w:after="160"/>
        <w:jc w:val="center"/>
      </w:pPr>
      <w:r>
        <w:t>CLPS Enterprise Technical Documentation Prompt — Clean .md Reference Guide</w:t>
      </w:r>
    </w:p>
    <w:p>
      <w:pPr>
        <w:spacing w:after="3200"/>
        <w:jc w:val="center"/>
      </w:pPr>
      <w:r>
        <w:rPr>
          <w:rFonts w:ascii="Calibri" w:hAnsi="Calibri"/>
          <w:color w:val="808080"/>
          <w:sz w:val="24"/>
        </w:rPr>
        <w:t>October 16, 2026</w:t>
      </w:r>
    </w:p>
    <w:tbl>
      <w:tblPr>
        <w:tblStyle w:val="TableGrid"/>
        <w:tblW w:type="auto" w:w="0"/>
        <w:tblLook w:firstColumn="1" w:firstRow="1" w:lastColumn="0" w:lastRow="0" w:noHBand="0" w:noVBand="1" w:val="04A0"/>
      </w:tblPr>
      <w:tblGrid>
        <w:gridCol w:w="4320"/>
        <w:gridCol w:w="4320"/>
      </w:tblGrid>
      <w:tr>
        <w:tc>
          <w:tcPr>
            <w:tcW w:type="dxa" w:w="4320"/>
            <w:shd w:fill="2E75B6" w:val="clear"/>
          </w:tcPr>
          <w:p>
            <w:r/>
            <w:r>
              <w:rPr>
                <w:rFonts w:ascii="Calibri" w:hAnsi="Calibri"/>
                <w:b/>
                <w:color w:val="FFFFFF"/>
                <w:sz w:val="20"/>
              </w:rPr>
              <w:t>Document Owner</w:t>
            </w:r>
          </w:p>
        </w:tc>
        <w:tc>
          <w:tcPr>
            <w:tcW w:type="dxa" w:w="4320"/>
          </w:tcPr>
          <w:p>
            <w:r/>
            <w:r>
              <w:rPr>
                <w:rFonts w:ascii="Calibri" w:hAnsi="Calibri"/>
                <w:color w:val="1F4E79"/>
                <w:sz w:val="20"/>
              </w:rPr>
              <w:t>H R, Raghavendra</w:t>
            </w:r>
          </w:p>
        </w:tc>
      </w:tr>
      <w:tr>
        <w:tc>
          <w:tcPr>
            <w:tcW w:type="dxa" w:w="4320"/>
            <w:shd w:fill="2E75B6" w:val="clear"/>
          </w:tcPr>
          <w:p>
            <w:r/>
            <w:r>
              <w:rPr>
                <w:rFonts w:ascii="Calibri" w:hAnsi="Calibri"/>
                <w:b/>
                <w:color w:val="FFFFFF"/>
                <w:sz w:val="20"/>
              </w:rPr>
              <w:t>Generated by</w:t>
            </w:r>
          </w:p>
        </w:tc>
        <w:tc>
          <w:tcPr>
            <w:tcW w:type="dxa" w:w="4320"/>
          </w:tcPr>
          <w:p>
            <w:r/>
            <w:r>
              <w:rPr>
                <w:rFonts w:ascii="Calibri" w:hAnsi="Calibri"/>
                <w:color w:val="1F4E79"/>
                <w:sz w:val="20"/>
              </w:rPr>
              <w:t>TELme</w:t>
            </w:r>
          </w:p>
        </w:tc>
      </w:tr>
      <w:tr>
        <w:tc>
          <w:tcPr>
            <w:tcW w:type="dxa" w:w="4320"/>
            <w:shd w:fill="2E75B6" w:val="clear"/>
          </w:tcPr>
          <w:p>
            <w:r/>
            <w:r>
              <w:rPr>
                <w:rFonts w:ascii="Calibri" w:hAnsi="Calibri"/>
                <w:b/>
                <w:color w:val="FFFFFF"/>
                <w:sz w:val="20"/>
              </w:rPr>
              <w:t>Date</w:t>
            </w:r>
          </w:p>
        </w:tc>
        <w:tc>
          <w:tcPr>
            <w:tcW w:type="dxa" w:w="4320"/>
          </w:tcPr>
          <w:p>
            <w:r/>
            <w:r>
              <w:rPr>
                <w:rFonts w:ascii="Calibri" w:hAnsi="Calibri"/>
                <w:color w:val="1F4E79"/>
                <w:sz w:val="20"/>
              </w:rPr>
              <w:t>October 16, 2026</w:t>
            </w:r>
          </w:p>
        </w:tc>
      </w:tr>
      <w:tr>
        <w:tc>
          <w:tcPr>
            <w:tcW w:type="dxa" w:w="4320"/>
            <w:shd w:fill="2E75B6" w:val="clear"/>
          </w:tcPr>
          <w:p>
            <w:r/>
            <w:r>
              <w:rPr>
                <w:rFonts w:ascii="Calibri" w:hAnsi="Calibri"/>
                <w:b/>
                <w:color w:val="FFFFFF"/>
                <w:sz w:val="20"/>
              </w:rPr>
              <w:t>Version</w:t>
            </w:r>
          </w:p>
        </w:tc>
        <w:tc>
          <w:tcPr>
            <w:tcW w:type="dxa" w:w="4320"/>
          </w:tcPr>
          <w:p>
            <w:r/>
            <w:r>
              <w:rPr>
                <w:rFonts w:ascii="Calibri" w:hAnsi="Calibri"/>
                <w:color w:val="1F4E79"/>
                <w:sz w:val="20"/>
              </w:rPr>
              <w:t>1.0</w:t>
            </w:r>
          </w:p>
        </w:tc>
      </w:tr>
      <w:tr>
        <w:tc>
          <w:tcPr>
            <w:tcW w:type="dxa" w:w="4320"/>
            <w:shd w:fill="2E75B6" w:val="clear"/>
          </w:tcPr>
          <w:p>
            <w:r/>
            <w:r>
              <w:rPr>
                <w:rFonts w:ascii="Calibri" w:hAnsi="Calibri"/>
                <w:b/>
                <w:color w:val="FFFFFF"/>
                <w:sz w:val="20"/>
              </w:rPr>
              <w:t>Classification</w:t>
            </w:r>
          </w:p>
        </w:tc>
        <w:tc>
          <w:tcPr>
            <w:tcW w:type="dxa" w:w="4320"/>
          </w:tcPr>
          <w:p>
            <w:r/>
            <w:r>
              <w:rPr>
                <w:rFonts w:ascii="Calibri" w:hAnsi="Calibri"/>
                <w:color w:val="1F4E79"/>
                <w:sz w:val="20"/>
              </w:rPr>
              <w:t>TE Internal</w:t>
            </w:r>
          </w:p>
        </w:tc>
      </w:tr>
    </w:tbl>
    <w:p>
      <w:r>
        <w:br w:type="page"/>
      </w:r>
    </w:p>
    <w:p>
      <w:pPr>
        <w:pStyle w:val="Heading1"/>
      </w:pPr>
      <w:r>
        <w:t>Contents</w:t>
      </w:r>
    </w:p>
    <w:p>
      <w:r>
        <w:fldChar w:fldCharType="begin" w:dirty="true"/>
        <w:instrText xml:space="preserve"> TOC \o "1-3" \h \z \u </w:instrText>
        <w:fldChar w:fldCharType="separate"/>
        <w:t xml:space="preserve">[Update table of contents: right-click → Update Field]</w:t>
        <w:fldChar w:fldCharType="end"/>
      </w:r>
    </w:p>
    <w:p>
      <w:r>
        <w:br w:type="page"/>
      </w:r>
    </w:p>
    <w:p>
      <w:pPr>
        <w:pStyle w:val="Heading1"/>
      </w:pPr>
      <w:r>
        <w:t>CLPS Enterprise Technical Documentation Prompt — Clean .md Reference Guide</w:t>
      </w:r>
    </w:p>
    <w:p>
      <w:r>
        <w:rPr>
          <w:rFonts w:ascii="Calibri" w:hAnsi="Calibri"/>
          <w:sz w:val="22"/>
        </w:rPr>
        <w:t xml:space="preserve">This reference guide is a reusable, team-facing prompt template for generating enterprise-grade technical documentation for any </w:t>
      </w:r>
      <w:r>
        <w:rPr>
          <w:rFonts w:ascii="Calibri" w:hAnsi="Calibri"/>
          <w:b/>
          <w:sz w:val="22"/>
        </w:rPr>
        <w:t>CLPS (Manufacturing and Label Tracking System)</w:t>
      </w:r>
      <w:r>
        <w:rPr>
          <w:rFonts w:ascii="Calibri" w:hAnsi="Calibri"/>
          <w:sz w:val="22"/>
        </w:rPr>
        <w:t>. It is designed to be shared across engineering, architecture, and delivery teams so that every documentation engagement follows a consistent, evidence-based, and professionally structured approach. The guide covers everything from how to prepare your repository context through to the full 19-section master prompt and a quick-reference card for selective use.</w:t>
      </w:r>
    </w:p>
    <w:tbl>
      <w:tblPr>
        <w:tblW w:type="auto" w:w="0"/>
        <w:tblLook w:firstColumn="1" w:firstRow="1" w:lastColumn="0" w:lastRow="0" w:noHBand="0" w:noVBand="1" w:val="04A0"/>
      </w:tblPr>
      <w:tblGrid>
        <w:gridCol w:w="8640"/>
      </w:tblGrid>
      <w:tr>
        <w:tc>
          <w:tcPr>
            <w:tcW w:type="dxa" w:w="8640"/>
            <w:shd w:fill="FDE8E8" w:val="clear"/>
            <w:tcBorders>
              <w:top w:val="none"/>
              <w:left w:val="single" w:sz="24" w:color="E74C3C"/>
              <w:bottom w:val="none"/>
              <w:right w:val="none"/>
            </w:tcBorders>
          </w:tcPr>
          <w:p>
            <w:pPr>
              <w:spacing w:before="80" w:after="40"/>
            </w:pPr>
            <w:r/>
            <w:r>
              <w:rPr>
                <w:rFonts w:ascii="Calibri" w:hAnsi="Calibri"/>
                <w:b/>
                <w:color w:val="C03030"/>
                <w:sz w:val="20"/>
              </w:rPr>
              <w:t>❗ IMPORTANT</w:t>
            </w:r>
          </w:p>
          <w:p>
            <w:pPr>
              <w:spacing w:before="40" w:after="80"/>
            </w:pPr>
            <w:r>
              <w:rPr>
                <w:rFonts w:ascii="Calibri" w:hAnsi="Calibri"/>
                <w:sz w:val="20"/>
              </w:rPr>
              <w:t>All documentation generated using this prompt must be evidence-based. Every finding must reference a specific file, class, and method from the source code. Do not assert assumptions as facts — if something cannot be confirmed from the codebase, mark it explicitly as unknown.</w:t>
            </w:r>
          </w:p>
        </w:tc>
      </w:tr>
    </w:tbl>
    <w:p>
      <w:pPr>
        <w:spacing w:after="80"/>
      </w:pPr>
    </w:p>
    <w:p>
      <w:pPr>
        <w:pStyle w:val="Heading2"/>
      </w:pPr>
      <w:r>
        <w:t>1. Purpose and Scope</w:t>
      </w:r>
    </w:p>
    <w:p>
      <w:r>
        <w:rPr>
          <w:rFonts w:ascii="Calibri" w:hAnsi="Calibri"/>
          <w:sz w:val="22"/>
        </w:rPr>
        <w:t xml:space="preserve">This document serves two distinct purposes. First, it is an </w:t>
      </w:r>
      <w:r>
        <w:rPr>
          <w:rFonts w:ascii="Calibri" w:hAnsi="Calibri"/>
          <w:b/>
          <w:sz w:val="22"/>
        </w:rPr>
        <w:t>operational guide</w:t>
      </w:r>
      <w:r>
        <w:rPr>
          <w:rFonts w:ascii="Calibri" w:hAnsi="Calibri"/>
          <w:sz w:val="22"/>
        </w:rPr>
        <w:t xml:space="preserve"> that explains how team members should prepare, execute, and interpret the master prompt. Second, it is a </w:t>
      </w:r>
      <w:r>
        <w:rPr>
          <w:rFonts w:ascii="Calibri" w:hAnsi="Calibri"/>
          <w:b/>
          <w:sz w:val="22"/>
        </w:rPr>
        <w:t>prompt library</w:t>
      </w:r>
      <w:r>
        <w:rPr>
          <w:rFonts w:ascii="Calibri" w:hAnsi="Calibri"/>
          <w:sz w:val="22"/>
        </w:rPr>
        <w:t xml:space="preserve"> — a curated, structured set of instructions that, when provided to an AI assistant alongside a repository, produces a complete technical document covering architecture, security, database design, API specification, deployment, and production readiness.</w:t>
      </w:r>
    </w:p>
    <w:p>
      <w:r>
        <w:rPr>
          <w:rFonts w:ascii="Calibri" w:hAnsi="Calibri"/>
          <w:sz w:val="22"/>
        </w:rPr>
        <w:t>The scope covers any .NET-based CLPS application that manages label tracking (LT) generation, batch management, print master retrieval, order validation, machine validation, site resolution, and label printing workflows. The prompt is technology-stack-aware and will adapt its output based on what it discovers in the repository.</w:t>
      </w:r>
    </w:p>
    <w:p>
      <w:r>
        <w:br w:type="page"/>
      </w:r>
    </w:p>
    <w:p>
      <w:pPr>
        <w:pStyle w:val="Heading1"/>
      </w:pPr>
      <w:r>
        <w:t>2. How to Use This Guide</w:t>
      </w:r>
    </w:p>
    <w:p>
      <w:pPr>
        <w:pStyle w:val="Heading2"/>
      </w:pPr>
      <w:r>
        <w:t>2.1 Step 1 — Prepare Your Repository Context</w:t>
      </w:r>
    </w:p>
    <w:p>
      <w:r>
        <w:rPr>
          <w:rFonts w:ascii="Calibri" w:hAnsi="Calibri"/>
          <w:sz w:val="22"/>
        </w:rPr>
        <w:t>Before running the master prompt, ensure you have access to all of the following artefacts. The quality of the generated documentation is directly proportional to the completeness of the repository context you provide.</w:t>
      </w:r>
    </w:p>
    <w:p>
      <w:pPr>
        <w:pStyle w:val="ListBullet"/>
      </w:pPr>
      <w:r>
        <w:rPr>
          <w:rFonts w:ascii="Calibri" w:hAnsi="Calibri"/>
          <w:sz w:val="22"/>
        </w:rPr>
        <w:t>Source code repository (Git, Azure DevOps, or GitHub)</w:t>
      </w:r>
    </w:p>
    <w:p>
      <w:pPr>
        <w:pStyle w:val="ListBullet"/>
      </w:pPr>
      <w:r>
        <w:rPr>
          <w:rFonts w:ascii="Calibri" w:hAnsi="Calibri"/>
          <w:sz w:val="22"/>
        </w:rPr>
        <w:t>Solution file (</w:t>
      </w:r>
      <w:r>
        <w:rPr>
          <w:rFonts w:ascii="Courier New" w:hAnsi="Courier New"/>
          <w:sz w:val="20"/>
        </w:rPr>
        <w:t>.sln</w:t>
      </w:r>
      <w:r>
        <w:rPr>
          <w:rFonts w:ascii="Calibri" w:hAnsi="Calibri"/>
          <w:sz w:val="22"/>
        </w:rPr>
        <w:t>) and all project files (</w:t>
      </w:r>
      <w:r>
        <w:rPr>
          <w:rFonts w:ascii="Courier New" w:hAnsi="Courier New"/>
          <w:sz w:val="20"/>
        </w:rPr>
        <w:t>.csproj</w:t>
      </w:r>
      <w:r>
        <w:rPr>
          <w:rFonts w:ascii="Calibri" w:hAnsi="Calibri"/>
          <w:sz w:val="22"/>
        </w:rPr>
        <w:t>)</w:t>
      </w:r>
    </w:p>
    <w:p>
      <w:pPr>
        <w:pStyle w:val="ListBullet"/>
      </w:pPr>
      <w:r>
        <w:rPr>
          <w:rFonts w:ascii="Calibri" w:hAnsi="Calibri"/>
          <w:sz w:val="22"/>
        </w:rPr>
        <w:t xml:space="preserve">Configuration files: </w:t>
      </w:r>
      <w:r>
        <w:rPr>
          <w:rFonts w:ascii="Courier New" w:hAnsi="Courier New"/>
          <w:sz w:val="20"/>
        </w:rPr>
        <w:t>appsettings.json</w:t>
      </w:r>
      <w:r>
        <w:rPr>
          <w:rFonts w:ascii="Calibri" w:hAnsi="Calibri"/>
          <w:sz w:val="22"/>
        </w:rPr>
        <w:t xml:space="preserve">, </w:t>
      </w:r>
      <w:r>
        <w:rPr>
          <w:rFonts w:ascii="Courier New" w:hAnsi="Courier New"/>
          <w:sz w:val="20"/>
        </w:rPr>
        <w:t>appsettings.{Environment}.json</w:t>
      </w:r>
      <w:r>
        <w:rPr>
          <w:rFonts w:ascii="Calibri" w:hAnsi="Calibri"/>
          <w:sz w:val="22"/>
        </w:rPr>
        <w:t xml:space="preserve">, </w:t>
      </w:r>
      <w:r>
        <w:rPr>
          <w:rFonts w:ascii="Courier New" w:hAnsi="Courier New"/>
          <w:sz w:val="20"/>
        </w:rPr>
        <w:t>Dockerfile</w:t>
      </w:r>
      <w:r>
        <w:rPr>
          <w:rFonts w:ascii="Calibri" w:hAnsi="Calibri"/>
          <w:sz w:val="22"/>
        </w:rPr>
        <w:t>, Kubernetes YAML manifests</w:t>
      </w:r>
    </w:p>
    <w:p>
      <w:pPr>
        <w:pStyle w:val="ListBullet"/>
      </w:pPr>
      <w:r>
        <w:rPr>
          <w:rFonts w:ascii="Calibri" w:hAnsi="Calibri"/>
          <w:sz w:val="22"/>
        </w:rPr>
        <w:t>Database artefacts: EF Core migrations, stored procedures, raw SQL scripts, seed data scripts</w:t>
      </w:r>
    </w:p>
    <w:p>
      <w:pPr>
        <w:pStyle w:val="ListBullet"/>
      </w:pPr>
      <w:r>
        <w:rPr>
          <w:rFonts w:ascii="Calibri" w:hAnsi="Calibri"/>
          <w:sz w:val="22"/>
        </w:rPr>
        <w:t>Pipeline definitions: Azure DevOps YAML pipelines, GitHub Actions workflows</w:t>
      </w:r>
    </w:p>
    <w:p>
      <w:pPr>
        <w:pStyle w:val="ListBullet"/>
      </w:pPr>
      <w:r>
        <w:rPr>
          <w:rFonts w:ascii="Calibri" w:hAnsi="Calibri"/>
          <w:sz w:val="22"/>
        </w:rPr>
        <w:t>Test projects: unit tests, integration tests, and any test fixture files</w:t>
      </w:r>
    </w:p>
    <w:tbl>
      <w:tblPr>
        <w:tblW w:type="auto" w:w="0"/>
        <w:tblLook w:firstColumn="1" w:firstRow="1" w:lastColumn="0" w:lastRow="0" w:noHBand="0" w:noVBand="1" w:val="04A0"/>
      </w:tblPr>
      <w:tblGrid>
        <w:gridCol w:w="8640"/>
      </w:tblGrid>
      <w:tr>
        <w:tc>
          <w:tcPr>
            <w:tcW w:type="dxa" w:w="8640"/>
            <w:shd w:fill="FFF3CD" w:val="clear"/>
            <w:tcBorders>
              <w:top w:val="none"/>
              <w:left w:val="single" w:sz="24" w:color="FF6B35"/>
              <w:bottom w:val="none"/>
              <w:right w:val="none"/>
            </w:tcBorders>
          </w:tcPr>
          <w:p>
            <w:pPr>
              <w:spacing w:before="80" w:after="40"/>
            </w:pPr>
            <w:r/>
            <w:r>
              <w:rPr>
                <w:rFonts w:ascii="Calibri" w:hAnsi="Calibri"/>
                <w:b/>
                <w:color w:val="C05000"/>
                <w:sz w:val="20"/>
              </w:rPr>
              <w:t>⚠ WARNING</w:t>
            </w:r>
          </w:p>
          <w:p>
            <w:pPr>
              <w:spacing w:before="40" w:after="80"/>
            </w:pPr>
            <w:r>
              <w:rPr>
                <w:rFonts w:ascii="Calibri" w:hAnsi="Calibri"/>
                <w:sz w:val="20"/>
              </w:rPr>
              <w:t>If configuration files containing secrets (connection strings, API keys) are present in the repository, ensure you are working in a secure, access-controlled environment before attaching them to any AI assistant session.</w:t>
            </w:r>
          </w:p>
        </w:tc>
      </w:tr>
    </w:tbl>
    <w:p>
      <w:pPr>
        <w:spacing w:after="80"/>
      </w:pPr>
    </w:p>
    <w:p>
      <w:pPr>
        <w:pStyle w:val="Heading2"/>
      </w:pPr>
      <w:r>
        <w:t>2.2 Step 2 — Paste the Master Prompt</w:t>
      </w:r>
    </w:p>
    <w:p>
      <w:r>
        <w:rPr>
          <w:rFonts w:ascii="Calibri" w:hAnsi="Calibri"/>
          <w:sz w:val="22"/>
        </w:rPr>
        <w:t xml:space="preserve">Copy the entire </w:t>
      </w:r>
      <w:r>
        <w:rPr>
          <w:rFonts w:ascii="Calibri" w:hAnsi="Calibri"/>
          <w:b/>
          <w:sz w:val="22"/>
        </w:rPr>
        <w:t>Master Prompt</w:t>
      </w:r>
      <w:r>
        <w:rPr>
          <w:rFonts w:ascii="Calibri" w:hAnsi="Calibri"/>
          <w:sz w:val="22"/>
        </w:rPr>
        <w:t xml:space="preserve"> section (Section 4 of this guide) and paste it as the first message in your AI assistant session (TELme or equivalent). The prompt is self-contained and includes role assignment, repository analysis requirements, section-by-section documentation instructions, and output format rules.</w:t>
      </w:r>
    </w:p>
    <w:p>
      <w:pPr>
        <w:pStyle w:val="Heading2"/>
      </w:pPr>
      <w:r>
        <w:t>2.3 Step 3 — Attach Repository Files</w:t>
      </w:r>
    </w:p>
    <w:p>
      <w:r>
        <w:rPr>
          <w:rFonts w:ascii="Calibri" w:hAnsi="Calibri"/>
          <w:sz w:val="22"/>
        </w:rPr>
        <w:t>Attach or reference the repository path so the AI assistant can scan the source code. If your assistant supports file uploads, attach the solution folder as a ZIP or provide a direct repository URL. If working with a context-window-limited assistant, prioritise attaching the following files in order of importance:</w:t>
      </w:r>
    </w:p>
    <w:p>
      <w:pPr>
        <w:pStyle w:val="ListBullet"/>
      </w:pPr>
      <w:r>
        <w:rPr>
          <w:rFonts w:ascii="Courier New" w:hAnsi="Courier New"/>
          <w:sz w:val="20"/>
        </w:rPr>
        <w:t>Program.cs</w:t>
      </w:r>
      <w:r>
        <w:rPr>
          <w:rFonts w:ascii="Calibri" w:hAnsi="Calibri"/>
          <w:sz w:val="22"/>
        </w:rPr>
        <w:t xml:space="preserve"> / </w:t>
      </w:r>
      <w:r>
        <w:rPr>
          <w:rFonts w:ascii="Courier New" w:hAnsi="Courier New"/>
          <w:sz w:val="20"/>
        </w:rPr>
        <w:t>Startup.cs</w:t>
      </w:r>
      <w:r>
        <w:rPr>
          <w:rFonts w:ascii="Calibri" w:hAnsi="Calibri"/>
          <w:sz w:val="22"/>
        </w:rPr>
        <w:t xml:space="preserve"> — application bootstrap and DI registration</w:t>
      </w:r>
    </w:p>
    <w:p>
      <w:pPr>
        <w:pStyle w:val="ListBullet"/>
      </w:pPr>
      <w:r>
        <w:rPr>
          <w:rFonts w:ascii="Calibri" w:hAnsi="Calibri"/>
          <w:sz w:val="22"/>
        </w:rPr>
        <w:t xml:space="preserve">All </w:t>
      </w:r>
      <w:r>
        <w:rPr>
          <w:rFonts w:ascii="Courier New" w:hAnsi="Courier New"/>
          <w:sz w:val="20"/>
        </w:rPr>
        <w:t>*Controller.cs</w:t>
      </w:r>
      <w:r>
        <w:rPr>
          <w:rFonts w:ascii="Calibri" w:hAnsi="Calibri"/>
          <w:sz w:val="22"/>
        </w:rPr>
        <w:t xml:space="preserve"> files — API surface area</w:t>
      </w:r>
    </w:p>
    <w:p>
      <w:pPr>
        <w:pStyle w:val="ListBullet"/>
      </w:pPr>
      <w:r>
        <w:rPr>
          <w:rFonts w:ascii="Calibri" w:hAnsi="Calibri"/>
          <w:sz w:val="22"/>
        </w:rPr>
        <w:t xml:space="preserve">All </w:t>
      </w:r>
      <w:r>
        <w:rPr>
          <w:rFonts w:ascii="Courier New" w:hAnsi="Courier New"/>
          <w:sz w:val="20"/>
        </w:rPr>
        <w:t>*Service.cs</w:t>
      </w:r>
      <w:r>
        <w:rPr>
          <w:rFonts w:ascii="Calibri" w:hAnsi="Calibri"/>
          <w:sz w:val="22"/>
        </w:rPr>
        <w:t xml:space="preserve"> and </w:t>
      </w:r>
      <w:r>
        <w:rPr>
          <w:rFonts w:ascii="Courier New" w:hAnsi="Courier New"/>
          <w:sz w:val="20"/>
        </w:rPr>
        <w:t>*InternalService.cs</w:t>
      </w:r>
      <w:r>
        <w:rPr>
          <w:rFonts w:ascii="Calibri" w:hAnsi="Calibri"/>
          <w:sz w:val="22"/>
        </w:rPr>
        <w:t xml:space="preserve"> files — business logic</w:t>
      </w:r>
    </w:p>
    <w:p>
      <w:pPr>
        <w:pStyle w:val="ListBullet"/>
      </w:pPr>
      <w:r>
        <w:rPr>
          <w:rFonts w:ascii="Calibri" w:hAnsi="Calibri"/>
          <w:sz w:val="22"/>
        </w:rPr>
        <w:t xml:space="preserve">All </w:t>
      </w:r>
      <w:r>
        <w:rPr>
          <w:rFonts w:ascii="Courier New" w:hAnsi="Courier New"/>
          <w:sz w:val="20"/>
        </w:rPr>
        <w:t>*Repository.cs</w:t>
      </w:r>
      <w:r>
        <w:rPr>
          <w:rFonts w:ascii="Calibri" w:hAnsi="Calibri"/>
          <w:sz w:val="22"/>
        </w:rPr>
        <w:t xml:space="preserve"> files — data access layer</w:t>
      </w:r>
    </w:p>
    <w:p>
      <w:pPr>
        <w:pStyle w:val="ListBullet"/>
      </w:pPr>
      <w:r>
        <w:rPr>
          <w:rFonts w:ascii="Courier New" w:hAnsi="Courier New"/>
          <w:sz w:val="20"/>
        </w:rPr>
        <w:t>appsettings.json</w:t>
      </w:r>
      <w:r>
        <w:rPr>
          <w:rFonts w:ascii="Calibri" w:hAnsi="Calibri"/>
          <w:sz w:val="22"/>
        </w:rPr>
        <w:t xml:space="preserve"> — configuration and infrastructure references</w:t>
      </w:r>
    </w:p>
    <w:p>
      <w:pPr>
        <w:pStyle w:val="ListBullet"/>
      </w:pPr>
      <w:r>
        <w:rPr>
          <w:rFonts w:ascii="Calibri" w:hAnsi="Calibri"/>
          <w:sz w:val="22"/>
        </w:rPr>
        <w:t xml:space="preserve">EF Core </w:t>
      </w:r>
      <w:r>
        <w:rPr>
          <w:rFonts w:ascii="Courier New" w:hAnsi="Courier New"/>
          <w:sz w:val="20"/>
        </w:rPr>
        <w:t>DbContext</w:t>
      </w:r>
      <w:r>
        <w:rPr>
          <w:rFonts w:ascii="Calibri" w:hAnsi="Calibri"/>
          <w:sz w:val="22"/>
        </w:rPr>
        <w:t xml:space="preserve"> and migration files — database schema</w:t>
      </w:r>
    </w:p>
    <w:p>
      <w:pPr>
        <w:pStyle w:val="ListBullet"/>
      </w:pPr>
      <w:r>
        <w:rPr>
          <w:rFonts w:ascii="Courier New" w:hAnsi="Courier New"/>
          <w:sz w:val="20"/>
        </w:rPr>
        <w:t>Dockerfile</w:t>
      </w:r>
      <w:r>
        <w:rPr>
          <w:rFonts w:ascii="Calibri" w:hAnsi="Calibri"/>
          <w:sz w:val="22"/>
        </w:rPr>
        <w:t xml:space="preserve"> and Kubernetes YAML — deployment topology</w:t>
      </w:r>
    </w:p>
    <w:p>
      <w:pPr>
        <w:pStyle w:val="Heading2"/>
      </w:pPr>
      <w:r>
        <w:t>2.4 Step 4 — Expected Output</w:t>
      </w:r>
    </w:p>
    <w:p>
      <w:r>
        <w:rPr>
          <w:rFonts w:ascii="Calibri" w:hAnsi="Calibri"/>
          <w:sz w:val="22"/>
        </w:rPr>
        <w:t>The AI will generate a structured document covering all 19 sections defined in the master prompt. The output will be in clean Markdown (</w:t>
      </w:r>
      <w:r>
        <w:rPr>
          <w:rFonts w:ascii="Courier New" w:hAnsi="Courier New"/>
          <w:sz w:val="20"/>
        </w:rPr>
        <w:t>.md</w:t>
      </w:r>
      <w:r>
        <w:rPr>
          <w:rFonts w:ascii="Calibri" w:hAnsi="Calibri"/>
          <w:sz w:val="22"/>
        </w:rPr>
        <w:t>) format, with Mermaid diagrams for all architecture visuals, tables for structured data, and inline code references throughout. The document is immediately usable in VS Code, GitHub, GitLab, Obsidian, or Typora.</w:t>
      </w:r>
    </w:p>
    <w:p>
      <w:r>
        <w:br w:type="page"/>
      </w:r>
    </w:p>
    <w:p>
      <w:pPr>
        <w:pStyle w:val="Heading1"/>
      </w:pPr>
      <w:r>
        <w:t>3. Quick Reference Card</w:t>
      </w:r>
    </w:p>
    <w:p>
      <w:r>
        <w:rPr>
          <w:rFonts w:ascii="Calibri" w:hAnsi="Calibri"/>
          <w:sz w:val="22"/>
        </w:rPr>
        <w:t>Not every engagement requires the full 19-section document. Use the table below to identify which sections of the master prompt to include for targeted documentation tasks.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6" w:val="clear"/>
          </w:tcPr>
          <w:p>
            <w:r>
              <w:rPr>
                <w:b/>
              </w:rPr>
            </w:r>
            <w:r>
              <w:rPr>
                <w:rFonts w:ascii="Calibri" w:hAnsi="Calibri"/>
                <w:b/>
                <w:color w:val="FFFFFF"/>
                <w:sz w:val="20"/>
              </w:rPr>
              <w:t>Documentation Goal</w:t>
            </w:r>
          </w:p>
        </w:tc>
        <w:tc>
          <w:tcPr>
            <w:tcW w:type="dxa" w:w="2880"/>
            <w:shd w:fill="2E75B6" w:val="clear"/>
          </w:tcPr>
          <w:p>
            <w:r>
              <w:rPr>
                <w:b/>
              </w:rPr>
            </w:r>
            <w:r>
              <w:rPr>
                <w:rFonts w:ascii="Calibri" w:hAnsi="Calibri"/>
                <w:b/>
                <w:color w:val="FFFFFF"/>
                <w:sz w:val="20"/>
              </w:rPr>
              <w:t>Sections to Include</w:t>
            </w:r>
          </w:p>
        </w:tc>
        <w:tc>
          <w:tcPr>
            <w:tcW w:type="dxa" w:w="2880"/>
            <w:shd w:fill="2E75B6" w:val="clear"/>
          </w:tcPr>
          <w:p>
            <w:r>
              <w:rPr>
                <w:b/>
              </w:rPr>
            </w:r>
            <w:r>
              <w:rPr>
                <w:rFonts w:ascii="Calibri" w:hAnsi="Calibri"/>
                <w:b/>
                <w:color w:val="FFFFFF"/>
                <w:sz w:val="20"/>
              </w:rPr>
              <w:t>Typical Use Case</w:t>
            </w:r>
          </w:p>
        </w:tc>
      </w:tr>
      <w:tr>
        <w:tc>
          <w:tcPr>
            <w:tcW w:type="dxa" w:w="2880"/>
            <w:shd w:fill="F2F2F2" w:val="clear"/>
          </w:tcPr>
          <w:p>
            <w:r/>
            <w:r>
              <w:rPr>
                <w:rFonts w:ascii="Calibri" w:hAnsi="Calibri"/>
                <w:sz w:val="20"/>
              </w:rPr>
              <w:t>Full technical document</w:t>
            </w:r>
          </w:p>
        </w:tc>
        <w:tc>
          <w:tcPr>
            <w:tcW w:type="dxa" w:w="2880"/>
            <w:shd w:fill="F2F2F2" w:val="clear"/>
          </w:tcPr>
          <w:p>
            <w:r/>
            <w:r>
              <w:rPr>
                <w:rFonts w:ascii="Calibri" w:hAnsi="Calibri"/>
                <w:sz w:val="20"/>
              </w:rPr>
              <w:t>All 19 sections</w:t>
            </w:r>
          </w:p>
        </w:tc>
        <w:tc>
          <w:tcPr>
            <w:tcW w:type="dxa" w:w="2880"/>
            <w:shd w:fill="F2F2F2" w:val="clear"/>
          </w:tcPr>
          <w:p>
            <w:r/>
            <w:r>
              <w:rPr>
                <w:rFonts w:ascii="Calibri" w:hAnsi="Calibri"/>
                <w:sz w:val="20"/>
              </w:rPr>
              <w:t>New project onboarding, architecture review, audit preparation</w:t>
            </w:r>
          </w:p>
        </w:tc>
      </w:tr>
      <w:tr>
        <w:tc>
          <w:tcPr>
            <w:tcW w:type="dxa" w:w="2880"/>
          </w:tcPr>
          <w:p>
            <w:r/>
            <w:r>
              <w:rPr>
                <w:rFonts w:ascii="Calibri" w:hAnsi="Calibri"/>
                <w:sz w:val="20"/>
              </w:rPr>
              <w:t>Architecture diagrams only</w:t>
            </w:r>
          </w:p>
        </w:tc>
        <w:tc>
          <w:tcPr>
            <w:tcW w:type="dxa" w:w="2880"/>
          </w:tcPr>
          <w:p>
            <w:r/>
            <w:r>
              <w:rPr>
                <w:rFonts w:ascii="Calibri" w:hAnsi="Calibri"/>
                <w:sz w:val="20"/>
              </w:rPr>
              <w:t>Sections 3, 13, 14</w:t>
            </w:r>
          </w:p>
        </w:tc>
        <w:tc>
          <w:tcPr>
            <w:tcW w:type="dxa" w:w="2880"/>
          </w:tcPr>
          <w:p>
            <w:r/>
            <w:r>
              <w:rPr>
                <w:rFonts w:ascii="Calibri" w:hAnsi="Calibri"/>
                <w:sz w:val="20"/>
              </w:rPr>
              <w:t>Design review, stakeholder presentation</w:t>
            </w:r>
          </w:p>
        </w:tc>
      </w:tr>
      <w:tr>
        <w:tc>
          <w:tcPr>
            <w:tcW w:type="dxa" w:w="2880"/>
            <w:shd w:fill="F2F2F2" w:val="clear"/>
          </w:tcPr>
          <w:p>
            <w:r/>
            <w:r>
              <w:rPr>
                <w:rFonts w:ascii="Calibri" w:hAnsi="Calibri"/>
                <w:sz w:val="20"/>
              </w:rPr>
              <w:t>Security review only</w:t>
            </w:r>
          </w:p>
        </w:tc>
        <w:tc>
          <w:tcPr>
            <w:tcW w:type="dxa" w:w="2880"/>
            <w:shd w:fill="F2F2F2" w:val="clear"/>
          </w:tcPr>
          <w:p>
            <w:r/>
            <w:r>
              <w:rPr>
                <w:rFonts w:ascii="Calibri" w:hAnsi="Calibri"/>
                <w:sz w:val="20"/>
              </w:rPr>
              <w:t>Section 10</w:t>
            </w:r>
          </w:p>
        </w:tc>
        <w:tc>
          <w:tcPr>
            <w:tcW w:type="dxa" w:w="2880"/>
            <w:shd w:fill="F2F2F2" w:val="clear"/>
          </w:tcPr>
          <w:p>
            <w:r/>
            <w:r>
              <w:rPr>
                <w:rFonts w:ascii="Calibri" w:hAnsi="Calibri"/>
                <w:sz w:val="20"/>
              </w:rPr>
              <w:t>Penetration test preparation, compliance audit</w:t>
            </w:r>
          </w:p>
        </w:tc>
      </w:tr>
      <w:tr>
        <w:tc>
          <w:tcPr>
            <w:tcW w:type="dxa" w:w="2880"/>
          </w:tcPr>
          <w:p>
            <w:r/>
            <w:r>
              <w:rPr>
                <w:rFonts w:ascii="Calibri" w:hAnsi="Calibri"/>
                <w:sz w:val="20"/>
              </w:rPr>
              <w:t>API documentation only</w:t>
            </w:r>
          </w:p>
        </w:tc>
        <w:tc>
          <w:tcPr>
            <w:tcW w:type="dxa" w:w="2880"/>
          </w:tcPr>
          <w:p>
            <w:r/>
            <w:r>
              <w:rPr>
                <w:rFonts w:ascii="Calibri" w:hAnsi="Calibri"/>
                <w:sz w:val="20"/>
              </w:rPr>
              <w:t>Section 8</w:t>
            </w:r>
          </w:p>
        </w:tc>
        <w:tc>
          <w:tcPr>
            <w:tcW w:type="dxa" w:w="2880"/>
          </w:tcPr>
          <w:p>
            <w:r/>
            <w:r>
              <w:rPr>
                <w:rFonts w:ascii="Calibri" w:hAnsi="Calibri"/>
                <w:sz w:val="20"/>
              </w:rPr>
              <w:t>Developer onboarding, integration partner handoff</w:t>
            </w:r>
          </w:p>
        </w:tc>
      </w:tr>
      <w:tr>
        <w:tc>
          <w:tcPr>
            <w:tcW w:type="dxa" w:w="2880"/>
            <w:shd w:fill="F2F2F2" w:val="clear"/>
          </w:tcPr>
          <w:p>
            <w:r/>
            <w:r>
              <w:rPr>
                <w:rFonts w:ascii="Calibri" w:hAnsi="Calibri"/>
                <w:sz w:val="20"/>
              </w:rPr>
              <w:t>Database design only</w:t>
            </w:r>
          </w:p>
        </w:tc>
        <w:tc>
          <w:tcPr>
            <w:tcW w:type="dxa" w:w="2880"/>
            <w:shd w:fill="F2F2F2" w:val="clear"/>
          </w:tcPr>
          <w:p>
            <w:r/>
            <w:r>
              <w:rPr>
                <w:rFonts w:ascii="Calibri" w:hAnsi="Calibri"/>
                <w:sz w:val="20"/>
              </w:rPr>
              <w:t>Section 7</w:t>
            </w:r>
          </w:p>
        </w:tc>
        <w:tc>
          <w:tcPr>
            <w:tcW w:type="dxa" w:w="2880"/>
            <w:shd w:fill="F2F2F2" w:val="clear"/>
          </w:tcPr>
          <w:p>
            <w:r/>
            <w:r>
              <w:rPr>
                <w:rFonts w:ascii="Calibri" w:hAnsi="Calibri"/>
                <w:sz w:val="20"/>
              </w:rPr>
              <w:t>DBA review, schema migration planning</w:t>
            </w:r>
          </w:p>
        </w:tc>
      </w:tr>
      <w:tr>
        <w:tc>
          <w:tcPr>
            <w:tcW w:type="dxa" w:w="2880"/>
          </w:tcPr>
          <w:p>
            <w:r/>
            <w:r>
              <w:rPr>
                <w:rFonts w:ascii="Calibri" w:hAnsi="Calibri"/>
                <w:sz w:val="20"/>
              </w:rPr>
              <w:t>Recommendations only</w:t>
            </w:r>
          </w:p>
        </w:tc>
        <w:tc>
          <w:tcPr>
            <w:tcW w:type="dxa" w:w="2880"/>
          </w:tcPr>
          <w:p>
            <w:r/>
            <w:r>
              <w:rPr>
                <w:rFonts w:ascii="Calibri" w:hAnsi="Calibri"/>
                <w:sz w:val="20"/>
              </w:rPr>
              <w:t>Section 19</w:t>
            </w:r>
          </w:p>
        </w:tc>
        <w:tc>
          <w:tcPr>
            <w:tcW w:type="dxa" w:w="2880"/>
          </w:tcPr>
          <w:p>
            <w:r/>
            <w:r>
              <w:rPr>
                <w:rFonts w:ascii="Calibri" w:hAnsi="Calibri"/>
                <w:sz w:val="20"/>
              </w:rPr>
              <w:t>Sprint planning, technical debt backlog grooming</w:t>
            </w:r>
          </w:p>
        </w:tc>
      </w:tr>
      <w:tr>
        <w:tc>
          <w:tcPr>
            <w:tcW w:type="dxa" w:w="2880"/>
            <w:shd w:fill="F2F2F2" w:val="clear"/>
          </w:tcPr>
          <w:p>
            <w:r/>
            <w:r>
              <w:rPr>
                <w:rFonts w:ascii="Calibri" w:hAnsi="Calibri"/>
                <w:sz w:val="20"/>
              </w:rPr>
              <w:t>Deployment guide only</w:t>
            </w:r>
          </w:p>
        </w:tc>
        <w:tc>
          <w:tcPr>
            <w:tcW w:type="dxa" w:w="2880"/>
            <w:shd w:fill="F2F2F2" w:val="clear"/>
          </w:tcPr>
          <w:p>
            <w:r/>
            <w:r>
              <w:rPr>
                <w:rFonts w:ascii="Calibri" w:hAnsi="Calibri"/>
                <w:sz w:val="20"/>
              </w:rPr>
              <w:t>Section 15</w:t>
            </w:r>
          </w:p>
        </w:tc>
        <w:tc>
          <w:tcPr>
            <w:tcW w:type="dxa" w:w="2880"/>
            <w:shd w:fill="F2F2F2" w:val="clear"/>
          </w:tcPr>
          <w:p>
            <w:r/>
            <w:r>
              <w:rPr>
                <w:rFonts w:ascii="Calibri" w:hAnsi="Calibri"/>
                <w:sz w:val="20"/>
              </w:rPr>
              <w:t>DevOps handoff, environment provisioning</w:t>
            </w:r>
          </w:p>
        </w:tc>
      </w:tr>
      <w:tr>
        <w:tc>
          <w:tcPr>
            <w:tcW w:type="dxa" w:w="2880"/>
          </w:tcPr>
          <w:p>
            <w:r/>
            <w:r>
              <w:rPr>
                <w:rFonts w:ascii="Calibri" w:hAnsi="Calibri"/>
                <w:sz w:val="20"/>
              </w:rPr>
              <w:t>Production readiness only</w:t>
            </w:r>
          </w:p>
        </w:tc>
        <w:tc>
          <w:tcPr>
            <w:tcW w:type="dxa" w:w="2880"/>
          </w:tcPr>
          <w:p>
            <w:r/>
            <w:r>
              <w:rPr>
                <w:rFonts w:ascii="Calibri" w:hAnsi="Calibri"/>
                <w:sz w:val="20"/>
              </w:rPr>
              <w:t>Section 18</w:t>
            </w:r>
          </w:p>
        </w:tc>
        <w:tc>
          <w:tcPr>
            <w:tcW w:type="dxa" w:w="2880"/>
          </w:tcPr>
          <w:p>
            <w:r/>
            <w:r>
              <w:rPr>
                <w:rFonts w:ascii="Calibri" w:hAnsi="Calibri"/>
                <w:sz w:val="20"/>
              </w:rPr>
              <w:t>Go-live checklist, release gate review</w:t>
            </w:r>
          </w:p>
        </w:tc>
      </w:tr>
    </w:tbl>
    <w:p>
      <w:r>
        <w:br w:type="page"/>
      </w:r>
    </w:p>
    <w:p>
      <w:pPr>
        <w:pStyle w:val="Heading1"/>
      </w:pPr>
      <w:r>
        <w:t>4. Master Prompt — Full Text</w:t>
      </w:r>
    </w:p>
    <w:tbl>
      <w:tblPr>
        <w:tblW w:type="auto" w:w="0"/>
        <w:tblLook w:firstColumn="1" w:firstRow="1" w:lastColumn="0" w:lastRow="0" w:noHBand="0" w:noVBand="1" w:val="04A0"/>
      </w:tblPr>
      <w:tblGrid>
        <w:gridCol w:w="8640"/>
      </w:tblGrid>
      <w:tr>
        <w:tc>
          <w:tcPr>
            <w:tcW w:type="dxa" w:w="8640"/>
            <w:shd w:fill="E3EFF8" w:val="clear"/>
            <w:tcBorders>
              <w:top w:val="none"/>
              <w:left w:val="single" w:sz="24" w:color="0066CC"/>
              <w:bottom w:val="none"/>
              <w:right w:val="none"/>
            </w:tcBorders>
          </w:tcPr>
          <w:p>
            <w:pPr>
              <w:spacing w:before="80" w:after="40"/>
            </w:pPr>
            <w:r/>
            <w:r>
              <w:rPr>
                <w:rFonts w:ascii="Calibri" w:hAnsi="Calibri"/>
                <w:b/>
                <w:color w:val="0066CC"/>
                <w:sz w:val="20"/>
              </w:rPr>
              <w:t>ℹ NOTE</w:t>
            </w:r>
          </w:p>
          <w:p>
            <w:pPr>
              <w:spacing w:before="40" w:after="80"/>
            </w:pPr>
            <w:r>
              <w:rPr>
                <w:rFonts w:ascii="Calibri" w:hAnsi="Calibri"/>
                <w:sz w:val="20"/>
              </w:rPr>
              <w:t>Copy everything from this section and paste it into your AI assistant. Replace placeholder values (marked with angle brackets) with your actual system name and context where applicable.</w:t>
            </w:r>
          </w:p>
        </w:tc>
      </w:tr>
    </w:tbl>
    <w:p>
      <w:pPr>
        <w:spacing w:after="80"/>
      </w:pPr>
    </w:p>
    <w:p>
      <w:pPr>
        <w:pStyle w:val="Heading2"/>
      </w:pPr>
      <w:r>
        <w:t>4.1 System Context Block</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This application belongs to a manufacturing and label tracking system (CLPS).</w:t>
            </w:r>
          </w:p>
          <w:p>
            <w:pPr>
              <w:spacing w:before="20" w:after="20"/>
            </w:pPr>
            <w:r>
              <w:rPr>
                <w:rFonts w:ascii="Courier New" w:hAnsi="Courier New"/>
                <w:color w:val="1A1A1A"/>
                <w:sz w:val="18"/>
              </w:rPr>
            </w:r>
          </w:p>
          <w:p>
            <w:pPr>
              <w:spacing w:before="20" w:after="20"/>
            </w:pPr>
            <w:r>
              <w:rPr>
                <w:rFonts w:ascii="Courier New" w:hAnsi="Courier New"/>
                <w:color w:val="1A1A1A"/>
                <w:sz w:val="18"/>
              </w:rPr>
              <w:t>Pay special attention to:</w:t>
            </w:r>
          </w:p>
          <w:p>
            <w:pPr>
              <w:spacing w:before="20" w:after="20"/>
            </w:pPr>
            <w:r>
              <w:rPr>
                <w:rFonts w:ascii="Courier New" w:hAnsi="Courier New"/>
                <w:color w:val="1A1A1A"/>
                <w:sz w:val="18"/>
              </w:rPr>
              <w:t>- LT (Label Tracking) generation lifecycle</w:t>
            </w:r>
          </w:p>
          <w:p>
            <w:pPr>
              <w:spacing w:before="20" w:after="20"/>
            </w:pPr>
            <w:r>
              <w:rPr>
                <w:rFonts w:ascii="Courier New" w:hAnsi="Courier New"/>
                <w:color w:val="1A1A1A"/>
                <w:sz w:val="18"/>
              </w:rPr>
              <w:t>- Batch management lifecycle</w:t>
            </w:r>
          </w:p>
          <w:p>
            <w:pPr>
              <w:spacing w:before="20" w:after="20"/>
            </w:pPr>
            <w:r>
              <w:rPr>
                <w:rFonts w:ascii="Courier New" w:hAnsi="Courier New"/>
                <w:color w:val="1A1A1A"/>
                <w:sz w:val="18"/>
              </w:rPr>
              <w:t>- Print Master retrieval</w:t>
            </w:r>
          </w:p>
          <w:p>
            <w:pPr>
              <w:spacing w:before="20" w:after="20"/>
            </w:pPr>
            <w:r>
              <w:rPr>
                <w:rFonts w:ascii="Courier New" w:hAnsi="Courier New"/>
                <w:color w:val="1A1A1A"/>
                <w:sz w:val="18"/>
              </w:rPr>
              <w:t>- Order validation workflow</w:t>
            </w:r>
          </w:p>
          <w:p>
            <w:pPr>
              <w:spacing w:before="20" w:after="20"/>
            </w:pPr>
            <w:r>
              <w:rPr>
                <w:rFonts w:ascii="Courier New" w:hAnsi="Courier New"/>
                <w:color w:val="1A1A1A"/>
                <w:sz w:val="18"/>
              </w:rPr>
              <w:t>- Machine validation workflow</w:t>
            </w:r>
          </w:p>
          <w:p>
            <w:pPr>
              <w:spacing w:before="20" w:after="20"/>
            </w:pPr>
            <w:r>
              <w:rPr>
                <w:rFonts w:ascii="Courier New" w:hAnsi="Courier New"/>
                <w:color w:val="1A1A1A"/>
                <w:sz w:val="18"/>
              </w:rPr>
              <w:t>- Site resolution workflow</w:t>
            </w:r>
          </w:p>
          <w:p>
            <w:pPr>
              <w:spacing w:before="20" w:after="20"/>
            </w:pPr>
            <w:r>
              <w:rPr>
                <w:rFonts w:ascii="Courier New" w:hAnsi="Courier New"/>
                <w:color w:val="1A1A1A"/>
                <w:sz w:val="18"/>
              </w:rPr>
              <w:t>- Label printing workflow</w:t>
            </w:r>
          </w:p>
          <w:p>
            <w:pPr>
              <w:spacing w:before="20" w:after="20"/>
            </w:pPr>
            <w:r>
              <w:rPr>
                <w:rFonts w:ascii="Courier New" w:hAnsi="Courier New"/>
                <w:color w:val="1A1A1A"/>
                <w:sz w:val="18"/>
              </w:rPr>
              <w:t>- Database transaction boundaries</w:t>
            </w:r>
          </w:p>
          <w:p>
            <w:pPr>
              <w:spacing w:before="20" w:after="20"/>
            </w:pPr>
            <w:r>
              <w:rPr>
                <w:rFonts w:ascii="Courier New" w:hAnsi="Courier New"/>
                <w:color w:val="1A1A1A"/>
                <w:sz w:val="18"/>
              </w:rPr>
              <w:t>- Concurrency control mechanisms</w:t>
            </w:r>
          </w:p>
          <w:p>
            <w:pPr>
              <w:spacing w:before="20" w:after="20"/>
            </w:pPr>
            <w:r>
              <w:rPr>
                <w:rFonts w:ascii="Courier New" w:hAnsi="Courier New"/>
                <w:color w:val="1A1A1A"/>
                <w:sz w:val="18"/>
              </w:rPr>
              <w:t>- Manufacturing traceability requirements</w:t>
            </w:r>
          </w:p>
          <w:p>
            <w:pPr>
              <w:spacing w:before="20" w:after="20"/>
            </w:pPr>
            <w:r>
              <w:rPr>
                <w:rFonts w:ascii="Courier New" w:hAnsi="Courier New"/>
                <w:color w:val="1A1A1A"/>
                <w:sz w:val="18"/>
              </w:rPr>
            </w:r>
          </w:p>
          <w:p>
            <w:pPr>
              <w:spacing w:before="20" w:after="20"/>
            </w:pPr>
            <w:r>
              <w:rPr>
                <w:rFonts w:ascii="Courier New" w:hAnsi="Courier New"/>
                <w:color w:val="1A1A1A"/>
                <w:sz w:val="18"/>
              </w:rPr>
              <w:t>Produce a dedicated section called:</w:t>
            </w:r>
          </w:p>
          <w:p>
            <w:pPr>
              <w:spacing w:before="20" w:after="20"/>
            </w:pPr>
            <w:r>
              <w:rPr>
                <w:rFonts w:ascii="Courier New" w:hAnsi="Courier New"/>
                <w:color w:val="1A1A1A"/>
                <w:sz w:val="18"/>
              </w:rPr>
              <w:t>"LT Creation End-to-End Workflow Analysis"</w:t>
            </w:r>
          </w:p>
          <w:p>
            <w:pPr>
              <w:spacing w:before="20" w:after="20"/>
            </w:pPr>
            <w:r>
              <w:rPr>
                <w:rFonts w:ascii="Courier New" w:hAnsi="Courier New"/>
                <w:color w:val="1A1A1A"/>
                <w:sz w:val="18"/>
              </w:rPr>
            </w:r>
          </w:p>
          <w:p>
            <w:pPr>
              <w:spacing w:before="20" w:after="20"/>
            </w:pPr>
            <w:r>
              <w:rPr>
                <w:rFonts w:ascii="Courier New" w:hAnsi="Courier New"/>
                <w:color w:val="1A1A1A"/>
                <w:sz w:val="18"/>
              </w:rPr>
              <w:t>Show exactly how:</w:t>
            </w:r>
          </w:p>
          <w:p>
            <w:pPr>
              <w:spacing w:before="20" w:after="20"/>
            </w:pPr>
            <w:r>
              <w:rPr>
                <w:rFonts w:ascii="Courier New" w:hAnsi="Courier New"/>
                <w:color w:val="1A1A1A"/>
                <w:sz w:val="18"/>
              </w:rPr>
              <w:t>CreateLTController → CreateLTService → CreateLTContextBuilder → CreateLTInternalService</w:t>
            </w:r>
          </w:p>
          <w:p>
            <w:pPr>
              <w:spacing w:before="20" w:after="20"/>
            </w:pPr>
            <w:r>
              <w:rPr>
                <w:rFonts w:ascii="Courier New" w:hAnsi="Courier New"/>
                <w:color w:val="1A1A1A"/>
                <w:sz w:val="18"/>
              </w:rPr>
            </w:r>
          </w:p>
          <w:p>
            <w:pPr>
              <w:spacing w:before="20" w:after="20"/>
            </w:pPr>
            <w:r>
              <w:rPr>
                <w:rFonts w:ascii="Courier New" w:hAnsi="Courier New"/>
                <w:color w:val="1A1A1A"/>
                <w:sz w:val="18"/>
              </w:rPr>
              <w:t>...executes, including:</w:t>
            </w:r>
          </w:p>
          <w:p>
            <w:pPr>
              <w:spacing w:before="20" w:after="20"/>
            </w:pPr>
            <w:r>
              <w:rPr>
                <w:rFonts w:ascii="Courier New" w:hAnsi="Courier New"/>
                <w:color w:val="1A1A1A"/>
                <w:sz w:val="18"/>
              </w:rPr>
              <w:t>- Validations</w:t>
            </w:r>
          </w:p>
          <w:p>
            <w:pPr>
              <w:spacing w:before="20" w:after="20"/>
            </w:pPr>
            <w:r>
              <w:rPr>
                <w:rFonts w:ascii="Courier New" w:hAnsi="Courier New"/>
                <w:color w:val="1A1A1A"/>
                <w:sz w:val="18"/>
              </w:rPr>
              <w:t>- Database updates</w:t>
            </w:r>
          </w:p>
          <w:p>
            <w:pPr>
              <w:spacing w:before="20" w:after="20"/>
            </w:pPr>
            <w:r>
              <w:rPr>
                <w:rFonts w:ascii="Courier New" w:hAnsi="Courier New"/>
                <w:color w:val="1A1A1A"/>
                <w:sz w:val="18"/>
              </w:rPr>
              <w:t>- Transaction flow</w:t>
            </w:r>
          </w:p>
          <w:p>
            <w:pPr>
              <w:spacing w:before="20" w:after="20"/>
            </w:pPr>
            <w:r>
              <w:rPr>
                <w:rFonts w:ascii="Courier New" w:hAnsi="Courier New"/>
                <w:color w:val="1A1A1A"/>
                <w:sz w:val="18"/>
              </w:rPr>
              <w:t>- Error handling</w:t>
            </w:r>
          </w:p>
        </w:tc>
      </w:tr>
    </w:tbl>
    <w:p>
      <w:pPr>
        <w:spacing w:after="120"/>
      </w:pPr>
    </w:p>
    <w:p>
      <w:pPr>
        <w:pStyle w:val="Heading2"/>
      </w:pPr>
      <w:r>
        <w:t>4.2 Role Assignment Block</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Act as a:</w:t>
            </w:r>
          </w:p>
          <w:p>
            <w:pPr>
              <w:spacing w:before="20" w:after="20"/>
            </w:pPr>
            <w:r>
              <w:rPr>
                <w:rFonts w:ascii="Courier New" w:hAnsi="Courier New"/>
                <w:color w:val="1A1A1A"/>
                <w:sz w:val="18"/>
              </w:rPr>
              <w:t>- Principal Software Architect</w:t>
            </w:r>
          </w:p>
          <w:p>
            <w:pPr>
              <w:spacing w:before="20" w:after="20"/>
            </w:pPr>
            <w:r>
              <w:rPr>
                <w:rFonts w:ascii="Courier New" w:hAnsi="Courier New"/>
                <w:color w:val="1A1A1A"/>
                <w:sz w:val="18"/>
              </w:rPr>
              <w:t>- Enterprise Architect</w:t>
            </w:r>
          </w:p>
          <w:p>
            <w:pPr>
              <w:spacing w:before="20" w:after="20"/>
            </w:pPr>
            <w:r>
              <w:rPr>
                <w:rFonts w:ascii="Courier New" w:hAnsi="Courier New"/>
                <w:color w:val="1A1A1A"/>
                <w:sz w:val="18"/>
              </w:rPr>
              <w:t>- Solution Architect</w:t>
            </w:r>
          </w:p>
          <w:p>
            <w:pPr>
              <w:spacing w:before="20" w:after="20"/>
            </w:pPr>
            <w:r>
              <w:rPr>
                <w:rFonts w:ascii="Courier New" w:hAnsi="Courier New"/>
                <w:color w:val="1A1A1A"/>
                <w:sz w:val="18"/>
              </w:rPr>
              <w:t>- Security Architect</w:t>
            </w:r>
          </w:p>
          <w:p>
            <w:pPr>
              <w:spacing w:before="20" w:after="20"/>
            </w:pPr>
            <w:r>
              <w:rPr>
                <w:rFonts w:ascii="Courier New" w:hAnsi="Courier New"/>
                <w:color w:val="1A1A1A"/>
                <w:sz w:val="18"/>
              </w:rPr>
              <w:t>- Technical Lead</w:t>
            </w:r>
          </w:p>
          <w:p>
            <w:pPr>
              <w:spacing w:before="20" w:after="20"/>
            </w:pPr>
            <w:r>
              <w:rPr>
                <w:rFonts w:ascii="Courier New" w:hAnsi="Courier New"/>
                <w:color w:val="1A1A1A"/>
                <w:sz w:val="18"/>
              </w:rPr>
              <w:t>- Technical Writer</w:t>
            </w:r>
          </w:p>
          <w:p>
            <w:pPr>
              <w:spacing w:before="20" w:after="20"/>
            </w:pPr>
            <w:r>
              <w:rPr>
                <w:rFonts w:ascii="Courier New" w:hAnsi="Courier New"/>
                <w:color w:val="1A1A1A"/>
                <w:sz w:val="18"/>
              </w:rPr>
            </w:r>
          </w:p>
          <w:p>
            <w:pPr>
              <w:spacing w:before="20" w:after="20"/>
            </w:pPr>
            <w:r>
              <w:rPr>
                <w:rFonts w:ascii="Courier New" w:hAnsi="Courier New"/>
                <w:color w:val="1A1A1A"/>
                <w:sz w:val="18"/>
              </w:rPr>
              <w:t>Analyze the entire repository and generate comprehensive enterprise-grade technical documentation.</w:t>
            </w:r>
          </w:p>
        </w:tc>
      </w:tr>
    </w:tbl>
    <w:p>
      <w:pPr>
        <w:spacing w:after="120"/>
      </w:pPr>
    </w:p>
    <w:p>
      <w:pPr>
        <w:pStyle w:val="Heading2"/>
      </w:pPr>
      <w:r>
        <w:t>4.3 Repository Analysis Requirements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1. Scan the complete solution:</w:t>
            </w:r>
          </w:p>
          <w:p>
            <w:pPr>
              <w:spacing w:before="20" w:after="20"/>
            </w:pPr>
            <w:r>
              <w:rPr>
                <w:rFonts w:ascii="Courier New" w:hAnsi="Courier New"/>
                <w:color w:val="1A1A1A"/>
                <w:sz w:val="18"/>
              </w:rPr>
              <w:t xml:space="preserve">   - Solution (.sln) and all .csproj files</w:t>
            </w:r>
          </w:p>
          <w:p>
            <w:pPr>
              <w:spacing w:before="20" w:after="20"/>
            </w:pPr>
            <w:r>
              <w:rPr>
                <w:rFonts w:ascii="Courier New" w:hAnsi="Courier New"/>
                <w:color w:val="1A1A1A"/>
                <w:sz w:val="18"/>
              </w:rPr>
              <w:t xml:space="preserve">   - Controllers, Services, Interfaces, Repositories</w:t>
            </w:r>
          </w:p>
          <w:p>
            <w:pPr>
              <w:spacing w:before="20" w:after="20"/>
            </w:pPr>
            <w:r>
              <w:rPr>
                <w:rFonts w:ascii="Courier New" w:hAnsi="Courier New"/>
                <w:color w:val="1A1A1A"/>
                <w:sz w:val="18"/>
              </w:rPr>
              <w:t xml:space="preserve">   - Models, DTOs, Validators</w:t>
            </w:r>
          </w:p>
          <w:p>
            <w:pPr>
              <w:spacing w:before="20" w:after="20"/>
            </w:pPr>
            <w:r>
              <w:rPr>
                <w:rFonts w:ascii="Courier New" w:hAnsi="Courier New"/>
                <w:color w:val="1A1A1A"/>
                <w:sz w:val="18"/>
              </w:rPr>
              <w:t xml:space="preserve">   - Middleware, Background Services</w:t>
            </w:r>
          </w:p>
          <w:p>
            <w:pPr>
              <w:spacing w:before="20" w:after="20"/>
            </w:pPr>
            <w:r>
              <w:rPr>
                <w:rFonts w:ascii="Courier New" w:hAnsi="Courier New"/>
                <w:color w:val="1A1A1A"/>
                <w:sz w:val="18"/>
              </w:rPr>
              <w:t xml:space="preserve">   - Database Access Layer, Entity Framework Models</w:t>
            </w:r>
          </w:p>
          <w:p>
            <w:pPr>
              <w:spacing w:before="20" w:after="20"/>
            </w:pPr>
            <w:r>
              <w:rPr>
                <w:rFonts w:ascii="Courier New" w:hAnsi="Courier New"/>
                <w:color w:val="1A1A1A"/>
                <w:sz w:val="18"/>
              </w:rPr>
              <w:t xml:space="preserve">   - Migrations, SQL Scripts</w:t>
            </w:r>
          </w:p>
          <w:p>
            <w:pPr>
              <w:spacing w:before="20" w:after="20"/>
            </w:pPr>
            <w:r>
              <w:rPr>
                <w:rFonts w:ascii="Courier New" w:hAnsi="Courier New"/>
                <w:color w:val="1A1A1A"/>
                <w:sz w:val="18"/>
              </w:rPr>
              <w:t xml:space="preserve">   - Configuration Files (appsettings.json, Program.cs, Startup.cs)</w:t>
            </w:r>
          </w:p>
          <w:p>
            <w:pPr>
              <w:spacing w:before="20" w:after="20"/>
            </w:pPr>
            <w:r>
              <w:rPr>
                <w:rFonts w:ascii="Courier New" w:hAnsi="Courier New"/>
                <w:color w:val="1A1A1A"/>
                <w:sz w:val="18"/>
              </w:rPr>
              <w:t xml:space="preserve">   - Docker Files, Kubernetes Files, YAML Pipelines</w:t>
            </w:r>
          </w:p>
          <w:p>
            <w:pPr>
              <w:spacing w:before="20" w:after="20"/>
            </w:pPr>
            <w:r>
              <w:rPr>
                <w:rFonts w:ascii="Courier New" w:hAnsi="Courier New"/>
                <w:color w:val="1A1A1A"/>
                <w:sz w:val="18"/>
              </w:rPr>
              <w:t xml:space="preserve">   - Unit Tests, Integration Tests</w:t>
            </w:r>
          </w:p>
          <w:p>
            <w:pPr>
              <w:spacing w:before="20" w:after="20"/>
            </w:pPr>
            <w:r>
              <w:rPr>
                <w:rFonts w:ascii="Courier New" w:hAnsi="Courier New"/>
                <w:color w:val="1A1A1A"/>
                <w:sz w:val="18"/>
              </w:rPr>
            </w:r>
          </w:p>
          <w:p>
            <w:pPr>
              <w:spacing w:before="20" w:after="20"/>
            </w:pPr>
            <w:r>
              <w:rPr>
                <w:rFonts w:ascii="Courier New" w:hAnsi="Courier New"/>
                <w:color w:val="1A1A1A"/>
                <w:sz w:val="18"/>
              </w:rPr>
              <w:t>2. Build a complete architectural understanding of:</w:t>
            </w:r>
          </w:p>
          <w:p>
            <w:pPr>
              <w:spacing w:before="20" w:after="20"/>
            </w:pPr>
            <w:r>
              <w:rPr>
                <w:rFonts w:ascii="Courier New" w:hAnsi="Courier New"/>
                <w:color w:val="1A1A1A"/>
                <w:sz w:val="18"/>
              </w:rPr>
              <w:t xml:space="preserve">   - Business functionality</w:t>
            </w:r>
          </w:p>
          <w:p>
            <w:pPr>
              <w:spacing w:before="20" w:after="20"/>
            </w:pPr>
            <w:r>
              <w:rPr>
                <w:rFonts w:ascii="Courier New" w:hAnsi="Courier New"/>
                <w:color w:val="1A1A1A"/>
                <w:sz w:val="18"/>
              </w:rPr>
              <w:t xml:space="preserve">   - Application architecture</w:t>
            </w:r>
          </w:p>
          <w:p>
            <w:pPr>
              <w:spacing w:before="20" w:after="20"/>
            </w:pPr>
            <w:r>
              <w:rPr>
                <w:rFonts w:ascii="Courier New" w:hAnsi="Courier New"/>
                <w:color w:val="1A1A1A"/>
                <w:sz w:val="18"/>
              </w:rPr>
              <w:t xml:space="preserve">   - Data architecture</w:t>
            </w:r>
          </w:p>
          <w:p>
            <w:pPr>
              <w:spacing w:before="20" w:after="20"/>
            </w:pPr>
            <w:r>
              <w:rPr>
                <w:rFonts w:ascii="Courier New" w:hAnsi="Courier New"/>
                <w:color w:val="1A1A1A"/>
                <w:sz w:val="18"/>
              </w:rPr>
              <w:t xml:space="preserve">   - Integration architecture</w:t>
            </w:r>
          </w:p>
          <w:p>
            <w:pPr>
              <w:spacing w:before="20" w:after="20"/>
            </w:pPr>
            <w:r>
              <w:rPr>
                <w:rFonts w:ascii="Courier New" w:hAnsi="Courier New"/>
                <w:color w:val="1A1A1A"/>
                <w:sz w:val="18"/>
              </w:rPr>
              <w:t xml:space="preserve">   - Security architecture</w:t>
            </w:r>
          </w:p>
          <w:p>
            <w:pPr>
              <w:spacing w:before="20" w:after="20"/>
            </w:pPr>
            <w:r>
              <w:rPr>
                <w:rFonts w:ascii="Courier New" w:hAnsi="Courier New"/>
                <w:color w:val="1A1A1A"/>
                <w:sz w:val="18"/>
              </w:rPr>
              <w:t xml:space="preserve">   - Deployment architecture</w:t>
            </w:r>
          </w:p>
          <w:p>
            <w:pPr>
              <w:spacing w:before="20" w:after="20"/>
            </w:pPr>
            <w:r>
              <w:rPr>
                <w:rFonts w:ascii="Courier New" w:hAnsi="Courier New"/>
                <w:color w:val="1A1A1A"/>
                <w:sz w:val="18"/>
              </w:rPr>
            </w:r>
          </w:p>
          <w:p>
            <w:pPr>
              <w:spacing w:before="20" w:after="20"/>
            </w:pPr>
            <w:r>
              <w:rPr>
                <w:rFonts w:ascii="Courier New" w:hAnsi="Courier New"/>
                <w:color w:val="1A1A1A"/>
                <w:sz w:val="18"/>
              </w:rPr>
              <w:t>3. Do NOT make assumptions.</w:t>
            </w:r>
          </w:p>
          <w:p>
            <w:pPr>
              <w:spacing w:before="20" w:after="20"/>
            </w:pPr>
            <w:r>
              <w:rPr>
                <w:rFonts w:ascii="Courier New" w:hAnsi="Courier New"/>
                <w:color w:val="1A1A1A"/>
                <w:sz w:val="18"/>
              </w:rPr>
              <w:t xml:space="preserve">   Every statement must be based on source code evidence.</w:t>
            </w:r>
          </w:p>
          <w:p>
            <w:pPr>
              <w:spacing w:before="20" w:after="20"/>
            </w:pPr>
            <w:r>
              <w:rPr>
                <w:rFonts w:ascii="Courier New" w:hAnsi="Courier New"/>
                <w:color w:val="1A1A1A"/>
                <w:sz w:val="18"/>
              </w:rPr>
            </w:r>
          </w:p>
          <w:p>
            <w:pPr>
              <w:spacing w:before="20" w:after="20"/>
            </w:pPr>
            <w:r>
              <w:rPr>
                <w:rFonts w:ascii="Courier New" w:hAnsi="Courier New"/>
                <w:color w:val="1A1A1A"/>
                <w:sz w:val="18"/>
              </w:rPr>
              <w:t>4. For every finding provide:</w:t>
            </w:r>
          </w:p>
          <w:p>
            <w:pPr>
              <w:spacing w:before="20" w:after="20"/>
            </w:pPr>
            <w:r>
              <w:rPr>
                <w:rFonts w:ascii="Courier New" w:hAnsi="Courier New"/>
                <w:color w:val="1A1A1A"/>
                <w:sz w:val="18"/>
              </w:rPr>
              <w:t xml:space="preserve">   - File name</w:t>
            </w:r>
          </w:p>
          <w:p>
            <w:pPr>
              <w:spacing w:before="20" w:after="20"/>
            </w:pPr>
            <w:r>
              <w:rPr>
                <w:rFonts w:ascii="Courier New" w:hAnsi="Courier New"/>
                <w:color w:val="1A1A1A"/>
                <w:sz w:val="18"/>
              </w:rPr>
              <w:t xml:space="preserve">   - Class name</w:t>
            </w:r>
          </w:p>
          <w:p>
            <w:pPr>
              <w:spacing w:before="20" w:after="20"/>
            </w:pPr>
            <w:r>
              <w:rPr>
                <w:rFonts w:ascii="Courier New" w:hAnsi="Courier New"/>
                <w:color w:val="1A1A1A"/>
                <w:sz w:val="18"/>
              </w:rPr>
              <w:t xml:space="preserve">   - Method name (if applicable)</w:t>
            </w:r>
          </w:p>
          <w:p>
            <w:pPr>
              <w:spacing w:before="20" w:after="20"/>
            </w:pPr>
            <w:r>
              <w:rPr>
                <w:rFonts w:ascii="Courier New" w:hAnsi="Courier New"/>
                <w:color w:val="1A1A1A"/>
                <w:sz w:val="18"/>
              </w:rPr>
              <w:t xml:space="preserve">   - Evidence from source code</w:t>
            </w:r>
          </w:p>
          <w:p>
            <w:pPr>
              <w:spacing w:before="20" w:after="20"/>
            </w:pPr>
            <w:r>
              <w:rPr>
                <w:rFonts w:ascii="Courier New" w:hAnsi="Courier New"/>
                <w:color w:val="1A1A1A"/>
                <w:sz w:val="18"/>
              </w:rPr>
            </w:r>
          </w:p>
          <w:p>
            <w:pPr>
              <w:spacing w:before="20" w:after="20"/>
            </w:pPr>
            <w:r>
              <w:rPr>
                <w:rFonts w:ascii="Courier New" w:hAnsi="Courier New"/>
                <w:color w:val="1A1A1A"/>
                <w:sz w:val="18"/>
              </w:rPr>
              <w:t>5. Clearly identify:</w:t>
            </w:r>
          </w:p>
          <w:p>
            <w:pPr>
              <w:spacing w:before="20" w:after="20"/>
            </w:pPr>
            <w:r>
              <w:rPr>
                <w:rFonts w:ascii="Courier New" w:hAnsi="Courier New"/>
                <w:color w:val="1A1A1A"/>
                <w:sz w:val="18"/>
              </w:rPr>
              <w:t xml:space="preserve">   - Confirmed findings</w:t>
            </w:r>
          </w:p>
          <w:p>
            <w:pPr>
              <w:spacing w:before="20" w:after="20"/>
            </w:pPr>
            <w:r>
              <w:rPr>
                <w:rFonts w:ascii="Courier New" w:hAnsi="Courier New"/>
                <w:color w:val="1A1A1A"/>
                <w:sz w:val="18"/>
              </w:rPr>
              <w:t xml:space="preserve">   - Unknowns</w:t>
            </w:r>
          </w:p>
          <w:p>
            <w:pPr>
              <w:spacing w:before="20" w:after="20"/>
            </w:pPr>
            <w:r>
              <w:rPr>
                <w:rFonts w:ascii="Courier New" w:hAnsi="Courier New"/>
                <w:color w:val="1A1A1A"/>
                <w:sz w:val="18"/>
              </w:rPr>
              <w:t xml:space="preserve">   - Assumptions avoided</w:t>
            </w:r>
          </w:p>
        </w:tc>
      </w:tr>
    </w:tbl>
    <w:p>
      <w:pPr>
        <w:spacing w:after="120"/>
      </w:pPr>
    </w:p>
    <w:p>
      <w:r>
        <w:br w:type="page"/>
      </w:r>
    </w:p>
    <w:p>
      <w:pPr>
        <w:pStyle w:val="Heading1"/>
      </w:pPr>
      <w:r>
        <w:t>5. Documentation Sections — Detailed Specifications</w:t>
      </w:r>
    </w:p>
    <w:p>
      <w:r>
        <w:rPr>
          <w:rFonts w:ascii="Calibri" w:hAnsi="Calibri"/>
          <w:sz w:val="22"/>
        </w:rPr>
        <w:t>The following 19 sections define the complete structure of the generated technical document. Each section includes the AI instruction block, template structures, and Mermaid diagram templates where applicable.</w:t>
      </w:r>
    </w:p>
    <w:p>
      <w:pPr>
        <w:pStyle w:val="Heading2"/>
      </w:pPr>
      <w:r>
        <w:t>5.1 Section 1 — Executive Summary</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Provide:</w:t>
            </w:r>
          </w:p>
          <w:p>
            <w:pPr>
              <w:spacing w:before="20" w:after="20"/>
            </w:pPr>
            <w:r>
              <w:rPr>
                <w:rFonts w:ascii="Courier New" w:hAnsi="Courier New"/>
                <w:color w:val="1A1A1A"/>
                <w:sz w:val="18"/>
              </w:rPr>
              <w:t>- Application purpose</w:t>
            </w:r>
          </w:p>
          <w:p>
            <w:pPr>
              <w:spacing w:before="20" w:after="20"/>
            </w:pPr>
            <w:r>
              <w:rPr>
                <w:rFonts w:ascii="Courier New" w:hAnsi="Courier New"/>
                <w:color w:val="1A1A1A"/>
                <w:sz w:val="18"/>
              </w:rPr>
              <w:t>- Business objectives</w:t>
            </w:r>
          </w:p>
          <w:p>
            <w:pPr>
              <w:spacing w:before="20" w:after="20"/>
            </w:pPr>
            <w:r>
              <w:rPr>
                <w:rFonts w:ascii="Courier New" w:hAnsi="Courier New"/>
                <w:color w:val="1A1A1A"/>
                <w:sz w:val="18"/>
              </w:rPr>
              <w:t>- Target users</w:t>
            </w:r>
          </w:p>
          <w:p>
            <w:pPr>
              <w:spacing w:before="20" w:after="20"/>
            </w:pPr>
            <w:r>
              <w:rPr>
                <w:rFonts w:ascii="Courier New" w:hAnsi="Courier New"/>
                <w:color w:val="1A1A1A"/>
                <w:sz w:val="18"/>
              </w:rPr>
              <w:t>- Business capabilities</w:t>
            </w:r>
          </w:p>
          <w:p>
            <w:pPr>
              <w:spacing w:before="20" w:after="20"/>
            </w:pPr>
            <w:r>
              <w:rPr>
                <w:rFonts w:ascii="Courier New" w:hAnsi="Courier New"/>
                <w:color w:val="1A1A1A"/>
                <w:sz w:val="18"/>
              </w:rPr>
              <w:t>- Key workflows</w:t>
            </w:r>
          </w:p>
          <w:p>
            <w:pPr>
              <w:spacing w:before="20" w:after="20"/>
            </w:pPr>
            <w:r>
              <w:rPr>
                <w:rFonts w:ascii="Courier New" w:hAnsi="Courier New"/>
                <w:color w:val="1A1A1A"/>
                <w:sz w:val="18"/>
              </w:rPr>
              <w:t>- High-level architecture summary</w:t>
            </w:r>
          </w:p>
        </w:tc>
      </w:tr>
    </w:tbl>
    <w:p>
      <w:pPr>
        <w:spacing w:after="120"/>
      </w:pPr>
    </w:p>
    <w:p>
      <w:pPr>
        <w:pStyle w:val="Heading2"/>
      </w:pPr>
      <w:r>
        <w:t>5.2 Section 2 — System Overview</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Document:</w:t>
            </w:r>
          </w:p>
          <w:p>
            <w:pPr>
              <w:spacing w:before="20" w:after="20"/>
            </w:pPr>
            <w:r>
              <w:rPr>
                <w:rFonts w:ascii="Courier New" w:hAnsi="Courier New"/>
                <w:color w:val="1A1A1A"/>
                <w:sz w:val="18"/>
              </w:rPr>
              <w:t>- Functional overview</w:t>
            </w:r>
          </w:p>
          <w:p>
            <w:pPr>
              <w:spacing w:before="20" w:after="20"/>
            </w:pPr>
            <w:r>
              <w:rPr>
                <w:rFonts w:ascii="Courier New" w:hAnsi="Courier New"/>
                <w:color w:val="1A1A1A"/>
                <w:sz w:val="18"/>
              </w:rPr>
              <w:t>- Major modules</w:t>
            </w:r>
          </w:p>
          <w:p>
            <w:pPr>
              <w:spacing w:before="20" w:after="20"/>
            </w:pPr>
            <w:r>
              <w:rPr>
                <w:rFonts w:ascii="Courier New" w:hAnsi="Courier New"/>
                <w:color w:val="1A1A1A"/>
                <w:sz w:val="18"/>
              </w:rPr>
              <w:t>- User interactions</w:t>
            </w:r>
          </w:p>
          <w:p>
            <w:pPr>
              <w:spacing w:before="20" w:after="20"/>
            </w:pPr>
            <w:r>
              <w:rPr>
                <w:rFonts w:ascii="Courier New" w:hAnsi="Courier New"/>
                <w:color w:val="1A1A1A"/>
                <w:sz w:val="18"/>
              </w:rPr>
              <w:t>- Data lifecycle</w:t>
            </w:r>
          </w:p>
          <w:p>
            <w:pPr>
              <w:spacing w:before="20" w:after="20"/>
            </w:pPr>
            <w:r>
              <w:rPr>
                <w:rFonts w:ascii="Courier New" w:hAnsi="Courier New"/>
                <w:color w:val="1A1A1A"/>
                <w:sz w:val="18"/>
              </w:rPr>
              <w:t>- Non-functional requirements discovered</w:t>
            </w:r>
          </w:p>
        </w:tc>
      </w:tr>
    </w:tbl>
    <w:p>
      <w:pPr>
        <w:spacing w:after="120"/>
      </w:pPr>
    </w:p>
    <w:p>
      <w:pPr>
        <w:pStyle w:val="Heading2"/>
      </w:pPr>
      <w:r>
        <w:t>5.3 Section 3 — High Level Design</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Identify architecture style (explain why):</w:t>
            </w:r>
          </w:p>
          <w:p>
            <w:pPr>
              <w:spacing w:before="20" w:after="20"/>
            </w:pPr>
            <w:r>
              <w:rPr>
                <w:rFonts w:ascii="Courier New" w:hAnsi="Courier New"/>
                <w:color w:val="1A1A1A"/>
                <w:sz w:val="18"/>
              </w:rPr>
              <w:t>- Monolithic / Layered / N-Tier / Clean Architecture</w:t>
            </w:r>
          </w:p>
          <w:p>
            <w:pPr>
              <w:spacing w:before="20" w:after="20"/>
            </w:pPr>
            <w:r>
              <w:rPr>
                <w:rFonts w:ascii="Courier New" w:hAnsi="Courier New"/>
                <w:color w:val="1A1A1A"/>
                <w:sz w:val="18"/>
              </w:rPr>
              <w:t>- Hexagonal / Microservices / Event Driven / CQRS</w:t>
            </w:r>
          </w:p>
          <w:p>
            <w:pPr>
              <w:spacing w:before="20" w:after="20"/>
            </w:pPr>
            <w:r>
              <w:rPr>
                <w:rFonts w:ascii="Courier New" w:hAnsi="Courier New"/>
                <w:color w:val="1A1A1A"/>
                <w:sz w:val="18"/>
              </w:rPr>
            </w:r>
          </w:p>
          <w:p>
            <w:pPr>
              <w:spacing w:before="20" w:after="20"/>
            </w:pPr>
            <w:r>
              <w:rPr>
                <w:rFonts w:ascii="Courier New" w:hAnsi="Courier New"/>
                <w:color w:val="1A1A1A"/>
                <w:sz w:val="18"/>
              </w:rPr>
              <w:t>Generate Mermaid diagrams:</w:t>
            </w:r>
          </w:p>
          <w:p>
            <w:pPr>
              <w:spacing w:before="20" w:after="20"/>
            </w:pPr>
            <w:r>
              <w:rPr>
                <w:rFonts w:ascii="Courier New" w:hAnsi="Courier New"/>
                <w:color w:val="1A1A1A"/>
                <w:sz w:val="18"/>
              </w:rPr>
              <w:t>- Context Diagram</w:t>
            </w:r>
          </w:p>
          <w:p>
            <w:pPr>
              <w:spacing w:before="20" w:after="20"/>
            </w:pPr>
            <w:r>
              <w:rPr>
                <w:rFonts w:ascii="Courier New" w:hAnsi="Courier New"/>
                <w:color w:val="1A1A1A"/>
                <w:sz w:val="18"/>
              </w:rPr>
              <w:t>- System Architecture Diagram</w:t>
            </w:r>
          </w:p>
          <w:p>
            <w:pPr>
              <w:spacing w:before="20" w:after="20"/>
            </w:pPr>
            <w:r>
              <w:rPr>
                <w:rFonts w:ascii="Courier New" w:hAnsi="Courier New"/>
                <w:color w:val="1A1A1A"/>
                <w:sz w:val="18"/>
              </w:rPr>
              <w:t>- Component Diagram</w:t>
            </w:r>
          </w:p>
        </w:tc>
      </w:tr>
    </w:tbl>
    <w:p>
      <w:pPr>
        <w:spacing w:after="120"/>
      </w:pPr>
    </w:p>
    <w:p>
      <w:r>
        <w:rPr>
          <w:rFonts w:ascii="Calibri" w:hAnsi="Calibri"/>
          <w:sz w:val="22"/>
        </w:rPr>
        <w:t>The following Mermaid diagram templates are provided as starting points. The AI will populate these with actual component names discovered from the repository.</w:t>
      </w:r>
    </w:p>
    <w:p>
      <w:r>
        <w:rPr>
          <w:rFonts w:ascii="Calibri" w:hAnsi="Calibri"/>
          <w:b/>
          <w:sz w:val="22"/>
        </w:rPr>
        <w:t>Context Diagram</w:t>
      </w:r>
      <w:r>
        <w:rPr>
          <w:rFonts w:ascii="Calibri" w:hAnsi="Calibri"/>
          <w:sz w:val="22"/>
        </w:rPr>
        <w:t xml:space="preserve"> — shows the system boundary and external actors: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```mermaid</w:t>
            </w:r>
          </w:p>
          <w:p>
            <w:pPr>
              <w:spacing w:before="20" w:after="20"/>
            </w:pPr>
            <w:r>
              <w:rPr>
                <w:rFonts w:ascii="Courier New" w:hAnsi="Courier New"/>
                <w:color w:val="1A1A1A"/>
                <w:sz w:val="18"/>
              </w:rPr>
              <w:t>graph TD</w:t>
            </w:r>
          </w:p>
          <w:p>
            <w:pPr>
              <w:spacing w:before="20" w:after="20"/>
            </w:pPr>
            <w:r>
              <w:rPr>
                <w:rFonts w:ascii="Courier New" w:hAnsi="Courier New"/>
                <w:color w:val="1A1A1A"/>
                <w:sz w:val="18"/>
              </w:rPr>
              <w:t xml:space="preserve">    U[User / Operator] --&gt;|HTTP Request| API[CLPS API Layer]</w:t>
            </w:r>
          </w:p>
          <w:p>
            <w:pPr>
              <w:spacing w:before="20" w:after="20"/>
            </w:pPr>
            <w:r>
              <w:rPr>
                <w:rFonts w:ascii="Courier New" w:hAnsi="Courier New"/>
                <w:color w:val="1A1A1A"/>
                <w:sz w:val="18"/>
              </w:rPr>
              <w:t xml:space="preserve">    API --&gt; DB[(SQL Database)]</w:t>
            </w:r>
          </w:p>
          <w:p>
            <w:pPr>
              <w:spacing w:before="20" w:after="20"/>
            </w:pPr>
            <w:r>
              <w:rPr>
                <w:rFonts w:ascii="Courier New" w:hAnsi="Courier New"/>
                <w:color w:val="1A1A1A"/>
                <w:sz w:val="18"/>
              </w:rPr>
              <w:t xml:space="preserve">    API --&gt; EXT[External Systems]</w:t>
            </w:r>
          </w:p>
          <w:p>
            <w:pPr>
              <w:spacing w:before="20" w:after="20"/>
            </w:pPr>
            <w:r>
              <w:rPr>
                <w:rFonts w:ascii="Courier New" w:hAnsi="Courier New"/>
                <w:color w:val="1A1A1A"/>
                <w:sz w:val="18"/>
              </w:rPr>
              <w:t xml:space="preserve">    API --&gt; PRINT[Label Printer]</w:t>
            </w:r>
          </w:p>
          <w:p>
            <w:pPr>
              <w:spacing w:before="20" w:after="20"/>
            </w:pPr>
            <w:r>
              <w:rPr>
                <w:rFonts w:ascii="Courier New" w:hAnsi="Courier New"/>
                <w:color w:val="1A1A1A"/>
                <w:sz w:val="18"/>
              </w:rPr>
              <w:t>```</w:t>
            </w:r>
          </w:p>
        </w:tc>
      </w:tr>
    </w:tbl>
    <w:p>
      <w:pPr>
        <w:spacing w:after="120"/>
      </w:pPr>
    </w:p>
    <w:p>
      <w:r>
        <w:rPr>
          <w:rFonts w:ascii="Calibri" w:hAnsi="Calibri"/>
          <w:b/>
          <w:sz w:val="22"/>
        </w:rPr>
        <w:t>System Architecture Diagram</w:t>
      </w:r>
      <w:r>
        <w:rPr>
          <w:rFonts w:ascii="Calibri" w:hAnsi="Calibri"/>
          <w:sz w:val="22"/>
        </w:rPr>
        <w:t xml:space="preserve"> — shows the internal layered structure:</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```mermaid</w:t>
            </w:r>
          </w:p>
          <w:p>
            <w:pPr>
              <w:spacing w:before="20" w:after="20"/>
            </w:pPr>
            <w:r>
              <w:rPr>
                <w:rFonts w:ascii="Courier New" w:hAnsi="Courier New"/>
                <w:color w:val="1A1A1A"/>
                <w:sz w:val="18"/>
              </w:rPr>
              <w:t>graph LR</w:t>
            </w:r>
          </w:p>
          <w:p>
            <w:pPr>
              <w:spacing w:before="20" w:after="20"/>
            </w:pPr>
            <w:r>
              <w:rPr>
                <w:rFonts w:ascii="Courier New" w:hAnsi="Courier New"/>
                <w:color w:val="1A1A1A"/>
                <w:sz w:val="18"/>
              </w:rPr>
              <w:t xml:space="preserve">    Client --&gt;|REST/JSON| Controller</w:t>
            </w:r>
          </w:p>
          <w:p>
            <w:pPr>
              <w:spacing w:before="20" w:after="20"/>
            </w:pPr>
            <w:r>
              <w:rPr>
                <w:rFonts w:ascii="Courier New" w:hAnsi="Courier New"/>
                <w:color w:val="1A1A1A"/>
                <w:sz w:val="18"/>
              </w:rPr>
              <w:t xml:space="preserve">    Controller --&gt; Service</w:t>
            </w:r>
          </w:p>
          <w:p>
            <w:pPr>
              <w:spacing w:before="20" w:after="20"/>
            </w:pPr>
            <w:r>
              <w:rPr>
                <w:rFonts w:ascii="Courier New" w:hAnsi="Courier New"/>
                <w:color w:val="1A1A1A"/>
                <w:sz w:val="18"/>
              </w:rPr>
              <w:t xml:space="preserve">    Service --&gt; Repository</w:t>
            </w:r>
          </w:p>
          <w:p>
            <w:pPr>
              <w:spacing w:before="20" w:after="20"/>
            </w:pPr>
            <w:r>
              <w:rPr>
                <w:rFonts w:ascii="Courier New" w:hAnsi="Courier New"/>
                <w:color w:val="1A1A1A"/>
                <w:sz w:val="18"/>
              </w:rPr>
              <w:t xml:space="preserve">    Repository --&gt; Database</w:t>
            </w:r>
          </w:p>
          <w:p>
            <w:pPr>
              <w:spacing w:before="20" w:after="20"/>
            </w:pPr>
            <w:r>
              <w:rPr>
                <w:rFonts w:ascii="Courier New" w:hAnsi="Courier New"/>
                <w:color w:val="1A1A1A"/>
                <w:sz w:val="18"/>
              </w:rPr>
              <w:t xml:space="preserve">    Service --&gt; ExternalAPI</w:t>
            </w:r>
          </w:p>
          <w:p>
            <w:pPr>
              <w:spacing w:before="20" w:after="20"/>
            </w:pPr>
            <w:r>
              <w:rPr>
                <w:rFonts w:ascii="Courier New" w:hAnsi="Courier New"/>
                <w:color w:val="1A1A1A"/>
                <w:sz w:val="18"/>
              </w:rPr>
              <w:t>```</w:t>
            </w:r>
          </w:p>
        </w:tc>
      </w:tr>
    </w:tbl>
    <w:p>
      <w:pPr>
        <w:spacing w:after="120"/>
      </w:pPr>
    </w:p>
    <w:p>
      <w:r>
        <w:rPr>
          <w:rFonts w:ascii="Calibri" w:hAnsi="Calibri"/>
          <w:b/>
          <w:sz w:val="22"/>
        </w:rPr>
        <w:t>Component Diagram</w:t>
      </w:r>
      <w:r>
        <w:rPr>
          <w:rFonts w:ascii="Calibri" w:hAnsi="Calibri"/>
          <w:sz w:val="22"/>
        </w:rPr>
        <w:t xml:space="preserve"> — shows the LT creation component chain:</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```mermaid</w:t>
            </w:r>
          </w:p>
          <w:p>
            <w:pPr>
              <w:spacing w:before="20" w:after="20"/>
            </w:pPr>
            <w:r>
              <w:rPr>
                <w:rFonts w:ascii="Courier New" w:hAnsi="Courier New"/>
                <w:color w:val="1A1A1A"/>
                <w:sz w:val="18"/>
              </w:rPr>
              <w:t>graph TD</w:t>
            </w:r>
          </w:p>
          <w:p>
            <w:pPr>
              <w:spacing w:before="20" w:after="20"/>
            </w:pPr>
            <w:r>
              <w:rPr>
                <w:rFonts w:ascii="Courier New" w:hAnsi="Courier New"/>
                <w:color w:val="1A1A1A"/>
                <w:sz w:val="18"/>
              </w:rPr>
              <w:t xml:space="preserve">    CreateLTController --&gt; CreateLTService</w:t>
            </w:r>
          </w:p>
          <w:p>
            <w:pPr>
              <w:spacing w:before="20" w:after="20"/>
            </w:pPr>
            <w:r>
              <w:rPr>
                <w:rFonts w:ascii="Courier New" w:hAnsi="Courier New"/>
                <w:color w:val="1A1A1A"/>
                <w:sz w:val="18"/>
              </w:rPr>
              <w:t xml:space="preserve">    CreateLTService --&gt; CreateLTContextBuilder</w:t>
            </w:r>
          </w:p>
          <w:p>
            <w:pPr>
              <w:spacing w:before="20" w:after="20"/>
            </w:pPr>
            <w:r>
              <w:rPr>
                <w:rFonts w:ascii="Courier New" w:hAnsi="Courier New"/>
                <w:color w:val="1A1A1A"/>
                <w:sz w:val="18"/>
              </w:rPr>
              <w:t xml:space="preserve">    CreateLTService --&gt; CreateLTInternalService</w:t>
            </w:r>
          </w:p>
          <w:p>
            <w:pPr>
              <w:spacing w:before="20" w:after="20"/>
            </w:pPr>
            <w:r>
              <w:rPr>
                <w:rFonts w:ascii="Courier New" w:hAnsi="Courier New"/>
                <w:color w:val="1A1A1A"/>
                <w:sz w:val="18"/>
              </w:rPr>
              <w:t xml:space="preserve">    CreateLTInternalService --&gt; Repository</w:t>
            </w:r>
          </w:p>
          <w:p>
            <w:pPr>
              <w:spacing w:before="20" w:after="20"/>
            </w:pPr>
            <w:r>
              <w:rPr>
                <w:rFonts w:ascii="Courier New" w:hAnsi="Courier New"/>
                <w:color w:val="1A1A1A"/>
                <w:sz w:val="18"/>
              </w:rPr>
              <w:t xml:space="preserve">    Repository --&gt; Database</w:t>
            </w:r>
          </w:p>
          <w:p>
            <w:pPr>
              <w:spacing w:before="20" w:after="20"/>
            </w:pPr>
            <w:r>
              <w:rPr>
                <w:rFonts w:ascii="Courier New" w:hAnsi="Courier New"/>
                <w:color w:val="1A1A1A"/>
                <w:sz w:val="18"/>
              </w:rPr>
              <w:t>```</w:t>
            </w:r>
          </w:p>
        </w:tc>
      </w:tr>
    </w:tbl>
    <w:p>
      <w:pPr>
        <w:spacing w:after="120"/>
      </w:pPr>
    </w:p>
    <w:p>
      <w:pPr>
        <w:pStyle w:val="Heading2"/>
      </w:pPr>
      <w:r>
        <w:t>5.4 Section 4 — Solution Structure</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For every project document:</w:t>
            </w:r>
          </w:p>
          <w:p>
            <w:pPr>
              <w:spacing w:before="20" w:after="20"/>
            </w:pPr>
            <w:r>
              <w:rPr>
                <w:rFonts w:ascii="Courier New" w:hAnsi="Courier New"/>
                <w:color w:val="1A1A1A"/>
                <w:sz w:val="18"/>
              </w:rPr>
              <w:t>- Project name</w:t>
            </w:r>
          </w:p>
          <w:p>
            <w:pPr>
              <w:spacing w:before="20" w:after="20"/>
            </w:pPr>
            <w:r>
              <w:rPr>
                <w:rFonts w:ascii="Courier New" w:hAnsi="Courier New"/>
                <w:color w:val="1A1A1A"/>
                <w:sz w:val="18"/>
              </w:rPr>
              <w:t>- Project type (API / Library / Test)</w:t>
            </w:r>
          </w:p>
          <w:p>
            <w:pPr>
              <w:spacing w:before="20" w:after="20"/>
            </w:pPr>
            <w:r>
              <w:rPr>
                <w:rFonts w:ascii="Courier New" w:hAnsi="Courier New"/>
                <w:color w:val="1A1A1A"/>
                <w:sz w:val="18"/>
              </w:rPr>
              <w:t>- Responsibility</w:t>
            </w:r>
          </w:p>
          <w:p>
            <w:pPr>
              <w:spacing w:before="20" w:after="20"/>
            </w:pPr>
            <w:r>
              <w:rPr>
                <w:rFonts w:ascii="Courier New" w:hAnsi="Courier New"/>
                <w:color w:val="1A1A1A"/>
                <w:sz w:val="18"/>
              </w:rPr>
              <w:t>- Dependencies</w:t>
            </w:r>
          </w:p>
          <w:p>
            <w:pPr>
              <w:spacing w:before="20" w:after="20"/>
            </w:pPr>
            <w:r>
              <w:rPr>
                <w:rFonts w:ascii="Courier New" w:hAnsi="Courier New"/>
                <w:color w:val="1A1A1A"/>
                <w:sz w:val="18"/>
              </w:rPr>
            </w:r>
          </w:p>
          <w:p>
            <w:pPr>
              <w:spacing w:before="20" w:after="20"/>
            </w:pPr>
            <w:r>
              <w:rPr>
                <w:rFonts w:ascii="Courier New" w:hAnsi="Courier New"/>
                <w:color w:val="1A1A1A"/>
                <w:sz w:val="18"/>
              </w:rPr>
              <w:t>For every major folder document:</w:t>
            </w:r>
          </w:p>
          <w:p>
            <w:pPr>
              <w:spacing w:before="20" w:after="20"/>
            </w:pPr>
            <w:r>
              <w:rPr>
                <w:rFonts w:ascii="Courier New" w:hAnsi="Courier New"/>
                <w:color w:val="1A1A1A"/>
                <w:sz w:val="18"/>
              </w:rPr>
              <w:t>- Purpose</w:t>
            </w:r>
          </w:p>
          <w:p>
            <w:pPr>
              <w:spacing w:before="20" w:after="20"/>
            </w:pPr>
            <w:r>
              <w:rPr>
                <w:rFonts w:ascii="Courier New" w:hAnsi="Courier New"/>
                <w:color w:val="1A1A1A"/>
                <w:sz w:val="18"/>
              </w:rPr>
              <w:t>- Key classes</w:t>
            </w:r>
          </w:p>
          <w:p>
            <w:pPr>
              <w:spacing w:before="20" w:after="20"/>
            </w:pPr>
            <w:r>
              <w:rPr>
                <w:rFonts w:ascii="Courier New" w:hAnsi="Courier New"/>
                <w:color w:val="1A1A1A"/>
                <w:sz w:val="18"/>
              </w:rPr>
            </w:r>
          </w:p>
          <w:p>
            <w:pPr>
              <w:spacing w:before="20" w:after="20"/>
            </w:pPr>
            <w:r>
              <w:rPr>
                <w:rFonts w:ascii="Courier New" w:hAnsi="Courier New"/>
                <w:color w:val="1A1A1A"/>
                <w:sz w:val="18"/>
              </w:rPr>
              <w:t>Create folder hierarchy documentation.</w:t>
            </w:r>
          </w:p>
        </w:tc>
      </w:tr>
    </w:tbl>
    <w:p>
      <w:pPr>
        <w:spacing w:after="120"/>
      </w:pPr>
    </w:p>
    <w:p>
      <w:r>
        <w:rPr>
          <w:rFonts w:ascii="Calibri" w:hAnsi="Calibri"/>
          <w:b/>
          <w:sz w:val="22"/>
        </w:rPr>
        <w:t>Reference folder hierarchy</w:t>
      </w:r>
      <w:r>
        <w:rPr>
          <w:rFonts w:ascii="Calibri" w:hAnsi="Calibri"/>
          <w:sz w:val="22"/>
        </w:rPr>
        <w:t xml:space="preserve"> (the AI will adapt this to the actual repository structure):</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/CLPS.API</w:t>
            </w:r>
          </w:p>
          <w:p>
            <w:pPr>
              <w:spacing w:before="20" w:after="20"/>
            </w:pPr>
            <w:r>
              <w:rPr>
                <w:rFonts w:ascii="Courier New" w:hAnsi="Courier New"/>
                <w:color w:val="1A1A1A"/>
                <w:sz w:val="18"/>
              </w:rPr>
              <w:t xml:space="preserve">  /Controllers</w:t>
            </w:r>
          </w:p>
          <w:p>
            <w:pPr>
              <w:spacing w:before="20" w:after="20"/>
            </w:pPr>
            <w:r>
              <w:rPr>
                <w:rFonts w:ascii="Courier New" w:hAnsi="Courier New"/>
                <w:color w:val="1A1A1A"/>
                <w:sz w:val="18"/>
              </w:rPr>
              <w:t xml:space="preserve">    - CreateLTController.cs</w:t>
            </w:r>
          </w:p>
          <w:p>
            <w:pPr>
              <w:spacing w:before="20" w:after="20"/>
            </w:pPr>
            <w:r>
              <w:rPr>
                <w:rFonts w:ascii="Courier New" w:hAnsi="Courier New"/>
                <w:color w:val="1A1A1A"/>
                <w:sz w:val="18"/>
              </w:rPr>
              <w:t xml:space="preserve">    - BatchController.cs</w:t>
            </w:r>
          </w:p>
          <w:p>
            <w:pPr>
              <w:spacing w:before="20" w:after="20"/>
            </w:pPr>
            <w:r>
              <w:rPr>
                <w:rFonts w:ascii="Courier New" w:hAnsi="Courier New"/>
                <w:color w:val="1A1A1A"/>
                <w:sz w:val="18"/>
              </w:rPr>
              <w:t xml:space="preserve">  /Services</w:t>
            </w:r>
          </w:p>
          <w:p>
            <w:pPr>
              <w:spacing w:before="20" w:after="20"/>
            </w:pPr>
            <w:r>
              <w:rPr>
                <w:rFonts w:ascii="Courier New" w:hAnsi="Courier New"/>
                <w:color w:val="1A1A1A"/>
                <w:sz w:val="18"/>
              </w:rPr>
              <w:t xml:space="preserve">    - CreateLTService.cs</w:t>
            </w:r>
          </w:p>
          <w:p>
            <w:pPr>
              <w:spacing w:before="20" w:after="20"/>
            </w:pPr>
            <w:r>
              <w:rPr>
                <w:rFonts w:ascii="Courier New" w:hAnsi="Courier New"/>
                <w:color w:val="1A1A1A"/>
                <w:sz w:val="18"/>
              </w:rPr>
              <w:t xml:space="preserve">    - CreateLTInternalService.cs</w:t>
            </w:r>
          </w:p>
          <w:p>
            <w:pPr>
              <w:spacing w:before="20" w:after="20"/>
            </w:pPr>
            <w:r>
              <w:rPr>
                <w:rFonts w:ascii="Courier New" w:hAnsi="Courier New"/>
                <w:color w:val="1A1A1A"/>
                <w:sz w:val="18"/>
              </w:rPr>
              <w:t xml:space="preserve">  /Builders</w:t>
            </w:r>
          </w:p>
          <w:p>
            <w:pPr>
              <w:spacing w:before="20" w:after="20"/>
            </w:pPr>
            <w:r>
              <w:rPr>
                <w:rFonts w:ascii="Courier New" w:hAnsi="Courier New"/>
                <w:color w:val="1A1A1A"/>
                <w:sz w:val="18"/>
              </w:rPr>
              <w:t xml:space="preserve">    - CreateLTContextBuilder.cs</w:t>
            </w:r>
          </w:p>
          <w:p>
            <w:pPr>
              <w:spacing w:before="20" w:after="20"/>
            </w:pPr>
            <w:r>
              <w:rPr>
                <w:rFonts w:ascii="Courier New" w:hAnsi="Courier New"/>
                <w:color w:val="1A1A1A"/>
                <w:sz w:val="18"/>
              </w:rPr>
              <w:t xml:space="preserve">  /Repositories</w:t>
            </w:r>
          </w:p>
          <w:p>
            <w:pPr>
              <w:spacing w:before="20" w:after="20"/>
            </w:pPr>
            <w:r>
              <w:rPr>
                <w:rFonts w:ascii="Courier New" w:hAnsi="Courier New"/>
                <w:color w:val="1A1A1A"/>
                <w:sz w:val="18"/>
              </w:rPr>
              <w:t xml:space="preserve">    - LabelRepository.cs</w:t>
            </w:r>
          </w:p>
          <w:p>
            <w:pPr>
              <w:spacing w:before="20" w:after="20"/>
            </w:pPr>
            <w:r>
              <w:rPr>
                <w:rFonts w:ascii="Courier New" w:hAnsi="Courier New"/>
                <w:color w:val="1A1A1A"/>
                <w:sz w:val="18"/>
              </w:rPr>
              <w:t xml:space="preserve">  /Models</w:t>
            </w:r>
          </w:p>
          <w:p>
            <w:pPr>
              <w:spacing w:before="20" w:after="20"/>
            </w:pPr>
            <w:r>
              <w:rPr>
                <w:rFonts w:ascii="Courier New" w:hAnsi="Courier New"/>
                <w:color w:val="1A1A1A"/>
                <w:sz w:val="18"/>
              </w:rPr>
              <w:t xml:space="preserve">  /DTOs</w:t>
            </w:r>
          </w:p>
          <w:p>
            <w:pPr>
              <w:spacing w:before="20" w:after="20"/>
            </w:pPr>
            <w:r>
              <w:rPr>
                <w:rFonts w:ascii="Courier New" w:hAnsi="Courier New"/>
                <w:color w:val="1A1A1A"/>
                <w:sz w:val="18"/>
              </w:rPr>
              <w:t xml:space="preserve">  /Validators</w:t>
            </w:r>
          </w:p>
          <w:p>
            <w:pPr>
              <w:spacing w:before="20" w:after="20"/>
            </w:pPr>
            <w:r>
              <w:rPr>
                <w:rFonts w:ascii="Courier New" w:hAnsi="Courier New"/>
                <w:color w:val="1A1A1A"/>
                <w:sz w:val="18"/>
              </w:rPr>
              <w:t xml:space="preserve">  /Middleware</w:t>
            </w:r>
          </w:p>
          <w:p>
            <w:pPr>
              <w:spacing w:before="20" w:after="20"/>
            </w:pPr>
            <w:r>
              <w:rPr>
                <w:rFonts w:ascii="Courier New" w:hAnsi="Courier New"/>
                <w:color w:val="1A1A1A"/>
                <w:sz w:val="18"/>
              </w:rPr>
              <w:t>/CLPS.Core</w:t>
            </w:r>
          </w:p>
          <w:p>
            <w:pPr>
              <w:spacing w:before="20" w:after="20"/>
            </w:pPr>
            <w:r>
              <w:rPr>
                <w:rFonts w:ascii="Courier New" w:hAnsi="Courier New"/>
                <w:color w:val="1A1A1A"/>
                <w:sz w:val="18"/>
              </w:rPr>
              <w:t xml:space="preserve">  /Interfaces</w:t>
            </w:r>
          </w:p>
          <w:p>
            <w:pPr>
              <w:spacing w:before="20" w:after="20"/>
            </w:pPr>
            <w:r>
              <w:rPr>
                <w:rFonts w:ascii="Courier New" w:hAnsi="Courier New"/>
                <w:color w:val="1A1A1A"/>
                <w:sz w:val="18"/>
              </w:rPr>
              <w:t xml:space="preserve">  /Entities</w:t>
            </w:r>
          </w:p>
          <w:p>
            <w:pPr>
              <w:spacing w:before="20" w:after="20"/>
            </w:pPr>
            <w:r>
              <w:rPr>
                <w:rFonts w:ascii="Courier New" w:hAnsi="Courier New"/>
                <w:color w:val="1A1A1A"/>
                <w:sz w:val="18"/>
              </w:rPr>
              <w:t>/CLPS.Infrastructure</w:t>
            </w:r>
          </w:p>
          <w:p>
            <w:pPr>
              <w:spacing w:before="20" w:after="20"/>
            </w:pPr>
            <w:r>
              <w:rPr>
                <w:rFonts w:ascii="Courier New" w:hAnsi="Courier New"/>
                <w:color w:val="1A1A1A"/>
                <w:sz w:val="18"/>
              </w:rPr>
              <w:t xml:space="preserve">  /Database</w:t>
            </w:r>
          </w:p>
          <w:p>
            <w:pPr>
              <w:spacing w:before="20" w:after="20"/>
            </w:pPr>
            <w:r>
              <w:rPr>
                <w:rFonts w:ascii="Courier New" w:hAnsi="Courier New"/>
                <w:color w:val="1A1A1A"/>
                <w:sz w:val="18"/>
              </w:rPr>
              <w:t xml:space="preserve">  /Migrations</w:t>
            </w:r>
          </w:p>
          <w:p>
            <w:pPr>
              <w:spacing w:before="20" w:after="20"/>
            </w:pPr>
            <w:r>
              <w:rPr>
                <w:rFonts w:ascii="Courier New" w:hAnsi="Courier New"/>
                <w:color w:val="1A1A1A"/>
                <w:sz w:val="18"/>
              </w:rPr>
              <w:t>/CLPS.Tests</w:t>
            </w:r>
          </w:p>
          <w:p>
            <w:pPr>
              <w:spacing w:before="20" w:after="20"/>
            </w:pPr>
            <w:r>
              <w:rPr>
                <w:rFonts w:ascii="Courier New" w:hAnsi="Courier New"/>
                <w:color w:val="1A1A1A"/>
                <w:sz w:val="18"/>
              </w:rPr>
              <w:t xml:space="preserve">  /Unit</w:t>
            </w:r>
          </w:p>
          <w:p>
            <w:pPr>
              <w:spacing w:before="20" w:after="20"/>
            </w:pPr>
            <w:r>
              <w:rPr>
                <w:rFonts w:ascii="Courier New" w:hAnsi="Courier New"/>
                <w:color w:val="1A1A1A"/>
                <w:sz w:val="18"/>
              </w:rPr>
              <w:t xml:space="preserve">  /Integration</w:t>
            </w:r>
          </w:p>
        </w:tc>
      </w:tr>
    </w:tbl>
    <w:p>
      <w:pPr>
        <w:spacing w:after="120"/>
      </w:pPr>
    </w:p>
    <w:p>
      <w:pPr>
        <w:pStyle w:val="Heading2"/>
      </w:pPr>
      <w:r>
        <w:t>5.5 Section 5 — Technology Stack</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Identify:</w:t>
            </w:r>
          </w:p>
          <w:p>
            <w:pPr>
              <w:spacing w:before="20" w:after="20"/>
            </w:pPr>
            <w:r>
              <w:rPr>
                <w:rFonts w:ascii="Courier New" w:hAnsi="Courier New"/>
                <w:color w:val="1A1A1A"/>
                <w:sz w:val="18"/>
              </w:rPr>
              <w:t>- .NET version</w:t>
            </w:r>
          </w:p>
          <w:p>
            <w:pPr>
              <w:spacing w:before="20" w:after="20"/>
            </w:pPr>
            <w:r>
              <w:rPr>
                <w:rFonts w:ascii="Courier New" w:hAnsi="Courier New"/>
                <w:color w:val="1A1A1A"/>
                <w:sz w:val="18"/>
              </w:rPr>
              <w:t>- ASP.NET Core version</w:t>
            </w:r>
          </w:p>
          <w:p>
            <w:pPr>
              <w:spacing w:before="20" w:after="20"/>
            </w:pPr>
            <w:r>
              <w:rPr>
                <w:rFonts w:ascii="Courier New" w:hAnsi="Courier New"/>
                <w:color w:val="1A1A1A"/>
                <w:sz w:val="18"/>
              </w:rPr>
              <w:t>- C# version</w:t>
            </w:r>
          </w:p>
          <w:p>
            <w:pPr>
              <w:spacing w:before="20" w:after="20"/>
            </w:pPr>
            <w:r>
              <w:rPr>
                <w:rFonts w:ascii="Courier New" w:hAnsi="Courier New"/>
                <w:color w:val="1A1A1A"/>
                <w:sz w:val="18"/>
              </w:rPr>
              <w:t>- ORM (Entity Framework / Dapper / ADO.NET)</w:t>
            </w:r>
          </w:p>
          <w:p>
            <w:pPr>
              <w:spacing w:before="20" w:after="20"/>
            </w:pPr>
            <w:r>
              <w:rPr>
                <w:rFonts w:ascii="Courier New" w:hAnsi="Courier New"/>
                <w:color w:val="1A1A1A"/>
                <w:sz w:val="18"/>
              </w:rPr>
              <w:t>- Database (SQL Server / Oracle / PostgreSQL)</w:t>
            </w:r>
          </w:p>
          <w:p>
            <w:pPr>
              <w:spacing w:before="20" w:after="20"/>
            </w:pPr>
            <w:r>
              <w:rPr>
                <w:rFonts w:ascii="Courier New" w:hAnsi="Courier New"/>
                <w:color w:val="1A1A1A"/>
                <w:sz w:val="18"/>
              </w:rPr>
              <w:t>- Logging frameworks (Serilog / NLog / ILogger)</w:t>
            </w:r>
          </w:p>
          <w:p>
            <w:pPr>
              <w:spacing w:before="20" w:after="20"/>
            </w:pPr>
            <w:r>
              <w:rPr>
                <w:rFonts w:ascii="Courier New" w:hAnsi="Courier New"/>
                <w:color w:val="1A1A1A"/>
                <w:sz w:val="18"/>
              </w:rPr>
              <w:t>- Caching technologies (Redis / In-Memory)</w:t>
            </w:r>
          </w:p>
          <w:p>
            <w:pPr>
              <w:spacing w:before="20" w:after="20"/>
            </w:pPr>
            <w:r>
              <w:rPr>
                <w:rFonts w:ascii="Courier New" w:hAnsi="Courier New"/>
                <w:color w:val="1A1A1A"/>
                <w:sz w:val="18"/>
              </w:rPr>
              <w:t>- Authentication frameworks (JWT / Azure AD / OAuth)</w:t>
            </w:r>
          </w:p>
          <w:p>
            <w:pPr>
              <w:spacing w:before="20" w:after="20"/>
            </w:pPr>
            <w:r>
              <w:rPr>
                <w:rFonts w:ascii="Courier New" w:hAnsi="Courier New"/>
                <w:color w:val="1A1A1A"/>
                <w:sz w:val="18"/>
              </w:rPr>
              <w:t>- API frameworks (REST / gRPC / GraphQL)</w:t>
            </w:r>
          </w:p>
          <w:p>
            <w:pPr>
              <w:spacing w:before="20" w:after="20"/>
            </w:pPr>
            <w:r>
              <w:rPr>
                <w:rFonts w:ascii="Courier New" w:hAnsi="Courier New"/>
                <w:color w:val="1A1A1A"/>
                <w:sz w:val="18"/>
              </w:rPr>
            </w:r>
          </w:p>
          <w:p>
            <w:pPr>
              <w:spacing w:before="20" w:after="20"/>
            </w:pPr>
            <w:r>
              <w:rPr>
                <w:rFonts w:ascii="Courier New" w:hAnsi="Courier New"/>
                <w:color w:val="1A1A1A"/>
                <w:sz w:val="18"/>
              </w:rPr>
              <w:t>Create a complete NuGet package inventory.</w:t>
            </w:r>
          </w:p>
        </w:tc>
      </w:tr>
    </w:tbl>
    <w:p>
      <w:pPr>
        <w:spacing w:after="120"/>
      </w:pPr>
    </w:p>
    <w:p>
      <w:r>
        <w:rPr>
          <w:rFonts w:ascii="Calibri" w:hAnsi="Calibri"/>
          <w:b/>
          <w:sz w:val="22"/>
        </w:rPr>
        <w:t>NuGet Package Inventory</w:t>
      </w:r>
      <w:r>
        <w:rPr>
          <w:rFonts w:ascii="Calibri" w:hAnsi="Calibri"/>
          <w:sz w:val="22"/>
        </w:rPr>
        <w:t xml:space="preserve"> — the AI will populate this table from </w:t>
      </w:r>
      <w:r>
        <w:rPr>
          <w:rFonts w:ascii="Courier New" w:hAnsi="Courier New"/>
          <w:sz w:val="20"/>
        </w:rPr>
        <w:t>.csproj</w:t>
      </w:r>
      <w:r>
        <w:rPr>
          <w:rFonts w:ascii="Calibri" w:hAnsi="Calibri"/>
          <w:sz w:val="22"/>
        </w:rPr>
        <w:t xml:space="preserve"> files: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6" w:val="clear"/>
          </w:tcPr>
          <w:p>
            <w:r>
              <w:rPr>
                <w:b/>
              </w:rPr>
            </w:r>
            <w:r>
              <w:rPr>
                <w:rFonts w:ascii="Calibri" w:hAnsi="Calibri"/>
                <w:b/>
                <w:color w:val="FFFFFF"/>
                <w:sz w:val="20"/>
              </w:rPr>
              <w:t>Package Name</w:t>
            </w:r>
          </w:p>
        </w:tc>
        <w:tc>
          <w:tcPr>
            <w:tcW w:type="dxa" w:w="2880"/>
            <w:shd w:fill="2E75B6" w:val="clear"/>
          </w:tcPr>
          <w:p>
            <w:r>
              <w:rPr>
                <w:b/>
              </w:rPr>
            </w:r>
            <w:r>
              <w:rPr>
                <w:rFonts w:ascii="Calibri" w:hAnsi="Calibri"/>
                <w:b/>
                <w:color w:val="FFFFFF"/>
                <w:sz w:val="20"/>
              </w:rPr>
              <w:t>Version</w:t>
            </w:r>
          </w:p>
        </w:tc>
        <w:tc>
          <w:tcPr>
            <w:tcW w:type="dxa" w:w="2880"/>
            <w:shd w:fill="2E75B6" w:val="clear"/>
          </w:tcPr>
          <w:p>
            <w:r>
              <w:rPr>
                <w:b/>
              </w:rPr>
            </w:r>
            <w:r>
              <w:rPr>
                <w:rFonts w:ascii="Calibri" w:hAnsi="Calibri"/>
                <w:b/>
                <w:color w:val="FFFFFF"/>
                <w:sz w:val="20"/>
              </w:rPr>
              <w:t>Purpose</w:t>
            </w:r>
          </w:p>
        </w:tc>
      </w:tr>
      <w:tr>
        <w:tc>
          <w:tcPr>
            <w:tcW w:type="dxa" w:w="2880"/>
            <w:shd w:fill="F2F2F2" w:val="clear"/>
          </w:tcPr>
          <w:p>
            <w:r/>
            <w:r>
              <w:rPr>
                <w:rFonts w:ascii="Calibri" w:hAnsi="Calibri"/>
                <w:sz w:val="20"/>
              </w:rPr>
              <w:t>Microsoft.AspNetCore</w:t>
            </w:r>
          </w:p>
        </w:tc>
        <w:tc>
          <w:tcPr>
            <w:tcW w:type="dxa" w:w="2880"/>
            <w:shd w:fill="F2F2F2" w:val="clear"/>
          </w:tcPr>
          <w:p>
            <w:r/>
            <w:r>
              <w:rPr>
                <w:rFonts w:ascii="Calibri" w:hAnsi="Calibri"/>
                <w:sz w:val="20"/>
              </w:rPr>
              <w:t>x.x.x</w:t>
            </w:r>
          </w:p>
        </w:tc>
        <w:tc>
          <w:tcPr>
            <w:tcW w:type="dxa" w:w="2880"/>
            <w:shd w:fill="F2F2F2" w:val="clear"/>
          </w:tcPr>
          <w:p>
            <w:r/>
            <w:r>
              <w:rPr>
                <w:rFonts w:ascii="Calibri" w:hAnsi="Calibri"/>
                <w:sz w:val="20"/>
              </w:rPr>
              <w:t>Web framework</w:t>
            </w:r>
          </w:p>
        </w:tc>
      </w:tr>
      <w:tr>
        <w:tc>
          <w:tcPr>
            <w:tcW w:type="dxa" w:w="2880"/>
          </w:tcPr>
          <w:p>
            <w:r/>
            <w:r>
              <w:rPr>
                <w:rFonts w:ascii="Calibri" w:hAnsi="Calibri"/>
                <w:sz w:val="20"/>
              </w:rPr>
              <w:t>EntityFrameworkCore</w:t>
            </w:r>
          </w:p>
        </w:tc>
        <w:tc>
          <w:tcPr>
            <w:tcW w:type="dxa" w:w="2880"/>
          </w:tcPr>
          <w:p>
            <w:r/>
            <w:r>
              <w:rPr>
                <w:rFonts w:ascii="Calibri" w:hAnsi="Calibri"/>
                <w:sz w:val="20"/>
              </w:rPr>
              <w:t>x.x.x</w:t>
            </w:r>
          </w:p>
        </w:tc>
        <w:tc>
          <w:tcPr>
            <w:tcW w:type="dxa" w:w="2880"/>
          </w:tcPr>
          <w:p>
            <w:r/>
            <w:r>
              <w:rPr>
                <w:rFonts w:ascii="Calibri" w:hAnsi="Calibri"/>
                <w:sz w:val="20"/>
              </w:rPr>
              <w:t>ORM</w:t>
            </w:r>
          </w:p>
        </w:tc>
      </w:tr>
      <w:tr>
        <w:tc>
          <w:tcPr>
            <w:tcW w:type="dxa" w:w="2880"/>
            <w:shd w:fill="F2F2F2" w:val="clear"/>
          </w:tcPr>
          <w:p>
            <w:r/>
            <w:r>
              <w:rPr>
                <w:rFonts w:ascii="Calibri" w:hAnsi="Calibri"/>
                <w:sz w:val="20"/>
              </w:rPr>
              <w:t>Serilog</w:t>
            </w:r>
          </w:p>
        </w:tc>
        <w:tc>
          <w:tcPr>
            <w:tcW w:type="dxa" w:w="2880"/>
            <w:shd w:fill="F2F2F2" w:val="clear"/>
          </w:tcPr>
          <w:p>
            <w:r/>
            <w:r>
              <w:rPr>
                <w:rFonts w:ascii="Calibri" w:hAnsi="Calibri"/>
                <w:sz w:val="20"/>
              </w:rPr>
              <w:t>x.x.x</w:t>
            </w:r>
          </w:p>
        </w:tc>
        <w:tc>
          <w:tcPr>
            <w:tcW w:type="dxa" w:w="2880"/>
            <w:shd w:fill="F2F2F2" w:val="clear"/>
          </w:tcPr>
          <w:p>
            <w:r/>
            <w:r>
              <w:rPr>
                <w:rFonts w:ascii="Calibri" w:hAnsi="Calibri"/>
                <w:sz w:val="20"/>
              </w:rPr>
              <w:t>Structured logging</w:t>
            </w:r>
          </w:p>
        </w:tc>
      </w:tr>
      <w:tr>
        <w:tc>
          <w:tcPr>
            <w:tcW w:type="dxa" w:w="2880"/>
          </w:tcPr>
          <w:p>
            <w:r/>
            <w:r>
              <w:rPr>
                <w:rFonts w:ascii="Calibri" w:hAnsi="Calibri"/>
                <w:sz w:val="20"/>
              </w:rPr>
              <w:t>FluentValidation</w:t>
            </w:r>
          </w:p>
        </w:tc>
        <w:tc>
          <w:tcPr>
            <w:tcW w:type="dxa" w:w="2880"/>
          </w:tcPr>
          <w:p>
            <w:r/>
            <w:r>
              <w:rPr>
                <w:rFonts w:ascii="Calibri" w:hAnsi="Calibri"/>
                <w:sz w:val="20"/>
              </w:rPr>
              <w:t>x.x.x</w:t>
            </w:r>
          </w:p>
        </w:tc>
        <w:tc>
          <w:tcPr>
            <w:tcW w:type="dxa" w:w="2880"/>
          </w:tcPr>
          <w:p>
            <w:r/>
            <w:r>
              <w:rPr>
                <w:rFonts w:ascii="Calibri" w:hAnsi="Calibri"/>
                <w:sz w:val="20"/>
              </w:rPr>
              <w:t>Request validation</w:t>
            </w:r>
          </w:p>
        </w:tc>
      </w:tr>
      <w:tr>
        <w:tc>
          <w:tcPr>
            <w:tcW w:type="dxa" w:w="2880"/>
            <w:shd w:fill="F2F2F2" w:val="clear"/>
          </w:tcPr>
          <w:p>
            <w:r/>
            <w:r>
              <w:rPr>
                <w:rFonts w:ascii="Calibri" w:hAnsi="Calibri"/>
                <w:sz w:val="20"/>
              </w:rPr>
              <w:t>AutoMapper</w:t>
            </w:r>
          </w:p>
        </w:tc>
        <w:tc>
          <w:tcPr>
            <w:tcW w:type="dxa" w:w="2880"/>
            <w:shd w:fill="F2F2F2" w:val="clear"/>
          </w:tcPr>
          <w:p>
            <w:r/>
            <w:r>
              <w:rPr>
                <w:rFonts w:ascii="Calibri" w:hAnsi="Calibri"/>
                <w:sz w:val="20"/>
              </w:rPr>
              <w:t>x.x.x</w:t>
            </w:r>
          </w:p>
        </w:tc>
        <w:tc>
          <w:tcPr>
            <w:tcW w:type="dxa" w:w="2880"/>
            <w:shd w:fill="F2F2F2" w:val="clear"/>
          </w:tcPr>
          <w:p>
            <w:r/>
            <w:r>
              <w:rPr>
                <w:rFonts w:ascii="Calibri" w:hAnsi="Calibri"/>
                <w:sz w:val="20"/>
              </w:rPr>
              <w:t>Object-to-object mapping</w:t>
            </w:r>
          </w:p>
        </w:tc>
      </w:tr>
      <w:tr>
        <w:tc>
          <w:tcPr>
            <w:tcW w:type="dxa" w:w="2880"/>
          </w:tcPr>
          <w:p>
            <w:r/>
            <w:r>
              <w:rPr>
                <w:rFonts w:ascii="Calibri" w:hAnsi="Calibri"/>
                <w:sz w:val="20"/>
              </w:rPr>
              <w:t>Polly</w:t>
            </w:r>
          </w:p>
        </w:tc>
        <w:tc>
          <w:tcPr>
            <w:tcW w:type="dxa" w:w="2880"/>
          </w:tcPr>
          <w:p>
            <w:r/>
            <w:r>
              <w:rPr>
                <w:rFonts w:ascii="Calibri" w:hAnsi="Calibri"/>
                <w:sz w:val="20"/>
              </w:rPr>
              <w:t>x.x.x</w:t>
            </w:r>
          </w:p>
        </w:tc>
        <w:tc>
          <w:tcPr>
            <w:tcW w:type="dxa" w:w="2880"/>
          </w:tcPr>
          <w:p>
            <w:r/>
            <w:r>
              <w:rPr>
                <w:rFonts w:ascii="Calibri" w:hAnsi="Calibri"/>
                <w:sz w:val="20"/>
              </w:rPr>
              <w:t>Resilience and retry policies</w:t>
            </w:r>
          </w:p>
        </w:tc>
      </w:tr>
    </w:tbl>
    <w:p>
      <w:pPr>
        <w:pStyle w:val="Heading2"/>
      </w:pPr>
      <w:r>
        <w:t>5.6 Section 6 — Low Level Design</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For each component document:</w:t>
            </w:r>
          </w:p>
          <w:p>
            <w:pPr>
              <w:spacing w:before="20" w:after="20"/>
            </w:pPr>
            <w:r>
              <w:rPr>
                <w:rFonts w:ascii="Courier New" w:hAnsi="Courier New"/>
                <w:color w:val="1A1A1A"/>
                <w:sz w:val="18"/>
              </w:rPr>
              <w:t>- Responsibility</w:t>
            </w:r>
          </w:p>
          <w:p>
            <w:pPr>
              <w:spacing w:before="20" w:after="20"/>
            </w:pPr>
            <w:r>
              <w:rPr>
                <w:rFonts w:ascii="Courier New" w:hAnsi="Courier New"/>
                <w:color w:val="1A1A1A"/>
                <w:sz w:val="18"/>
              </w:rPr>
              <w:t>- Interfaces implemented</w:t>
            </w:r>
          </w:p>
          <w:p>
            <w:pPr>
              <w:spacing w:before="20" w:after="20"/>
            </w:pPr>
            <w:r>
              <w:rPr>
                <w:rFonts w:ascii="Courier New" w:hAnsi="Courier New"/>
                <w:color w:val="1A1A1A"/>
                <w:sz w:val="18"/>
              </w:rPr>
              <w:t>- Concrete implementations</w:t>
            </w:r>
          </w:p>
          <w:p>
            <w:pPr>
              <w:spacing w:before="20" w:after="20"/>
            </w:pPr>
            <w:r>
              <w:rPr>
                <w:rFonts w:ascii="Courier New" w:hAnsi="Courier New"/>
                <w:color w:val="1A1A1A"/>
                <w:sz w:val="18"/>
              </w:rPr>
              <w:t>- Dependencies injected</w:t>
            </w:r>
          </w:p>
          <w:p>
            <w:pPr>
              <w:spacing w:before="20" w:after="20"/>
            </w:pPr>
            <w:r>
              <w:rPr>
                <w:rFonts w:ascii="Courier New" w:hAnsi="Courier New"/>
                <w:color w:val="1A1A1A"/>
                <w:sz w:val="18"/>
              </w:rPr>
              <w:t>- Public methods with signatures</w:t>
            </w:r>
          </w:p>
          <w:p>
            <w:pPr>
              <w:spacing w:before="20" w:after="20"/>
            </w:pPr>
            <w:r>
              <w:rPr>
                <w:rFonts w:ascii="Courier New" w:hAnsi="Courier New"/>
                <w:color w:val="1A1A1A"/>
                <w:sz w:val="18"/>
              </w:rPr>
              <w:t>- Data flow (input → processing → output)</w:t>
            </w:r>
          </w:p>
          <w:p>
            <w:pPr>
              <w:spacing w:before="20" w:after="20"/>
            </w:pPr>
            <w:r>
              <w:rPr>
                <w:rFonts w:ascii="Courier New" w:hAnsi="Courier New"/>
                <w:color w:val="1A1A1A"/>
                <w:sz w:val="18"/>
              </w:rPr>
            </w:r>
          </w:p>
          <w:p>
            <w:pPr>
              <w:spacing w:before="20" w:after="20"/>
            </w:pPr>
            <w:r>
              <w:rPr>
                <w:rFonts w:ascii="Courier New" w:hAnsi="Courier New"/>
                <w:color w:val="1A1A1A"/>
                <w:sz w:val="18"/>
              </w:rPr>
              <w:t>Generate dependency diagrams using Mermaid.</w:t>
            </w:r>
          </w:p>
        </w:tc>
      </w:tr>
    </w:tbl>
    <w:p>
      <w:pPr>
        <w:spacing w:after="120"/>
      </w:pPr>
    </w:p>
    <w:p>
      <w:r>
        <w:rPr>
          <w:rFonts w:ascii="Calibri" w:hAnsi="Calibri"/>
          <w:b/>
          <w:sz w:val="22"/>
        </w:rPr>
        <w:t>LT Creation Component Detail</w:t>
      </w:r>
      <w:r>
        <w:rPr>
          <w:rFonts w:ascii="Calibri" w:hAnsi="Calibri"/>
          <w:sz w:val="22"/>
        </w:rPr>
        <w:t xml:space="preserve"> — reference template: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6" w:val="clear"/>
          </w:tcPr>
          <w:p>
            <w:r>
              <w:rPr>
                <w:b/>
              </w:rPr>
            </w:r>
            <w:r>
              <w:rPr>
                <w:rFonts w:ascii="Calibri" w:hAnsi="Calibri"/>
                <w:b/>
                <w:color w:val="FFFFFF"/>
                <w:sz w:val="20"/>
              </w:rPr>
              <w:t>Component</w:t>
            </w:r>
          </w:p>
        </w:tc>
        <w:tc>
          <w:tcPr>
            <w:tcW w:type="dxa" w:w="2880"/>
            <w:shd w:fill="2E75B6" w:val="clear"/>
          </w:tcPr>
          <w:p>
            <w:r>
              <w:rPr>
                <w:b/>
              </w:rPr>
            </w:r>
            <w:r>
              <w:rPr>
                <w:rFonts w:ascii="Calibri" w:hAnsi="Calibri"/>
                <w:b/>
                <w:color w:val="FFFFFF"/>
                <w:sz w:val="20"/>
              </w:rPr>
              <w:t>Interface</w:t>
            </w:r>
          </w:p>
        </w:tc>
        <w:tc>
          <w:tcPr>
            <w:tcW w:type="dxa" w:w="2880"/>
            <w:shd w:fill="2E75B6" w:val="clear"/>
          </w:tcPr>
          <w:p>
            <w:r>
              <w:rPr>
                <w:b/>
              </w:rPr>
            </w:r>
            <w:r>
              <w:rPr>
                <w:rFonts w:ascii="Calibri" w:hAnsi="Calibri"/>
                <w:b/>
                <w:color w:val="FFFFFF"/>
                <w:sz w:val="20"/>
              </w:rPr>
              <w:t>Responsibility</w:t>
            </w:r>
          </w:p>
        </w:tc>
      </w:tr>
      <w:tr>
        <w:tc>
          <w:tcPr>
            <w:tcW w:type="dxa" w:w="2880"/>
            <w:shd w:fill="F2F2F2" w:val="clear"/>
          </w:tcPr>
          <w:p>
            <w:r/>
            <w:r>
              <w:rPr>
                <w:rFonts w:ascii="Calibri" w:hAnsi="Calibri"/>
                <w:sz w:val="20"/>
              </w:rPr>
              <w:t>CreateLTController</w:t>
            </w:r>
          </w:p>
        </w:tc>
        <w:tc>
          <w:tcPr>
            <w:tcW w:type="dxa" w:w="2880"/>
            <w:shd w:fill="F2F2F2" w:val="clear"/>
          </w:tcPr>
          <w:p>
            <w:r/>
            <w:r>
              <w:rPr>
                <w:rFonts w:ascii="Calibri" w:hAnsi="Calibri"/>
                <w:sz w:val="20"/>
              </w:rPr>
              <w:t>ICreateLTController</w:t>
            </w:r>
          </w:p>
        </w:tc>
        <w:tc>
          <w:tcPr>
            <w:tcW w:type="dxa" w:w="2880"/>
            <w:shd w:fill="F2F2F2" w:val="clear"/>
          </w:tcPr>
          <w:p>
            <w:r/>
            <w:r>
              <w:rPr>
                <w:rFonts w:ascii="Calibri" w:hAnsi="Calibri"/>
                <w:sz w:val="20"/>
              </w:rPr>
              <w:t>HTTP entry point and request routing</w:t>
            </w:r>
          </w:p>
        </w:tc>
      </w:tr>
      <w:tr>
        <w:tc>
          <w:tcPr>
            <w:tcW w:type="dxa" w:w="2880"/>
          </w:tcPr>
          <w:p>
            <w:r/>
            <w:r>
              <w:rPr>
                <w:rFonts w:ascii="Calibri" w:hAnsi="Calibri"/>
                <w:sz w:val="20"/>
              </w:rPr>
              <w:t>CreateLTService</w:t>
            </w:r>
          </w:p>
        </w:tc>
        <w:tc>
          <w:tcPr>
            <w:tcW w:type="dxa" w:w="2880"/>
          </w:tcPr>
          <w:p>
            <w:r/>
            <w:r>
              <w:rPr>
                <w:rFonts w:ascii="Calibri" w:hAnsi="Calibri"/>
                <w:sz w:val="20"/>
              </w:rPr>
              <w:t>ICreateLTService</w:t>
            </w:r>
          </w:p>
        </w:tc>
        <w:tc>
          <w:tcPr>
            <w:tcW w:type="dxa" w:w="2880"/>
          </w:tcPr>
          <w:p>
            <w:r/>
            <w:r>
              <w:rPr>
                <w:rFonts w:ascii="Calibri" w:hAnsi="Calibri"/>
                <w:sz w:val="20"/>
              </w:rPr>
              <w:t>Business orchestration layer</w:t>
            </w:r>
          </w:p>
        </w:tc>
      </w:tr>
      <w:tr>
        <w:tc>
          <w:tcPr>
            <w:tcW w:type="dxa" w:w="2880"/>
            <w:shd w:fill="F2F2F2" w:val="clear"/>
          </w:tcPr>
          <w:p>
            <w:r/>
            <w:r>
              <w:rPr>
                <w:rFonts w:ascii="Calibri" w:hAnsi="Calibri"/>
                <w:sz w:val="20"/>
              </w:rPr>
              <w:t>CreateLTContextBuilder</w:t>
            </w:r>
          </w:p>
        </w:tc>
        <w:tc>
          <w:tcPr>
            <w:tcW w:type="dxa" w:w="2880"/>
            <w:shd w:fill="F2F2F2" w:val="clear"/>
          </w:tcPr>
          <w:p>
            <w:r/>
            <w:r>
              <w:rPr>
                <w:rFonts w:ascii="Calibri" w:hAnsi="Calibri"/>
                <w:sz w:val="20"/>
              </w:rPr>
              <w:t>ICreateLTContextBuilder</w:t>
            </w:r>
          </w:p>
        </w:tc>
        <w:tc>
          <w:tcPr>
            <w:tcW w:type="dxa" w:w="2880"/>
            <w:shd w:fill="F2F2F2" w:val="clear"/>
          </w:tcPr>
          <w:p>
            <w:r/>
            <w:r>
              <w:rPr>
                <w:rFonts w:ascii="Calibri" w:hAnsi="Calibri"/>
                <w:sz w:val="20"/>
              </w:rPr>
              <w:t>Context assembly and validation</w:t>
            </w:r>
          </w:p>
        </w:tc>
      </w:tr>
      <w:tr>
        <w:tc>
          <w:tcPr>
            <w:tcW w:type="dxa" w:w="2880"/>
          </w:tcPr>
          <w:p>
            <w:r/>
            <w:r>
              <w:rPr>
                <w:rFonts w:ascii="Calibri" w:hAnsi="Calibri"/>
                <w:sz w:val="20"/>
              </w:rPr>
              <w:t>CreateLTInternalService</w:t>
            </w:r>
          </w:p>
        </w:tc>
        <w:tc>
          <w:tcPr>
            <w:tcW w:type="dxa" w:w="2880"/>
          </w:tcPr>
          <w:p>
            <w:r/>
            <w:r>
              <w:rPr>
                <w:rFonts w:ascii="Calibri" w:hAnsi="Calibri"/>
                <w:sz w:val="20"/>
              </w:rPr>
              <w:t>ICreateLTInternalService</w:t>
            </w:r>
          </w:p>
        </w:tc>
        <w:tc>
          <w:tcPr>
            <w:tcW w:type="dxa" w:w="2880"/>
          </w:tcPr>
          <w:p>
            <w:r/>
            <w:r>
              <w:rPr>
                <w:rFonts w:ascii="Calibri" w:hAnsi="Calibri"/>
                <w:sz w:val="20"/>
              </w:rPr>
              <w:t>Core LT creation logic and database writes</w:t>
            </w:r>
          </w:p>
        </w:tc>
      </w:tr>
    </w:tbl>
    <w:p>
      <w:pPr>
        <w:pStyle w:val="Heading2"/>
      </w:pPr>
      <w:r>
        <w:t>5.7 Section 7 — Database Design</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Analyze:</w:t>
            </w:r>
          </w:p>
          <w:p>
            <w:pPr>
              <w:spacing w:before="20" w:after="20"/>
            </w:pPr>
            <w:r>
              <w:rPr>
                <w:rFonts w:ascii="Courier New" w:hAnsi="Courier New"/>
                <w:color w:val="1A1A1A"/>
                <w:sz w:val="18"/>
              </w:rPr>
              <w:t>- Entities and DbContexts</w:t>
            </w:r>
          </w:p>
          <w:p>
            <w:pPr>
              <w:spacing w:before="20" w:after="20"/>
            </w:pPr>
            <w:r>
              <w:rPr>
                <w:rFonts w:ascii="Courier New" w:hAnsi="Courier New"/>
                <w:color w:val="1A1A1A"/>
                <w:sz w:val="18"/>
              </w:rPr>
              <w:t>- Migrations</w:t>
            </w:r>
          </w:p>
          <w:p>
            <w:pPr>
              <w:spacing w:before="20" w:after="20"/>
            </w:pPr>
            <w:r>
              <w:rPr>
                <w:rFonts w:ascii="Courier New" w:hAnsi="Courier New"/>
                <w:color w:val="1A1A1A"/>
                <w:sz w:val="18"/>
              </w:rPr>
              <w:t>- Tables, Stored Procedures, Views</w:t>
            </w:r>
          </w:p>
          <w:p>
            <w:pPr>
              <w:spacing w:before="20" w:after="20"/>
            </w:pPr>
            <w:r>
              <w:rPr>
                <w:rFonts w:ascii="Courier New" w:hAnsi="Courier New"/>
                <w:color w:val="1A1A1A"/>
                <w:sz w:val="18"/>
              </w:rPr>
            </w:r>
          </w:p>
          <w:p>
            <w:pPr>
              <w:spacing w:before="20" w:after="20"/>
            </w:pPr>
            <w:r>
              <w:rPr>
                <w:rFonts w:ascii="Courier New" w:hAnsi="Courier New"/>
                <w:color w:val="1A1A1A"/>
                <w:sz w:val="18"/>
              </w:rPr>
              <w:t>Document:</w:t>
            </w:r>
          </w:p>
          <w:p>
            <w:pPr>
              <w:spacing w:before="20" w:after="20"/>
            </w:pPr>
            <w:r>
              <w:rPr>
                <w:rFonts w:ascii="Courier New" w:hAnsi="Courier New"/>
                <w:color w:val="1A1A1A"/>
                <w:sz w:val="18"/>
              </w:rPr>
              <w:t>- Primary Keys</w:t>
            </w:r>
          </w:p>
          <w:p>
            <w:pPr>
              <w:spacing w:before="20" w:after="20"/>
            </w:pPr>
            <w:r>
              <w:rPr>
                <w:rFonts w:ascii="Courier New" w:hAnsi="Courier New"/>
                <w:color w:val="1A1A1A"/>
                <w:sz w:val="18"/>
              </w:rPr>
              <w:t>- Foreign Keys</w:t>
            </w:r>
          </w:p>
          <w:p>
            <w:pPr>
              <w:spacing w:before="20" w:after="20"/>
            </w:pPr>
            <w:r>
              <w:rPr>
                <w:rFonts w:ascii="Courier New" w:hAnsi="Courier New"/>
                <w:color w:val="1A1A1A"/>
                <w:sz w:val="18"/>
              </w:rPr>
              <w:t>- Constraints</w:t>
            </w:r>
          </w:p>
          <w:p>
            <w:pPr>
              <w:spacing w:before="20" w:after="20"/>
            </w:pPr>
            <w:r>
              <w:rPr>
                <w:rFonts w:ascii="Courier New" w:hAnsi="Courier New"/>
                <w:color w:val="1A1A1A"/>
                <w:sz w:val="18"/>
              </w:rPr>
              <w:t>- Indexes</w:t>
            </w:r>
          </w:p>
          <w:p>
            <w:pPr>
              <w:spacing w:before="20" w:after="20"/>
            </w:pPr>
            <w:r>
              <w:rPr>
                <w:rFonts w:ascii="Courier New" w:hAnsi="Courier New"/>
                <w:color w:val="1A1A1A"/>
                <w:sz w:val="18"/>
              </w:rPr>
            </w:r>
          </w:p>
          <w:p>
            <w:pPr>
              <w:spacing w:before="20" w:after="20"/>
            </w:pPr>
            <w:r>
              <w:rPr>
                <w:rFonts w:ascii="Courier New" w:hAnsi="Courier New"/>
                <w:color w:val="1A1A1A"/>
                <w:sz w:val="18"/>
              </w:rPr>
              <w:t>Generate Mermaid ER Diagram.</w:t>
            </w:r>
          </w:p>
        </w:tc>
      </w:tr>
    </w:tbl>
    <w:p>
      <w:pPr>
        <w:spacing w:after="120"/>
      </w:pPr>
    </w:p>
    <w:p>
      <w:r>
        <w:rPr>
          <w:rFonts w:ascii="Calibri" w:hAnsi="Calibri"/>
          <w:b/>
          <w:sz w:val="22"/>
        </w:rPr>
        <w:t>ER Diagram Template</w:t>
      </w:r>
      <w:r>
        <w:rPr>
          <w:rFonts w:ascii="Calibri" w:hAnsi="Calibri"/>
          <w:sz w:val="22"/>
        </w:rPr>
        <w:t xml:space="preserve"> — the AI will extend this with all discovered entities: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```mermaid</w:t>
            </w:r>
          </w:p>
          <w:p>
            <w:pPr>
              <w:spacing w:before="20" w:after="20"/>
            </w:pPr>
            <w:r>
              <w:rPr>
                <w:rFonts w:ascii="Courier New" w:hAnsi="Courier New"/>
                <w:color w:val="1A1A1A"/>
                <w:sz w:val="18"/>
              </w:rPr>
              <w:t>erDiagram</w:t>
            </w:r>
          </w:p>
          <w:p>
            <w:pPr>
              <w:spacing w:before="20" w:after="20"/>
            </w:pPr>
            <w:r>
              <w:rPr>
                <w:rFonts w:ascii="Courier New" w:hAnsi="Courier New"/>
                <w:color w:val="1A1A1A"/>
                <w:sz w:val="18"/>
              </w:rPr>
              <w:t xml:space="preserve">    LABEL_TRACKING {</w:t>
            </w:r>
          </w:p>
          <w:p>
            <w:pPr>
              <w:spacing w:before="20" w:after="20"/>
            </w:pPr>
            <w:r>
              <w:rPr>
                <w:rFonts w:ascii="Courier New" w:hAnsi="Courier New"/>
                <w:color w:val="1A1A1A"/>
                <w:sz w:val="18"/>
              </w:rPr>
              <w:t xml:space="preserve">        int LT_ID PK</w:t>
            </w:r>
          </w:p>
          <w:p>
            <w:pPr>
              <w:spacing w:before="20" w:after="20"/>
            </w:pPr>
            <w:r>
              <w:rPr>
                <w:rFonts w:ascii="Courier New" w:hAnsi="Courier New"/>
                <w:color w:val="1A1A1A"/>
                <w:sz w:val="18"/>
              </w:rPr>
              <w:t xml:space="preserve">        string LT_Number</w:t>
            </w:r>
          </w:p>
          <w:p>
            <w:pPr>
              <w:spacing w:before="20" w:after="20"/>
            </w:pPr>
            <w:r>
              <w:rPr>
                <w:rFonts w:ascii="Courier New" w:hAnsi="Courier New"/>
                <w:color w:val="1A1A1A"/>
                <w:sz w:val="18"/>
              </w:rPr>
              <w:t xml:space="preserve">        int BatchID FK</w:t>
            </w:r>
          </w:p>
          <w:p>
            <w:pPr>
              <w:spacing w:before="20" w:after="20"/>
            </w:pPr>
            <w:r>
              <w:rPr>
                <w:rFonts w:ascii="Courier New" w:hAnsi="Courier New"/>
                <w:color w:val="1A1A1A"/>
                <w:sz w:val="18"/>
              </w:rPr>
              <w:t xml:space="preserve">        int OrderID FK</w:t>
            </w:r>
          </w:p>
          <w:p>
            <w:pPr>
              <w:spacing w:before="20" w:after="20"/>
            </w:pPr>
            <w:r>
              <w:rPr>
                <w:rFonts w:ascii="Courier New" w:hAnsi="Courier New"/>
                <w:color w:val="1A1A1A"/>
                <w:sz w:val="18"/>
              </w:rPr>
              <w:t xml:space="preserve">        datetime CreatedAt</w:t>
            </w:r>
          </w:p>
          <w:p>
            <w:pPr>
              <w:spacing w:before="20" w:after="20"/>
            </w:pPr>
            <w:r>
              <w:rPr>
                <w:rFonts w:ascii="Courier New" w:hAnsi="Courier New"/>
                <w:color w:val="1A1A1A"/>
                <w:sz w:val="18"/>
              </w:rPr>
              <w:t xml:space="preserve">        string Status</w:t>
            </w:r>
          </w:p>
          <w:p>
            <w:pPr>
              <w:spacing w:before="20" w:after="20"/>
            </w:pPr>
            <w:r>
              <w:rPr>
                <w:rFonts w:ascii="Courier New" w:hAnsi="Courier New"/>
                <w:color w:val="1A1A1A"/>
                <w:sz w:val="18"/>
              </w:rPr>
              <w:t xml:space="preserve">    }</w:t>
            </w:r>
          </w:p>
          <w:p>
            <w:pPr>
              <w:spacing w:before="20" w:after="20"/>
            </w:pPr>
            <w:r>
              <w:rPr>
                <w:rFonts w:ascii="Courier New" w:hAnsi="Courier New"/>
                <w:color w:val="1A1A1A"/>
                <w:sz w:val="18"/>
              </w:rPr>
              <w:t xml:space="preserve">    BATCH {</w:t>
            </w:r>
          </w:p>
          <w:p>
            <w:pPr>
              <w:spacing w:before="20" w:after="20"/>
            </w:pPr>
            <w:r>
              <w:rPr>
                <w:rFonts w:ascii="Courier New" w:hAnsi="Courier New"/>
                <w:color w:val="1A1A1A"/>
                <w:sz w:val="18"/>
              </w:rPr>
              <w:t xml:space="preserve">        int BatchID PK</w:t>
            </w:r>
          </w:p>
          <w:p>
            <w:pPr>
              <w:spacing w:before="20" w:after="20"/>
            </w:pPr>
            <w:r>
              <w:rPr>
                <w:rFonts w:ascii="Courier New" w:hAnsi="Courier New"/>
                <w:color w:val="1A1A1A"/>
                <w:sz w:val="18"/>
              </w:rPr>
              <w:t xml:space="preserve">        string BatchNumber</w:t>
            </w:r>
          </w:p>
          <w:p>
            <w:pPr>
              <w:spacing w:before="20" w:after="20"/>
            </w:pPr>
            <w:r>
              <w:rPr>
                <w:rFonts w:ascii="Courier New" w:hAnsi="Courier New"/>
                <w:color w:val="1A1A1A"/>
                <w:sz w:val="18"/>
              </w:rPr>
              <w:t xml:space="preserve">        int SiteID FK</w:t>
            </w:r>
          </w:p>
          <w:p>
            <w:pPr>
              <w:spacing w:before="20" w:after="20"/>
            </w:pPr>
            <w:r>
              <w:rPr>
                <w:rFonts w:ascii="Courier New" w:hAnsi="Courier New"/>
                <w:color w:val="1A1A1A"/>
                <w:sz w:val="18"/>
              </w:rPr>
              <w:t xml:space="preserve">        datetime BatchDate</w:t>
            </w:r>
          </w:p>
          <w:p>
            <w:pPr>
              <w:spacing w:before="20" w:after="20"/>
            </w:pPr>
            <w:r>
              <w:rPr>
                <w:rFonts w:ascii="Courier New" w:hAnsi="Courier New"/>
                <w:color w:val="1A1A1A"/>
                <w:sz w:val="18"/>
              </w:rPr>
              <w:t xml:space="preserve">    }</w:t>
            </w:r>
          </w:p>
          <w:p>
            <w:pPr>
              <w:spacing w:before="20" w:after="20"/>
            </w:pPr>
            <w:r>
              <w:rPr>
                <w:rFonts w:ascii="Courier New" w:hAnsi="Courier New"/>
                <w:color w:val="1A1A1A"/>
                <w:sz w:val="18"/>
              </w:rPr>
              <w:t xml:space="preserve">    ORDER {</w:t>
            </w:r>
          </w:p>
          <w:p>
            <w:pPr>
              <w:spacing w:before="20" w:after="20"/>
            </w:pPr>
            <w:r>
              <w:rPr>
                <w:rFonts w:ascii="Courier New" w:hAnsi="Courier New"/>
                <w:color w:val="1A1A1A"/>
                <w:sz w:val="18"/>
              </w:rPr>
              <w:t xml:space="preserve">        int OrderID PK</w:t>
            </w:r>
          </w:p>
          <w:p>
            <w:pPr>
              <w:spacing w:before="20" w:after="20"/>
            </w:pPr>
            <w:r>
              <w:rPr>
                <w:rFonts w:ascii="Courier New" w:hAnsi="Courier New"/>
                <w:color w:val="1A1A1A"/>
                <w:sz w:val="18"/>
              </w:rPr>
              <w:t xml:space="preserve">        string OrderNumber</w:t>
            </w:r>
          </w:p>
          <w:p>
            <w:pPr>
              <w:spacing w:before="20" w:after="20"/>
            </w:pPr>
            <w:r>
              <w:rPr>
                <w:rFonts w:ascii="Courier New" w:hAnsi="Courier New"/>
                <w:color w:val="1A1A1A"/>
                <w:sz w:val="18"/>
              </w:rPr>
              <w:t xml:space="preserve">        string MachineID</w:t>
            </w:r>
          </w:p>
          <w:p>
            <w:pPr>
              <w:spacing w:before="20" w:after="20"/>
            </w:pPr>
            <w:r>
              <w:rPr>
                <w:rFonts w:ascii="Courier New" w:hAnsi="Courier New"/>
                <w:color w:val="1A1A1A"/>
                <w:sz w:val="18"/>
              </w:rPr>
              <w:t xml:space="preserve">        string Status</w:t>
            </w:r>
          </w:p>
          <w:p>
            <w:pPr>
              <w:spacing w:before="20" w:after="20"/>
            </w:pPr>
            <w:r>
              <w:rPr>
                <w:rFonts w:ascii="Courier New" w:hAnsi="Courier New"/>
                <w:color w:val="1A1A1A"/>
                <w:sz w:val="18"/>
              </w:rPr>
              <w:t xml:space="preserve">    }</w:t>
            </w:r>
          </w:p>
          <w:p>
            <w:pPr>
              <w:spacing w:before="20" w:after="20"/>
            </w:pPr>
            <w:r>
              <w:rPr>
                <w:rFonts w:ascii="Courier New" w:hAnsi="Courier New"/>
                <w:color w:val="1A1A1A"/>
                <w:sz w:val="18"/>
              </w:rPr>
              <w:t xml:space="preserve">    LABEL_TRACKING ||--o{ BATCH : belongs_to</w:t>
            </w:r>
          </w:p>
          <w:p>
            <w:pPr>
              <w:spacing w:before="20" w:after="20"/>
            </w:pPr>
            <w:r>
              <w:rPr>
                <w:rFonts w:ascii="Courier New" w:hAnsi="Courier New"/>
                <w:color w:val="1A1A1A"/>
                <w:sz w:val="18"/>
              </w:rPr>
              <w:t xml:space="preserve">    LABEL_TRACKING ||--o{ ORDER : linked_to</w:t>
            </w:r>
          </w:p>
          <w:p>
            <w:pPr>
              <w:spacing w:before="20" w:after="20"/>
            </w:pPr>
            <w:r>
              <w:rPr>
                <w:rFonts w:ascii="Courier New" w:hAnsi="Courier New"/>
                <w:color w:val="1A1A1A"/>
                <w:sz w:val="18"/>
              </w:rPr>
              <w:t>```</w:t>
            </w:r>
          </w:p>
        </w:tc>
      </w:tr>
    </w:tbl>
    <w:p>
      <w:pPr>
        <w:spacing w:after="120"/>
      </w:pPr>
    </w:p>
    <w:p>
      <w:pPr>
        <w:pStyle w:val="Heading2"/>
      </w:pPr>
      <w:r>
        <w:t>5.8 Section 8 — API Documentation</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For every endpoint provide:</w:t>
            </w:r>
          </w:p>
          <w:p>
            <w:pPr>
              <w:spacing w:before="20" w:after="20"/>
            </w:pPr>
            <w:r>
              <w:rPr>
                <w:rFonts w:ascii="Courier New" w:hAnsi="Courier New"/>
                <w:color w:val="1A1A1A"/>
                <w:sz w:val="18"/>
              </w:rPr>
              <w:t>- Route</w:t>
            </w:r>
          </w:p>
          <w:p>
            <w:pPr>
              <w:spacing w:before="20" w:after="20"/>
            </w:pPr>
            <w:r>
              <w:rPr>
                <w:rFonts w:ascii="Courier New" w:hAnsi="Courier New"/>
                <w:color w:val="1A1A1A"/>
                <w:sz w:val="18"/>
              </w:rPr>
              <w:t>- HTTP Verb (GET / POST / PUT / DELETE)</w:t>
            </w:r>
          </w:p>
          <w:p>
            <w:pPr>
              <w:spacing w:before="20" w:after="20"/>
            </w:pPr>
            <w:r>
              <w:rPr>
                <w:rFonts w:ascii="Courier New" w:hAnsi="Courier New"/>
                <w:color w:val="1A1A1A"/>
                <w:sz w:val="18"/>
              </w:rPr>
              <w:t>- Controller</w:t>
            </w:r>
          </w:p>
          <w:p>
            <w:pPr>
              <w:spacing w:before="20" w:after="20"/>
            </w:pPr>
            <w:r>
              <w:rPr>
                <w:rFonts w:ascii="Courier New" w:hAnsi="Courier New"/>
                <w:color w:val="1A1A1A"/>
                <w:sz w:val="18"/>
              </w:rPr>
              <w:t>- Service called</w:t>
            </w:r>
          </w:p>
          <w:p>
            <w:pPr>
              <w:spacing w:before="20" w:after="20"/>
            </w:pPr>
            <w:r>
              <w:rPr>
                <w:rFonts w:ascii="Courier New" w:hAnsi="Courier New"/>
                <w:color w:val="1A1A1A"/>
                <w:sz w:val="18"/>
              </w:rPr>
              <w:t>- Request Model</w:t>
            </w:r>
          </w:p>
          <w:p>
            <w:pPr>
              <w:spacing w:before="20" w:after="20"/>
            </w:pPr>
            <w:r>
              <w:rPr>
                <w:rFonts w:ascii="Courier New" w:hAnsi="Courier New"/>
                <w:color w:val="1A1A1A"/>
                <w:sz w:val="18"/>
              </w:rPr>
              <w:t>- Response Model</w:t>
            </w:r>
          </w:p>
          <w:p>
            <w:pPr>
              <w:spacing w:before="20" w:after="20"/>
            </w:pPr>
            <w:r>
              <w:rPr>
                <w:rFonts w:ascii="Courier New" w:hAnsi="Courier New"/>
                <w:color w:val="1A1A1A"/>
                <w:sz w:val="18"/>
              </w:rPr>
              <w:t>- Validation rules</w:t>
            </w:r>
          </w:p>
          <w:p>
            <w:pPr>
              <w:spacing w:before="20" w:after="20"/>
            </w:pPr>
            <w:r>
              <w:rPr>
                <w:rFonts w:ascii="Courier New" w:hAnsi="Courier New"/>
                <w:color w:val="1A1A1A"/>
                <w:sz w:val="18"/>
              </w:rPr>
              <w:t>- Authentication required</w:t>
            </w:r>
          </w:p>
          <w:p>
            <w:pPr>
              <w:spacing w:before="20" w:after="20"/>
            </w:pPr>
            <w:r>
              <w:rPr>
                <w:rFonts w:ascii="Courier New" w:hAnsi="Courier New"/>
                <w:color w:val="1A1A1A"/>
                <w:sz w:val="18"/>
              </w:rPr>
              <w:t>- Authorization (roles/claims)</w:t>
            </w:r>
          </w:p>
          <w:p>
            <w:pPr>
              <w:spacing w:before="20" w:after="20"/>
            </w:pPr>
            <w:r>
              <w:rPr>
                <w:rFonts w:ascii="Courier New" w:hAnsi="Courier New"/>
                <w:color w:val="1A1A1A"/>
                <w:sz w:val="18"/>
              </w:rPr>
              <w:t>- Error handling</w:t>
            </w:r>
          </w:p>
          <w:p>
            <w:pPr>
              <w:spacing w:before="20" w:after="20"/>
            </w:pPr>
            <w:r>
              <w:rPr>
                <w:rFonts w:ascii="Courier New" w:hAnsi="Courier New"/>
                <w:color w:val="1A1A1A"/>
                <w:sz w:val="18"/>
              </w:rPr>
            </w:r>
          </w:p>
          <w:p>
            <w:pPr>
              <w:spacing w:before="20" w:after="20"/>
            </w:pPr>
            <w:r>
              <w:rPr>
                <w:rFonts w:ascii="Courier New" w:hAnsi="Courier New"/>
                <w:color w:val="1A1A1A"/>
                <w:sz w:val="18"/>
              </w:rPr>
              <w:t>Generate API reference tables.</w:t>
            </w:r>
          </w:p>
        </w:tc>
      </w:tr>
    </w:tbl>
    <w:p>
      <w:pPr>
        <w:spacing w:after="120"/>
      </w:pPr>
    </w:p>
    <w:p>
      <w:r>
        <w:rPr>
          <w:rFonts w:ascii="Calibri" w:hAnsi="Calibri"/>
          <w:b/>
          <w:sz w:val="22"/>
        </w:rPr>
        <w:t>API Reference Table</w:t>
      </w:r>
      <w:r>
        <w:rPr>
          <w:rFonts w:ascii="Calibri" w:hAnsi="Calibri"/>
          <w:sz w:val="22"/>
        </w:rPr>
        <w:t xml:space="preserve"> — the AI will populate this from all discovered controllers: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5B6" w:val="clear"/>
          </w:tcPr>
          <w:p>
            <w:r>
              <w:rPr>
                <w:b/>
              </w:rPr>
            </w:r>
            <w:r>
              <w:rPr>
                <w:rFonts w:ascii="Calibri" w:hAnsi="Calibri"/>
                <w:b/>
                <w:color w:val="FFFFFF"/>
                <w:sz w:val="20"/>
              </w:rPr>
              <w:t>Route</w:t>
            </w:r>
          </w:p>
        </w:tc>
        <w:tc>
          <w:tcPr>
            <w:tcW w:type="dxa" w:w="1440"/>
            <w:shd w:fill="2E75B6" w:val="clear"/>
          </w:tcPr>
          <w:p>
            <w:r>
              <w:rPr>
                <w:b/>
              </w:rPr>
            </w:r>
            <w:r>
              <w:rPr>
                <w:rFonts w:ascii="Calibri" w:hAnsi="Calibri"/>
                <w:b/>
                <w:color w:val="FFFFFF"/>
                <w:sz w:val="20"/>
              </w:rPr>
              <w:t>Verb</w:t>
            </w:r>
          </w:p>
        </w:tc>
        <w:tc>
          <w:tcPr>
            <w:tcW w:type="dxa" w:w="1440"/>
            <w:shd w:fill="2E75B6" w:val="clear"/>
          </w:tcPr>
          <w:p>
            <w:r>
              <w:rPr>
                <w:b/>
              </w:rPr>
            </w:r>
            <w:r>
              <w:rPr>
                <w:rFonts w:ascii="Calibri" w:hAnsi="Calibri"/>
                <w:b/>
                <w:color w:val="FFFFFF"/>
                <w:sz w:val="20"/>
              </w:rPr>
              <w:t>Controller</w:t>
            </w:r>
          </w:p>
        </w:tc>
        <w:tc>
          <w:tcPr>
            <w:tcW w:type="dxa" w:w="1440"/>
            <w:shd w:fill="2E75B6" w:val="clear"/>
          </w:tcPr>
          <w:p>
            <w:r>
              <w:rPr>
                <w:b/>
              </w:rPr>
            </w:r>
            <w:r>
              <w:rPr>
                <w:rFonts w:ascii="Calibri" w:hAnsi="Calibri"/>
                <w:b/>
                <w:color w:val="FFFFFF"/>
                <w:sz w:val="20"/>
              </w:rPr>
              <w:t>Service</w:t>
            </w:r>
          </w:p>
        </w:tc>
        <w:tc>
          <w:tcPr>
            <w:tcW w:type="dxa" w:w="1440"/>
            <w:shd w:fill="2E75B6" w:val="clear"/>
          </w:tcPr>
          <w:p>
            <w:r>
              <w:rPr>
                <w:b/>
              </w:rPr>
            </w:r>
            <w:r>
              <w:rPr>
                <w:rFonts w:ascii="Calibri" w:hAnsi="Calibri"/>
                <w:b/>
                <w:color w:val="FFFFFF"/>
                <w:sz w:val="20"/>
              </w:rPr>
              <w:t>Auth</w:t>
            </w:r>
          </w:p>
        </w:tc>
        <w:tc>
          <w:tcPr>
            <w:tcW w:type="dxa" w:w="1440"/>
            <w:shd w:fill="2E75B6" w:val="clear"/>
          </w:tcPr>
          <w:p>
            <w:r>
              <w:rPr>
                <w:b/>
              </w:rPr>
            </w:r>
            <w:r>
              <w:rPr>
                <w:rFonts w:ascii="Calibri" w:hAnsi="Calibri"/>
                <w:b/>
                <w:color w:val="FFFFFF"/>
                <w:sz w:val="20"/>
              </w:rPr>
              <w:t>Description</w:t>
            </w:r>
          </w:p>
        </w:tc>
      </w:tr>
      <w:tr>
        <w:tc>
          <w:tcPr>
            <w:tcW w:type="dxa" w:w="1440"/>
            <w:shd w:fill="F2F2F2" w:val="clear"/>
          </w:tcPr>
          <w:p>
            <w:r/>
            <w:r>
              <w:rPr>
                <w:rFonts w:ascii="Calibri" w:hAnsi="Calibri"/>
                <w:sz w:val="20"/>
              </w:rPr>
              <w:t>/api/lt/create</w:t>
            </w:r>
          </w:p>
        </w:tc>
        <w:tc>
          <w:tcPr>
            <w:tcW w:type="dxa" w:w="1440"/>
            <w:shd w:fill="F2F2F2" w:val="clear"/>
          </w:tcPr>
          <w:p>
            <w:r/>
            <w:r>
              <w:rPr>
                <w:rFonts w:ascii="Calibri" w:hAnsi="Calibri"/>
                <w:sz w:val="20"/>
              </w:rPr>
              <w:t>POST</w:t>
            </w:r>
          </w:p>
        </w:tc>
        <w:tc>
          <w:tcPr>
            <w:tcW w:type="dxa" w:w="1440"/>
            <w:shd w:fill="F2F2F2" w:val="clear"/>
          </w:tcPr>
          <w:p>
            <w:r/>
            <w:r>
              <w:rPr>
                <w:rFonts w:ascii="Calibri" w:hAnsi="Calibri"/>
                <w:sz w:val="20"/>
              </w:rPr>
              <w:t>CreateLTController</w:t>
            </w:r>
          </w:p>
        </w:tc>
        <w:tc>
          <w:tcPr>
            <w:tcW w:type="dxa" w:w="1440"/>
            <w:shd w:fill="F2F2F2" w:val="clear"/>
          </w:tcPr>
          <w:p>
            <w:r/>
            <w:r>
              <w:rPr>
                <w:rFonts w:ascii="Calibri" w:hAnsi="Calibri"/>
                <w:sz w:val="20"/>
              </w:rPr>
              <w:t>CreateLTService</w:t>
            </w:r>
          </w:p>
        </w:tc>
        <w:tc>
          <w:tcPr>
            <w:tcW w:type="dxa" w:w="1440"/>
            <w:shd w:fill="F2F2F2" w:val="clear"/>
          </w:tcPr>
          <w:p>
            <w:r/>
            <w:r>
              <w:rPr>
                <w:rFonts w:ascii="Calibri" w:hAnsi="Calibri"/>
                <w:sz w:val="20"/>
              </w:rPr>
              <w:t>JWT</w:t>
            </w:r>
          </w:p>
        </w:tc>
        <w:tc>
          <w:tcPr>
            <w:tcW w:type="dxa" w:w="1440"/>
            <w:shd w:fill="F2F2F2" w:val="clear"/>
          </w:tcPr>
          <w:p>
            <w:r/>
            <w:r>
              <w:rPr>
                <w:rFonts w:ascii="Calibri" w:hAnsi="Calibri"/>
                <w:sz w:val="20"/>
              </w:rPr>
              <w:t>Create new Label Tracking record</w:t>
            </w:r>
          </w:p>
        </w:tc>
      </w:tr>
      <w:tr>
        <w:tc>
          <w:tcPr>
            <w:tcW w:type="dxa" w:w="1440"/>
          </w:tcPr>
          <w:p>
            <w:r/>
            <w:r>
              <w:rPr>
                <w:rFonts w:ascii="Calibri" w:hAnsi="Calibri"/>
                <w:sz w:val="20"/>
              </w:rPr>
              <w:t>/api/batch/{id}</w:t>
            </w:r>
          </w:p>
        </w:tc>
        <w:tc>
          <w:tcPr>
            <w:tcW w:type="dxa" w:w="1440"/>
          </w:tcPr>
          <w:p>
            <w:r/>
            <w:r>
              <w:rPr>
                <w:rFonts w:ascii="Calibri" w:hAnsi="Calibri"/>
                <w:sz w:val="20"/>
              </w:rPr>
              <w:t>GET</w:t>
            </w:r>
          </w:p>
        </w:tc>
        <w:tc>
          <w:tcPr>
            <w:tcW w:type="dxa" w:w="1440"/>
          </w:tcPr>
          <w:p>
            <w:r/>
            <w:r>
              <w:rPr>
                <w:rFonts w:ascii="Calibri" w:hAnsi="Calibri"/>
                <w:sz w:val="20"/>
              </w:rPr>
              <w:t>BatchController</w:t>
            </w:r>
          </w:p>
        </w:tc>
        <w:tc>
          <w:tcPr>
            <w:tcW w:type="dxa" w:w="1440"/>
          </w:tcPr>
          <w:p>
            <w:r/>
            <w:r>
              <w:rPr>
                <w:rFonts w:ascii="Calibri" w:hAnsi="Calibri"/>
                <w:sz w:val="20"/>
              </w:rPr>
              <w:t>BatchService</w:t>
            </w:r>
          </w:p>
        </w:tc>
        <w:tc>
          <w:tcPr>
            <w:tcW w:type="dxa" w:w="1440"/>
          </w:tcPr>
          <w:p>
            <w:r/>
            <w:r>
              <w:rPr>
                <w:rFonts w:ascii="Calibri" w:hAnsi="Calibri"/>
                <w:sz w:val="20"/>
              </w:rPr>
              <w:t>JWT</w:t>
            </w:r>
          </w:p>
        </w:tc>
        <w:tc>
          <w:tcPr>
            <w:tcW w:type="dxa" w:w="1440"/>
          </w:tcPr>
          <w:p>
            <w:r/>
            <w:r>
              <w:rPr>
                <w:rFonts w:ascii="Calibri" w:hAnsi="Calibri"/>
                <w:sz w:val="20"/>
              </w:rPr>
              <w:t>Retrieve batch details by ID</w:t>
            </w:r>
          </w:p>
        </w:tc>
      </w:tr>
      <w:tr>
        <w:tc>
          <w:tcPr>
            <w:tcW w:type="dxa" w:w="1440"/>
            <w:shd w:fill="F2F2F2" w:val="clear"/>
          </w:tcPr>
          <w:p>
            <w:r/>
            <w:r>
              <w:rPr>
                <w:rFonts w:ascii="Calibri" w:hAnsi="Calibri"/>
                <w:sz w:val="20"/>
              </w:rPr>
              <w:t>/api/order/validate</w:t>
            </w:r>
          </w:p>
        </w:tc>
        <w:tc>
          <w:tcPr>
            <w:tcW w:type="dxa" w:w="1440"/>
            <w:shd w:fill="F2F2F2" w:val="clear"/>
          </w:tcPr>
          <w:p>
            <w:r/>
            <w:r>
              <w:rPr>
                <w:rFonts w:ascii="Calibri" w:hAnsi="Calibri"/>
                <w:sz w:val="20"/>
              </w:rPr>
              <w:t>POST</w:t>
            </w:r>
          </w:p>
        </w:tc>
        <w:tc>
          <w:tcPr>
            <w:tcW w:type="dxa" w:w="1440"/>
            <w:shd w:fill="F2F2F2" w:val="clear"/>
          </w:tcPr>
          <w:p>
            <w:r/>
            <w:r>
              <w:rPr>
                <w:rFonts w:ascii="Calibri" w:hAnsi="Calibri"/>
                <w:sz w:val="20"/>
              </w:rPr>
              <w:t>OrderController</w:t>
            </w:r>
          </w:p>
        </w:tc>
        <w:tc>
          <w:tcPr>
            <w:tcW w:type="dxa" w:w="1440"/>
            <w:shd w:fill="F2F2F2" w:val="clear"/>
          </w:tcPr>
          <w:p>
            <w:r/>
            <w:r>
              <w:rPr>
                <w:rFonts w:ascii="Calibri" w:hAnsi="Calibri"/>
                <w:sz w:val="20"/>
              </w:rPr>
              <w:t>OrderValidationService</w:t>
            </w:r>
          </w:p>
        </w:tc>
        <w:tc>
          <w:tcPr>
            <w:tcW w:type="dxa" w:w="1440"/>
            <w:shd w:fill="F2F2F2" w:val="clear"/>
          </w:tcPr>
          <w:p>
            <w:r/>
            <w:r>
              <w:rPr>
                <w:rFonts w:ascii="Calibri" w:hAnsi="Calibri"/>
                <w:sz w:val="20"/>
              </w:rPr>
              <w:t>JWT</w:t>
            </w:r>
          </w:p>
        </w:tc>
        <w:tc>
          <w:tcPr>
            <w:tcW w:type="dxa" w:w="1440"/>
            <w:shd w:fill="F2F2F2" w:val="clear"/>
          </w:tcPr>
          <w:p>
            <w:r/>
            <w:r>
              <w:rPr>
                <w:rFonts w:ascii="Calibri" w:hAnsi="Calibri"/>
                <w:sz w:val="20"/>
              </w:rPr>
              <w:t>Validate manufacturing order</w:t>
            </w:r>
          </w:p>
        </w:tc>
      </w:tr>
      <w:tr>
        <w:tc>
          <w:tcPr>
            <w:tcW w:type="dxa" w:w="1440"/>
          </w:tcPr>
          <w:p>
            <w:r/>
            <w:r>
              <w:rPr>
                <w:rFonts w:ascii="Calibri" w:hAnsi="Calibri"/>
                <w:sz w:val="20"/>
              </w:rPr>
              <w:t>/api/site/resolve</w:t>
            </w:r>
          </w:p>
        </w:tc>
        <w:tc>
          <w:tcPr>
            <w:tcW w:type="dxa" w:w="1440"/>
          </w:tcPr>
          <w:p>
            <w:r/>
            <w:r>
              <w:rPr>
                <w:rFonts w:ascii="Calibri" w:hAnsi="Calibri"/>
                <w:sz w:val="20"/>
              </w:rPr>
              <w:t>GET</w:t>
            </w:r>
          </w:p>
        </w:tc>
        <w:tc>
          <w:tcPr>
            <w:tcW w:type="dxa" w:w="1440"/>
          </w:tcPr>
          <w:p>
            <w:r/>
            <w:r>
              <w:rPr>
                <w:rFonts w:ascii="Calibri" w:hAnsi="Calibri"/>
                <w:sz w:val="20"/>
              </w:rPr>
              <w:t>SiteController</w:t>
            </w:r>
          </w:p>
        </w:tc>
        <w:tc>
          <w:tcPr>
            <w:tcW w:type="dxa" w:w="1440"/>
          </w:tcPr>
          <w:p>
            <w:r/>
            <w:r>
              <w:rPr>
                <w:rFonts w:ascii="Calibri" w:hAnsi="Calibri"/>
                <w:sz w:val="20"/>
              </w:rPr>
              <w:t>SiteResolutionService</w:t>
            </w:r>
          </w:p>
        </w:tc>
        <w:tc>
          <w:tcPr>
            <w:tcW w:type="dxa" w:w="1440"/>
          </w:tcPr>
          <w:p>
            <w:r/>
            <w:r>
              <w:rPr>
                <w:rFonts w:ascii="Calibri" w:hAnsi="Calibri"/>
                <w:sz w:val="20"/>
              </w:rPr>
              <w:t>JWT</w:t>
            </w:r>
          </w:p>
        </w:tc>
        <w:tc>
          <w:tcPr>
            <w:tcW w:type="dxa" w:w="1440"/>
          </w:tcPr>
          <w:p>
            <w:r/>
            <w:r>
              <w:rPr>
                <w:rFonts w:ascii="Calibri" w:hAnsi="Calibri"/>
                <w:sz w:val="20"/>
              </w:rPr>
              <w:t>Resolve site configuration</w:t>
            </w:r>
          </w:p>
        </w:tc>
      </w:tr>
    </w:tbl>
    <w:p>
      <w:pPr>
        <w:pStyle w:val="Heading2"/>
      </w:pPr>
      <w:r>
        <w:t>5.9 Section 9 — Business Logic Analysis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Identify:</w:t>
            </w:r>
          </w:p>
          <w:p>
            <w:pPr>
              <w:spacing w:before="20" w:after="20"/>
            </w:pPr>
            <w:r>
              <w:rPr>
                <w:rFonts w:ascii="Courier New" w:hAnsi="Courier New"/>
                <w:color w:val="1A1A1A"/>
                <w:sz w:val="18"/>
              </w:rPr>
              <w:t>- Business rules</w:t>
            </w:r>
          </w:p>
          <w:p>
            <w:pPr>
              <w:spacing w:before="20" w:after="20"/>
            </w:pPr>
            <w:r>
              <w:rPr>
                <w:rFonts w:ascii="Courier New" w:hAnsi="Courier New"/>
                <w:color w:val="1A1A1A"/>
                <w:sz w:val="18"/>
              </w:rPr>
              <w:t>- Validation rules</w:t>
            </w:r>
          </w:p>
          <w:p>
            <w:pPr>
              <w:spacing w:before="20" w:after="20"/>
            </w:pPr>
            <w:r>
              <w:rPr>
                <w:rFonts w:ascii="Courier New" w:hAnsi="Courier New"/>
                <w:color w:val="1A1A1A"/>
                <w:sz w:val="18"/>
              </w:rPr>
              <w:t>- Decision points</w:t>
            </w:r>
          </w:p>
          <w:p>
            <w:pPr>
              <w:spacing w:before="20" w:after="20"/>
            </w:pPr>
            <w:r>
              <w:rPr>
                <w:rFonts w:ascii="Courier New" w:hAnsi="Courier New"/>
                <w:color w:val="1A1A1A"/>
                <w:sz w:val="18"/>
              </w:rPr>
              <w:t>- Workflow logic</w:t>
            </w:r>
          </w:p>
          <w:p>
            <w:pPr>
              <w:spacing w:before="20" w:after="20"/>
            </w:pPr>
            <w:r>
              <w:rPr>
                <w:rFonts w:ascii="Courier New" w:hAnsi="Courier New"/>
                <w:color w:val="1A1A1A"/>
                <w:sz w:val="18"/>
              </w:rPr>
              <w:t>- Manufacturing logic</w:t>
            </w:r>
          </w:p>
          <w:p>
            <w:pPr>
              <w:spacing w:before="20" w:after="20"/>
            </w:pPr>
            <w:r>
              <w:rPr>
                <w:rFonts w:ascii="Courier New" w:hAnsi="Courier New"/>
                <w:color w:val="1A1A1A"/>
                <w:sz w:val="18"/>
              </w:rPr>
              <w:t>- Processing rules</w:t>
            </w:r>
          </w:p>
          <w:p>
            <w:pPr>
              <w:spacing w:before="20" w:after="20"/>
            </w:pPr>
            <w:r>
              <w:rPr>
                <w:rFonts w:ascii="Courier New" w:hAnsi="Courier New"/>
                <w:color w:val="1A1A1A"/>
                <w:sz w:val="18"/>
              </w:rPr>
            </w:r>
          </w:p>
          <w:p>
            <w:pPr>
              <w:spacing w:before="20" w:after="20"/>
            </w:pPr>
            <w:r>
              <w:rPr>
                <w:rFonts w:ascii="Courier New" w:hAnsi="Courier New"/>
                <w:color w:val="1A1A1A"/>
                <w:sz w:val="18"/>
              </w:rPr>
              <w:t>Provide code references (file → class → method).</w:t>
            </w:r>
          </w:p>
        </w:tc>
      </w:tr>
    </w:tbl>
    <w:p>
      <w:pPr>
        <w:spacing w:after="120"/>
      </w:pPr>
    </w:p>
    <w:p>
      <w:r>
        <w:rPr>
          <w:rFonts w:ascii="Calibri" w:hAnsi="Calibri"/>
          <w:b/>
          <w:sz w:val="22"/>
        </w:rPr>
        <w:t>LT Creation Business Rules Register</w:t>
      </w:r>
      <w:r>
        <w:rPr>
          <w:rFonts w:ascii="Calibri" w:hAnsi="Calibri"/>
          <w:sz w:val="22"/>
        </w:rPr>
        <w:t xml:space="preserve"> — the AI will populate this from service and validator classes: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5B6" w:val="clear"/>
          </w:tcPr>
          <w:p>
            <w:r>
              <w:rPr>
                <w:b/>
              </w:rPr>
            </w:r>
            <w:r>
              <w:rPr>
                <w:rFonts w:ascii="Calibri" w:hAnsi="Calibri"/>
                <w:b/>
                <w:color w:val="FFFFFF"/>
                <w:sz w:val="20"/>
              </w:rPr>
              <w:t>Rule ID</w:t>
            </w:r>
          </w:p>
        </w:tc>
        <w:tc>
          <w:tcPr>
            <w:tcW w:type="dxa" w:w="2160"/>
            <w:shd w:fill="2E75B6" w:val="clear"/>
          </w:tcPr>
          <w:p>
            <w:r>
              <w:rPr>
                <w:b/>
              </w:rPr>
            </w:r>
            <w:r>
              <w:rPr>
                <w:rFonts w:ascii="Calibri" w:hAnsi="Calibri"/>
                <w:b/>
                <w:color w:val="FFFFFF"/>
                <w:sz w:val="20"/>
              </w:rPr>
              <w:t>Rule Description</w:t>
            </w:r>
          </w:p>
        </w:tc>
        <w:tc>
          <w:tcPr>
            <w:tcW w:type="dxa" w:w="2160"/>
            <w:shd w:fill="2E75B6" w:val="clear"/>
          </w:tcPr>
          <w:p>
            <w:r>
              <w:rPr>
                <w:b/>
              </w:rPr>
            </w:r>
            <w:r>
              <w:rPr>
                <w:rFonts w:ascii="Calibri" w:hAnsi="Calibri"/>
                <w:b/>
                <w:color w:val="FFFFFF"/>
                <w:sz w:val="20"/>
              </w:rPr>
              <w:t>Component</w:t>
            </w:r>
          </w:p>
        </w:tc>
        <w:tc>
          <w:tcPr>
            <w:tcW w:type="dxa" w:w="2160"/>
            <w:shd w:fill="2E75B6" w:val="clear"/>
          </w:tcPr>
          <w:p>
            <w:r>
              <w:rPr>
                <w:b/>
              </w:rPr>
            </w:r>
            <w:r>
              <w:rPr>
                <w:rFonts w:ascii="Calibri" w:hAnsi="Calibri"/>
                <w:b/>
                <w:color w:val="FFFFFF"/>
                <w:sz w:val="20"/>
              </w:rPr>
              <w:t>Code Reference</w:t>
            </w:r>
          </w:p>
        </w:tc>
      </w:tr>
      <w:tr>
        <w:tc>
          <w:tcPr>
            <w:tcW w:type="dxa" w:w="2160"/>
            <w:shd w:fill="F2F2F2" w:val="clear"/>
          </w:tcPr>
          <w:p>
            <w:r/>
            <w:r>
              <w:rPr>
                <w:rFonts w:ascii="Calibri" w:hAnsi="Calibri"/>
                <w:sz w:val="20"/>
              </w:rPr>
              <w:t>BR-001</w:t>
            </w:r>
          </w:p>
        </w:tc>
        <w:tc>
          <w:tcPr>
            <w:tcW w:type="dxa" w:w="2160"/>
            <w:shd w:fill="F2F2F2" w:val="clear"/>
          </w:tcPr>
          <w:p>
            <w:r/>
            <w:r>
              <w:rPr>
                <w:rFonts w:ascii="Calibri" w:hAnsi="Calibri"/>
                <w:sz w:val="20"/>
              </w:rPr>
              <w:t>Order must be in ACTIVE status before LT creation</w:t>
            </w:r>
          </w:p>
        </w:tc>
        <w:tc>
          <w:tcPr>
            <w:tcW w:type="dxa" w:w="2160"/>
            <w:shd w:fill="F2F2F2" w:val="clear"/>
          </w:tcPr>
          <w:p>
            <w:r/>
            <w:r>
              <w:rPr>
                <w:rFonts w:ascii="Calibri" w:hAnsi="Calibri"/>
                <w:sz w:val="20"/>
              </w:rPr>
              <w:t>CreateLTContextBuilder</w:t>
            </w:r>
          </w:p>
        </w:tc>
        <w:tc>
          <w:tcPr>
            <w:tcW w:type="dxa" w:w="2160"/>
            <w:shd w:fill="F2F2F2" w:val="clear"/>
          </w:tcPr>
          <w:p>
            <w:r/>
            <w:r>
              <w:rPr>
                <w:rFonts w:ascii="Calibri" w:hAnsi="Calibri"/>
                <w:sz w:val="20"/>
              </w:rPr>
              <w:t>ValidateOrder()</w:t>
            </w:r>
          </w:p>
        </w:tc>
      </w:tr>
      <w:tr>
        <w:tc>
          <w:tcPr>
            <w:tcW w:type="dxa" w:w="2160"/>
          </w:tcPr>
          <w:p>
            <w:r/>
            <w:r>
              <w:rPr>
                <w:rFonts w:ascii="Calibri" w:hAnsi="Calibri"/>
                <w:sz w:val="20"/>
              </w:rPr>
              <w:t>BR-002</w:t>
            </w:r>
          </w:p>
        </w:tc>
        <w:tc>
          <w:tcPr>
            <w:tcW w:type="dxa" w:w="2160"/>
          </w:tcPr>
          <w:p>
            <w:r/>
            <w:r>
              <w:rPr>
                <w:rFonts w:ascii="Calibri" w:hAnsi="Calibri"/>
                <w:sz w:val="20"/>
              </w:rPr>
              <w:t>Machine must be registered and operational</w:t>
            </w:r>
          </w:p>
        </w:tc>
        <w:tc>
          <w:tcPr>
            <w:tcW w:type="dxa" w:w="2160"/>
          </w:tcPr>
          <w:p>
            <w:r/>
            <w:r>
              <w:rPr>
                <w:rFonts w:ascii="Calibri" w:hAnsi="Calibri"/>
                <w:sz w:val="20"/>
              </w:rPr>
              <w:t>CreateLTContextBuilder</w:t>
            </w:r>
          </w:p>
        </w:tc>
        <w:tc>
          <w:tcPr>
            <w:tcW w:type="dxa" w:w="2160"/>
          </w:tcPr>
          <w:p>
            <w:r/>
            <w:r>
              <w:rPr>
                <w:rFonts w:ascii="Calibri" w:hAnsi="Calibri"/>
                <w:sz w:val="20"/>
              </w:rPr>
              <w:t>ValidateMachine()</w:t>
            </w:r>
          </w:p>
        </w:tc>
      </w:tr>
      <w:tr>
        <w:tc>
          <w:tcPr>
            <w:tcW w:type="dxa" w:w="2160"/>
            <w:shd w:fill="F2F2F2" w:val="clear"/>
          </w:tcPr>
          <w:p>
            <w:r/>
            <w:r>
              <w:rPr>
                <w:rFonts w:ascii="Calibri" w:hAnsi="Calibri"/>
                <w:sz w:val="20"/>
              </w:rPr>
              <w:t>BR-003</w:t>
            </w:r>
          </w:p>
        </w:tc>
        <w:tc>
          <w:tcPr>
            <w:tcW w:type="dxa" w:w="2160"/>
            <w:shd w:fill="F2F2F2" w:val="clear"/>
          </w:tcPr>
          <w:p>
            <w:r/>
            <w:r>
              <w:rPr>
                <w:rFonts w:ascii="Calibri" w:hAnsi="Calibri"/>
                <w:sz w:val="20"/>
              </w:rPr>
              <w:t>Site must be resolved before batch assignment</w:t>
            </w:r>
          </w:p>
        </w:tc>
        <w:tc>
          <w:tcPr>
            <w:tcW w:type="dxa" w:w="2160"/>
            <w:shd w:fill="F2F2F2" w:val="clear"/>
          </w:tcPr>
          <w:p>
            <w:r/>
            <w:r>
              <w:rPr>
                <w:rFonts w:ascii="Calibri" w:hAnsi="Calibri"/>
                <w:sz w:val="20"/>
              </w:rPr>
              <w:t>CreateLTService</w:t>
            </w:r>
          </w:p>
        </w:tc>
        <w:tc>
          <w:tcPr>
            <w:tcW w:type="dxa" w:w="2160"/>
            <w:shd w:fill="F2F2F2" w:val="clear"/>
          </w:tcPr>
          <w:p>
            <w:r/>
            <w:r>
              <w:rPr>
                <w:rFonts w:ascii="Calibri" w:hAnsi="Calibri"/>
                <w:sz w:val="20"/>
              </w:rPr>
              <w:t>ResolveSite()</w:t>
            </w:r>
          </w:p>
        </w:tc>
      </w:tr>
      <w:tr>
        <w:tc>
          <w:tcPr>
            <w:tcW w:type="dxa" w:w="2160"/>
          </w:tcPr>
          <w:p>
            <w:r/>
            <w:r>
              <w:rPr>
                <w:rFonts w:ascii="Calibri" w:hAnsi="Calibri"/>
                <w:sz w:val="20"/>
              </w:rPr>
              <w:t>BR-004</w:t>
            </w:r>
          </w:p>
        </w:tc>
        <w:tc>
          <w:tcPr>
            <w:tcW w:type="dxa" w:w="2160"/>
          </w:tcPr>
          <w:p>
            <w:r/>
            <w:r>
              <w:rPr>
                <w:rFonts w:ascii="Calibri" w:hAnsi="Calibri"/>
                <w:sz w:val="20"/>
              </w:rPr>
              <w:t>Batch must not exceed maximum label count</w:t>
            </w:r>
          </w:p>
        </w:tc>
        <w:tc>
          <w:tcPr>
            <w:tcW w:type="dxa" w:w="2160"/>
          </w:tcPr>
          <w:p>
            <w:r/>
            <w:r>
              <w:rPr>
                <w:rFonts w:ascii="Calibri" w:hAnsi="Calibri"/>
                <w:sz w:val="20"/>
              </w:rPr>
              <w:t>CreateLTInternalService</w:t>
            </w:r>
          </w:p>
        </w:tc>
        <w:tc>
          <w:tcPr>
            <w:tcW w:type="dxa" w:w="2160"/>
          </w:tcPr>
          <w:p>
            <w:r/>
            <w:r>
              <w:rPr>
                <w:rFonts w:ascii="Calibri" w:hAnsi="Calibri"/>
                <w:sz w:val="20"/>
              </w:rPr>
              <w:t>ValidateBatchCapacity()</w:t>
            </w:r>
          </w:p>
        </w:tc>
      </w:tr>
      <w:tr>
        <w:tc>
          <w:tcPr>
            <w:tcW w:type="dxa" w:w="2160"/>
            <w:shd w:fill="F2F2F2" w:val="clear"/>
          </w:tcPr>
          <w:p>
            <w:r/>
            <w:r>
              <w:rPr>
                <w:rFonts w:ascii="Calibri" w:hAnsi="Calibri"/>
                <w:sz w:val="20"/>
              </w:rPr>
              <w:t>BR-005</w:t>
            </w:r>
          </w:p>
        </w:tc>
        <w:tc>
          <w:tcPr>
            <w:tcW w:type="dxa" w:w="2160"/>
            <w:shd w:fill="F2F2F2" w:val="clear"/>
          </w:tcPr>
          <w:p>
            <w:r/>
            <w:r>
              <w:rPr>
                <w:rFonts w:ascii="Calibri" w:hAnsi="Calibri"/>
                <w:sz w:val="20"/>
              </w:rPr>
              <w:t>LT number must be globally unique</w:t>
            </w:r>
          </w:p>
        </w:tc>
        <w:tc>
          <w:tcPr>
            <w:tcW w:type="dxa" w:w="2160"/>
            <w:shd w:fill="F2F2F2" w:val="clear"/>
          </w:tcPr>
          <w:p>
            <w:r/>
            <w:r>
              <w:rPr>
                <w:rFonts w:ascii="Calibri" w:hAnsi="Calibri"/>
                <w:sz w:val="20"/>
              </w:rPr>
              <w:t>CreateLTInternalService</w:t>
            </w:r>
          </w:p>
        </w:tc>
        <w:tc>
          <w:tcPr>
            <w:tcW w:type="dxa" w:w="2160"/>
            <w:shd w:fill="F2F2F2" w:val="clear"/>
          </w:tcPr>
          <w:p>
            <w:r/>
            <w:r>
              <w:rPr>
                <w:rFonts w:ascii="Calibri" w:hAnsi="Calibri"/>
                <w:sz w:val="20"/>
              </w:rPr>
              <w:t>GenerateLTNumber()</w:t>
            </w:r>
          </w:p>
        </w:tc>
      </w:tr>
      <w:tr>
        <w:tc>
          <w:tcPr>
            <w:tcW w:type="dxa" w:w="2160"/>
          </w:tcPr>
          <w:p>
            <w:r/>
            <w:r>
              <w:rPr>
                <w:rFonts w:ascii="Calibri" w:hAnsi="Calibri"/>
                <w:sz w:val="20"/>
              </w:rPr>
              <w:t>BR-006</w:t>
            </w:r>
          </w:p>
        </w:tc>
        <w:tc>
          <w:tcPr>
            <w:tcW w:type="dxa" w:w="2160"/>
          </w:tcPr>
          <w:p>
            <w:r/>
            <w:r>
              <w:rPr>
                <w:rFonts w:ascii="Calibri" w:hAnsi="Calibri"/>
                <w:sz w:val="20"/>
              </w:rPr>
              <w:t>Print Master must exist for label template</w:t>
            </w:r>
          </w:p>
        </w:tc>
        <w:tc>
          <w:tcPr>
            <w:tcW w:type="dxa" w:w="2160"/>
          </w:tcPr>
          <w:p>
            <w:r/>
            <w:r>
              <w:rPr>
                <w:rFonts w:ascii="Calibri" w:hAnsi="Calibri"/>
                <w:sz w:val="20"/>
              </w:rPr>
              <w:t>CreateLTInternalService</w:t>
            </w:r>
          </w:p>
        </w:tc>
        <w:tc>
          <w:tcPr>
            <w:tcW w:type="dxa" w:w="2160"/>
          </w:tcPr>
          <w:p>
            <w:r/>
            <w:r>
              <w:rPr>
                <w:rFonts w:ascii="Calibri" w:hAnsi="Calibri"/>
                <w:sz w:val="20"/>
              </w:rPr>
              <w:t>RetrievePrintMaster()</w:t>
            </w:r>
          </w:p>
        </w:tc>
      </w:tr>
    </w:tbl>
    <w:p>
      <w:pPr>
        <w:pStyle w:val="Heading2"/>
      </w:pPr>
      <w:r>
        <w:t>5.10 Section 10 — Security Review</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Analyze:</w:t>
            </w:r>
          </w:p>
          <w:p>
            <w:pPr>
              <w:spacing w:before="20" w:after="20"/>
            </w:pPr>
            <w:r>
              <w:rPr>
                <w:rFonts w:ascii="Courier New" w:hAnsi="Courier New"/>
                <w:color w:val="1A1A1A"/>
                <w:sz w:val="18"/>
              </w:rPr>
              <w:t>- Authentication mechanism (JWT / Azure AD / OAuth)</w:t>
            </w:r>
          </w:p>
          <w:p>
            <w:pPr>
              <w:spacing w:before="20" w:after="20"/>
            </w:pPr>
            <w:r>
              <w:rPr>
                <w:rFonts w:ascii="Courier New" w:hAnsi="Courier New"/>
                <w:color w:val="1A1A1A"/>
                <w:sz w:val="18"/>
              </w:rPr>
              <w:t>- Authorization (roles, claims, policies)</w:t>
            </w:r>
          </w:p>
          <w:p>
            <w:pPr>
              <w:spacing w:before="20" w:after="20"/>
            </w:pPr>
            <w:r>
              <w:rPr>
                <w:rFonts w:ascii="Courier New" w:hAnsi="Courier New"/>
                <w:color w:val="1A1A1A"/>
                <w:sz w:val="18"/>
              </w:rPr>
              <w:t>- JWT token validation</w:t>
            </w:r>
          </w:p>
          <w:p>
            <w:pPr>
              <w:spacing w:before="20" w:after="20"/>
            </w:pPr>
            <w:r>
              <w:rPr>
                <w:rFonts w:ascii="Courier New" w:hAnsi="Courier New"/>
                <w:color w:val="1A1A1A"/>
                <w:sz w:val="18"/>
              </w:rPr>
              <w:t>- Secrets management (Azure Key Vault / env vars)</w:t>
            </w:r>
          </w:p>
          <w:p>
            <w:pPr>
              <w:spacing w:before="20" w:after="20"/>
            </w:pPr>
            <w:r>
              <w:rPr>
                <w:rFonts w:ascii="Courier New" w:hAnsi="Courier New"/>
                <w:color w:val="1A1A1A"/>
                <w:sz w:val="18"/>
              </w:rPr>
              <w:t>- Encryption at rest and in transit</w:t>
            </w:r>
          </w:p>
          <w:p>
            <w:pPr>
              <w:spacing w:before="20" w:after="20"/>
            </w:pPr>
            <w:r>
              <w:rPr>
                <w:rFonts w:ascii="Courier New" w:hAnsi="Courier New"/>
                <w:color w:val="1A1A1A"/>
                <w:sz w:val="18"/>
              </w:rPr>
              <w:t>- Data protection (PII handling)</w:t>
            </w:r>
          </w:p>
          <w:p>
            <w:pPr>
              <w:spacing w:before="20" w:after="20"/>
            </w:pPr>
            <w:r>
              <w:rPr>
                <w:rFonts w:ascii="Courier New" w:hAnsi="Courier New"/>
                <w:color w:val="1A1A1A"/>
                <w:sz w:val="18"/>
              </w:rPr>
            </w:r>
          </w:p>
          <w:p>
            <w:pPr>
              <w:spacing w:before="20" w:after="20"/>
            </w:pPr>
            <w:r>
              <w:rPr>
                <w:rFonts w:ascii="Courier New" w:hAnsi="Courier New"/>
                <w:color w:val="1A1A1A"/>
                <w:sz w:val="18"/>
              </w:rPr>
              <w:t>Identify vulnerabilities and rate severity:</w:t>
            </w:r>
          </w:p>
          <w:p>
            <w:pPr>
              <w:spacing w:before="20" w:after="20"/>
            </w:pPr>
            <w:r>
              <w:rPr>
                <w:rFonts w:ascii="Courier New" w:hAnsi="Courier New"/>
                <w:color w:val="1A1A1A"/>
                <w:sz w:val="18"/>
              </w:rPr>
              <w:t>- Critical / High / Medium / Low</w:t>
            </w:r>
          </w:p>
          <w:p>
            <w:pPr>
              <w:spacing w:before="20" w:after="20"/>
            </w:pPr>
            <w:r>
              <w:rPr>
                <w:rFonts w:ascii="Courier New" w:hAnsi="Courier New"/>
                <w:color w:val="1A1A1A"/>
                <w:sz w:val="18"/>
              </w:rPr>
            </w:r>
          </w:p>
          <w:p>
            <w:pPr>
              <w:spacing w:before="20" w:after="20"/>
            </w:pPr>
            <w:r>
              <w:rPr>
                <w:rFonts w:ascii="Courier New" w:hAnsi="Courier New"/>
                <w:color w:val="1A1A1A"/>
                <w:sz w:val="18"/>
              </w:rPr>
              <w:t>Provide remediation recommendations for each finding.</w:t>
            </w:r>
          </w:p>
        </w:tc>
      </w:tr>
    </w:tbl>
    <w:p>
      <w:pPr>
        <w:spacing w:after="120"/>
      </w:pPr>
    </w:p>
    <w:tbl>
      <w:tblPr>
        <w:tblW w:type="auto" w:w="0"/>
        <w:tblLook w:firstColumn="1" w:firstRow="1" w:lastColumn="0" w:lastRow="0" w:noHBand="0" w:noVBand="1" w:val="04A0"/>
      </w:tblPr>
      <w:tblGrid>
        <w:gridCol w:w="8640"/>
      </w:tblGrid>
      <w:tr>
        <w:tc>
          <w:tcPr>
            <w:tcW w:type="dxa" w:w="8640"/>
            <w:shd w:fill="FDE8E8" w:val="clear"/>
            <w:tcBorders>
              <w:top w:val="none"/>
              <w:left w:val="single" w:sz="24" w:color="E74C3C"/>
              <w:bottom w:val="none"/>
              <w:right w:val="none"/>
            </w:tcBorders>
          </w:tcPr>
          <w:p>
            <w:pPr>
              <w:spacing w:before="80" w:after="40"/>
            </w:pPr>
            <w:r/>
            <w:r>
              <w:rPr>
                <w:rFonts w:ascii="Calibri" w:hAnsi="Calibri"/>
                <w:b/>
                <w:color w:val="C03030"/>
                <w:sz w:val="20"/>
              </w:rPr>
              <w:t>❗ IMPORTANT</w:t>
            </w:r>
          </w:p>
          <w:p>
            <w:pPr>
              <w:spacing w:before="40" w:after="80"/>
            </w:pPr>
            <w:r>
              <w:rPr>
                <w:rFonts w:ascii="Calibri" w:hAnsi="Calibri"/>
                <w:sz w:val="20"/>
              </w:rPr>
              <w:t>The Security VulnerabilityRegister is a mandatory output of the security review. Every finding must include a severity rating and a concrete remediation recommendation. Do not omit findings simply because they are low severity.</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5B6" w:val="clear"/>
          </w:tcPr>
          <w:p>
            <w:r>
              <w:rPr>
                <w:b/>
              </w:rPr>
            </w:r>
            <w:r>
              <w:rPr>
                <w:rFonts w:ascii="Calibri" w:hAnsi="Calibri"/>
                <w:b/>
                <w:color w:val="FFFFFF"/>
                <w:sz w:val="20"/>
              </w:rPr>
              <w:t>ID</w:t>
            </w:r>
          </w:p>
        </w:tc>
        <w:tc>
          <w:tcPr>
            <w:tcW w:type="dxa" w:w="1728"/>
            <w:shd w:fill="2E75B6" w:val="clear"/>
          </w:tcPr>
          <w:p>
            <w:r>
              <w:rPr>
                <w:b/>
              </w:rPr>
            </w:r>
            <w:r>
              <w:rPr>
                <w:rFonts w:ascii="Calibri" w:hAnsi="Calibri"/>
                <w:b/>
                <w:color w:val="FFFFFF"/>
                <w:sz w:val="20"/>
              </w:rPr>
              <w:t>Vulnerability</w:t>
            </w:r>
          </w:p>
        </w:tc>
        <w:tc>
          <w:tcPr>
            <w:tcW w:type="dxa" w:w="1728"/>
            <w:shd w:fill="2E75B6" w:val="clear"/>
          </w:tcPr>
          <w:p>
            <w:r>
              <w:rPr>
                <w:b/>
              </w:rPr>
            </w:r>
            <w:r>
              <w:rPr>
                <w:rFonts w:ascii="Calibri" w:hAnsi="Calibri"/>
                <w:b/>
                <w:color w:val="FFFFFF"/>
                <w:sz w:val="20"/>
              </w:rPr>
              <w:t>Severity</w:t>
            </w:r>
          </w:p>
        </w:tc>
        <w:tc>
          <w:tcPr>
            <w:tcW w:type="dxa" w:w="1728"/>
            <w:shd w:fill="2E75B6" w:val="clear"/>
          </w:tcPr>
          <w:p>
            <w:r>
              <w:rPr>
                <w:b/>
              </w:rPr>
            </w:r>
            <w:r>
              <w:rPr>
                <w:rFonts w:ascii="Calibri" w:hAnsi="Calibri"/>
                <w:b/>
                <w:color w:val="FFFFFF"/>
                <w:sz w:val="20"/>
              </w:rPr>
              <w:t>Location</w:t>
            </w:r>
          </w:p>
        </w:tc>
        <w:tc>
          <w:tcPr>
            <w:tcW w:type="dxa" w:w="1728"/>
            <w:shd w:fill="2E75B6" w:val="clear"/>
          </w:tcPr>
          <w:p>
            <w:r>
              <w:rPr>
                <w:b/>
              </w:rPr>
            </w:r>
            <w:r>
              <w:rPr>
                <w:rFonts w:ascii="Calibri" w:hAnsi="Calibri"/>
                <w:b/>
                <w:color w:val="FFFFFF"/>
                <w:sz w:val="20"/>
              </w:rPr>
              <w:t>Recommendation</w:t>
            </w:r>
          </w:p>
        </w:tc>
      </w:tr>
      <w:tr>
        <w:tc>
          <w:tcPr>
            <w:tcW w:type="dxa" w:w="1728"/>
            <w:shd w:fill="F2F2F2" w:val="clear"/>
          </w:tcPr>
          <w:p>
            <w:r/>
            <w:r>
              <w:rPr>
                <w:rFonts w:ascii="Calibri" w:hAnsi="Calibri"/>
                <w:sz w:val="20"/>
              </w:rPr>
              <w:t>SEC-001</w:t>
            </w:r>
          </w:p>
        </w:tc>
        <w:tc>
          <w:tcPr>
            <w:tcW w:type="dxa" w:w="1728"/>
            <w:shd w:fill="F2F2F2" w:val="clear"/>
          </w:tcPr>
          <w:p>
            <w:r/>
            <w:r>
              <w:rPr>
                <w:rFonts w:ascii="Calibri" w:hAnsi="Calibri"/>
                <w:sz w:val="20"/>
              </w:rPr>
              <w:t>SQL Injection risk in raw queries</w:t>
            </w:r>
          </w:p>
        </w:tc>
        <w:tc>
          <w:tcPr>
            <w:tcW w:type="dxa" w:w="1728"/>
            <w:shd w:fill="F2F2F2" w:val="clear"/>
          </w:tcPr>
          <w:p>
            <w:r/>
            <w:r>
              <w:rPr>
                <w:rFonts w:ascii="Calibri" w:hAnsi="Calibri"/>
                <w:sz w:val="20"/>
              </w:rPr>
              <w:t>Critical</w:t>
            </w:r>
          </w:p>
        </w:tc>
        <w:tc>
          <w:tcPr>
            <w:tcW w:type="dxa" w:w="1728"/>
            <w:shd w:fill="F2F2F2" w:val="clear"/>
          </w:tcPr>
          <w:p>
            <w:r/>
            <w:r>
              <w:rPr>
                <w:rFonts w:ascii="Calibri" w:hAnsi="Calibri"/>
                <w:sz w:val="20"/>
              </w:rPr>
              <w:t>Repository layer</w:t>
            </w:r>
          </w:p>
        </w:tc>
        <w:tc>
          <w:tcPr>
            <w:tcW w:type="dxa" w:w="1728"/>
            <w:shd w:fill="F2F2F2" w:val="clear"/>
          </w:tcPr>
          <w:p>
            <w:r/>
            <w:r>
              <w:rPr>
                <w:rFonts w:ascii="Calibri" w:hAnsi="Calibri"/>
                <w:sz w:val="20"/>
              </w:rPr>
              <w:t>Use parameterized queries or EF Core exclusively</w:t>
            </w:r>
          </w:p>
        </w:tc>
      </w:tr>
      <w:tr>
        <w:tc>
          <w:tcPr>
            <w:tcW w:type="dxa" w:w="1728"/>
          </w:tcPr>
          <w:p>
            <w:r/>
            <w:r>
              <w:rPr>
                <w:rFonts w:ascii="Calibri" w:hAnsi="Calibri"/>
                <w:sz w:val="20"/>
              </w:rPr>
              <w:t>SEC-002</w:t>
            </w:r>
          </w:p>
        </w:tc>
        <w:tc>
          <w:tcPr>
            <w:tcW w:type="dxa" w:w="1728"/>
          </w:tcPr>
          <w:p>
            <w:r/>
            <w:r>
              <w:rPr>
                <w:rFonts w:ascii="Calibri" w:hAnsi="Calibri"/>
                <w:sz w:val="20"/>
              </w:rPr>
              <w:t>JWT token expiry not enforced</w:t>
            </w:r>
          </w:p>
        </w:tc>
        <w:tc>
          <w:tcPr>
            <w:tcW w:type="dxa" w:w="1728"/>
          </w:tcPr>
          <w:p>
            <w:r/>
            <w:r>
              <w:rPr>
                <w:rFonts w:ascii="Calibri" w:hAnsi="Calibri"/>
                <w:sz w:val="20"/>
              </w:rPr>
              <w:t>High</w:t>
            </w:r>
          </w:p>
        </w:tc>
        <w:tc>
          <w:tcPr>
            <w:tcW w:type="dxa" w:w="1728"/>
          </w:tcPr>
          <w:p>
            <w:r/>
            <w:r>
              <w:rPr>
                <w:rFonts w:ascii="Calibri" w:hAnsi="Calibri"/>
                <w:sz w:val="20"/>
              </w:rPr>
              <w:t>Auth middleware</w:t>
            </w:r>
          </w:p>
        </w:tc>
        <w:tc>
          <w:tcPr>
            <w:tcW w:type="dxa" w:w="1728"/>
          </w:tcPr>
          <w:p>
            <w:r/>
            <w:r>
              <w:rPr>
                <w:rFonts w:ascii="Calibri" w:hAnsi="Calibri"/>
                <w:sz w:val="20"/>
              </w:rPr>
              <w:t>Set short expiry window and implement refresh token rotation</w:t>
            </w:r>
          </w:p>
        </w:tc>
      </w:tr>
      <w:tr>
        <w:tc>
          <w:tcPr>
            <w:tcW w:type="dxa" w:w="1728"/>
            <w:shd w:fill="F2F2F2" w:val="clear"/>
          </w:tcPr>
          <w:p>
            <w:r/>
            <w:r>
              <w:rPr>
                <w:rFonts w:ascii="Calibri" w:hAnsi="Calibri"/>
                <w:sz w:val="20"/>
              </w:rPr>
              <w:t>SEC-003</w:t>
            </w:r>
          </w:p>
        </w:tc>
        <w:tc>
          <w:tcPr>
            <w:tcW w:type="dxa" w:w="1728"/>
            <w:shd w:fill="F2F2F2" w:val="clear"/>
          </w:tcPr>
          <w:p>
            <w:r/>
            <w:r>
              <w:rPr>
                <w:rFonts w:ascii="Calibri" w:hAnsi="Calibri"/>
                <w:sz w:val="20"/>
              </w:rPr>
              <w:t>Connection strings stored in appsettings.json</w:t>
            </w:r>
          </w:p>
        </w:tc>
        <w:tc>
          <w:tcPr>
            <w:tcW w:type="dxa" w:w="1728"/>
            <w:shd w:fill="F2F2F2" w:val="clear"/>
          </w:tcPr>
          <w:p>
            <w:r/>
            <w:r>
              <w:rPr>
                <w:rFonts w:ascii="Calibri" w:hAnsi="Calibri"/>
                <w:sz w:val="20"/>
              </w:rPr>
              <w:t>High</w:t>
            </w:r>
          </w:p>
        </w:tc>
        <w:tc>
          <w:tcPr>
            <w:tcW w:type="dxa" w:w="1728"/>
            <w:shd w:fill="F2F2F2" w:val="clear"/>
          </w:tcPr>
          <w:p>
            <w:r/>
            <w:r>
              <w:rPr>
                <w:rFonts w:ascii="Calibri" w:hAnsi="Calibri"/>
                <w:sz w:val="20"/>
              </w:rPr>
              <w:t>appsettings.json</w:t>
            </w:r>
          </w:p>
        </w:tc>
        <w:tc>
          <w:tcPr>
            <w:tcW w:type="dxa" w:w="1728"/>
            <w:shd w:fill="F2F2F2" w:val="clear"/>
          </w:tcPr>
          <w:p>
            <w:r/>
            <w:r>
              <w:rPr>
                <w:rFonts w:ascii="Calibri" w:hAnsi="Calibri"/>
                <w:sz w:val="20"/>
              </w:rPr>
              <w:t>Migrate all secrets to Azure Key Vault</w:t>
            </w:r>
          </w:p>
        </w:tc>
      </w:tr>
      <w:tr>
        <w:tc>
          <w:tcPr>
            <w:tcW w:type="dxa" w:w="1728"/>
          </w:tcPr>
          <w:p>
            <w:r/>
            <w:r>
              <w:rPr>
                <w:rFonts w:ascii="Calibri" w:hAnsi="Calibri"/>
                <w:sz w:val="20"/>
              </w:rPr>
              <w:t>SEC-004</w:t>
            </w:r>
          </w:p>
        </w:tc>
        <w:tc>
          <w:tcPr>
            <w:tcW w:type="dxa" w:w="1728"/>
          </w:tcPr>
          <w:p>
            <w:r/>
            <w:r>
              <w:rPr>
                <w:rFonts w:ascii="Calibri" w:hAnsi="Calibri"/>
                <w:sz w:val="20"/>
              </w:rPr>
              <w:t>Missing CSRF protection on state-changing endpoints</w:t>
            </w:r>
          </w:p>
        </w:tc>
        <w:tc>
          <w:tcPr>
            <w:tcW w:type="dxa" w:w="1728"/>
          </w:tcPr>
          <w:p>
            <w:r/>
            <w:r>
              <w:rPr>
                <w:rFonts w:ascii="Calibri" w:hAnsi="Calibri"/>
                <w:sz w:val="20"/>
              </w:rPr>
              <w:t>Medium</w:t>
            </w:r>
          </w:p>
        </w:tc>
        <w:tc>
          <w:tcPr>
            <w:tcW w:type="dxa" w:w="1728"/>
          </w:tcPr>
          <w:p>
            <w:r/>
            <w:r>
              <w:rPr>
                <w:rFonts w:ascii="Calibri" w:hAnsi="Calibri"/>
                <w:sz w:val="20"/>
              </w:rPr>
              <w:t>API Controllers</w:t>
            </w:r>
          </w:p>
        </w:tc>
        <w:tc>
          <w:tcPr>
            <w:tcW w:type="dxa" w:w="1728"/>
          </w:tcPr>
          <w:p>
            <w:r/>
            <w:r>
              <w:rPr>
                <w:rFonts w:ascii="Calibri" w:hAnsi="Calibri"/>
                <w:sz w:val="20"/>
              </w:rPr>
              <w:t>Add AntiForgery token validation</w:t>
            </w:r>
          </w:p>
        </w:tc>
      </w:tr>
      <w:tr>
        <w:tc>
          <w:tcPr>
            <w:tcW w:type="dxa" w:w="1728"/>
            <w:shd w:fill="F2F2F2" w:val="clear"/>
          </w:tcPr>
          <w:p>
            <w:r/>
            <w:r>
              <w:rPr>
                <w:rFonts w:ascii="Calibri" w:hAnsi="Calibri"/>
                <w:sz w:val="20"/>
              </w:rPr>
              <w:t>SEC-005</w:t>
            </w:r>
          </w:p>
        </w:tc>
        <w:tc>
          <w:tcPr>
            <w:tcW w:type="dxa" w:w="1728"/>
            <w:shd w:fill="F2F2F2" w:val="clear"/>
          </w:tcPr>
          <w:p>
            <w:r/>
            <w:r>
              <w:rPr>
                <w:rFonts w:ascii="Calibri" w:hAnsi="Calibri"/>
                <w:sz w:val="20"/>
              </w:rPr>
              <w:t>Verbose error messages exposed in API responses</w:t>
            </w:r>
          </w:p>
        </w:tc>
        <w:tc>
          <w:tcPr>
            <w:tcW w:type="dxa" w:w="1728"/>
            <w:shd w:fill="F2F2F2" w:val="clear"/>
          </w:tcPr>
          <w:p>
            <w:r/>
            <w:r>
              <w:rPr>
                <w:rFonts w:ascii="Calibri" w:hAnsi="Calibri"/>
                <w:sz w:val="20"/>
              </w:rPr>
              <w:t>Medium</w:t>
            </w:r>
          </w:p>
        </w:tc>
        <w:tc>
          <w:tcPr>
            <w:tcW w:type="dxa" w:w="1728"/>
            <w:shd w:fill="F2F2F2" w:val="clear"/>
          </w:tcPr>
          <w:p>
            <w:r/>
            <w:r>
              <w:rPr>
                <w:rFonts w:ascii="Calibri" w:hAnsi="Calibri"/>
                <w:sz w:val="20"/>
              </w:rPr>
              <w:t>Global error handler</w:t>
            </w:r>
          </w:p>
        </w:tc>
        <w:tc>
          <w:tcPr>
            <w:tcW w:type="dxa" w:w="1728"/>
            <w:shd w:fill="F2F2F2" w:val="clear"/>
          </w:tcPr>
          <w:p>
            <w:r/>
            <w:r>
              <w:rPr>
                <w:rFonts w:ascii="Calibri" w:hAnsi="Calibri"/>
                <w:sz w:val="20"/>
              </w:rPr>
              <w:t>Sanitize all error responses before returning to client</w:t>
            </w:r>
          </w:p>
        </w:tc>
      </w:tr>
      <w:tr>
        <w:tc>
          <w:tcPr>
            <w:tcW w:type="dxa" w:w="1728"/>
          </w:tcPr>
          <w:p>
            <w:r/>
            <w:r>
              <w:rPr>
                <w:rFonts w:ascii="Calibri" w:hAnsi="Calibri"/>
                <w:sz w:val="20"/>
              </w:rPr>
              <w:t>SEC-006</w:t>
            </w:r>
          </w:p>
        </w:tc>
        <w:tc>
          <w:tcPr>
            <w:tcW w:type="dxa" w:w="1728"/>
          </w:tcPr>
          <w:p>
            <w:r/>
            <w:r>
              <w:rPr>
                <w:rFonts w:ascii="Calibri" w:hAnsi="Calibri"/>
                <w:sz w:val="20"/>
              </w:rPr>
              <w:t>No rate limiting on LT creation endpoint</w:t>
            </w:r>
          </w:p>
        </w:tc>
        <w:tc>
          <w:tcPr>
            <w:tcW w:type="dxa" w:w="1728"/>
          </w:tcPr>
          <w:p>
            <w:r/>
            <w:r>
              <w:rPr>
                <w:rFonts w:ascii="Calibri" w:hAnsi="Calibri"/>
                <w:sz w:val="20"/>
              </w:rPr>
              <w:t>Low</w:t>
            </w:r>
          </w:p>
        </w:tc>
        <w:tc>
          <w:tcPr>
            <w:tcW w:type="dxa" w:w="1728"/>
          </w:tcPr>
          <w:p>
            <w:r/>
            <w:r>
              <w:rPr>
                <w:rFonts w:ascii="Calibri" w:hAnsi="Calibri"/>
                <w:sz w:val="20"/>
              </w:rPr>
              <w:t>CreateLTController</w:t>
            </w:r>
          </w:p>
        </w:tc>
        <w:tc>
          <w:tcPr>
            <w:tcW w:type="dxa" w:w="1728"/>
          </w:tcPr>
          <w:p>
            <w:r/>
            <w:r>
              <w:rPr>
                <w:rFonts w:ascii="Calibri" w:hAnsi="Calibri"/>
                <w:sz w:val="20"/>
              </w:rPr>
              <w:t>Implement API throttling using ASP.NET Core rate limiting middleware</w:t>
            </w:r>
          </w:p>
        </w:tc>
      </w:tr>
    </w:tbl>
    <w:p>
      <w:pPr>
        <w:pStyle w:val="Heading2"/>
      </w:pPr>
      <w:r>
        <w:t>5.11 Section 11 — Integration Analysis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Document all integrations:</w:t>
            </w:r>
          </w:p>
          <w:p>
            <w:pPr>
              <w:spacing w:before="20" w:after="20"/>
            </w:pPr>
            <w:r>
              <w:rPr>
                <w:rFonts w:ascii="Courier New" w:hAnsi="Courier New"/>
                <w:color w:val="1A1A1A"/>
                <w:sz w:val="18"/>
              </w:rPr>
              <w:t>- External APIs</w:t>
            </w:r>
          </w:p>
          <w:p>
            <w:pPr>
              <w:spacing w:before="20" w:after="20"/>
            </w:pPr>
            <w:r>
              <w:rPr>
                <w:rFonts w:ascii="Courier New" w:hAnsi="Courier New"/>
                <w:color w:val="1A1A1A"/>
                <w:sz w:val="18"/>
              </w:rPr>
              <w:t>- Databases</w:t>
            </w:r>
          </w:p>
          <w:p>
            <w:pPr>
              <w:spacing w:before="20" w:after="20"/>
            </w:pPr>
            <w:r>
              <w:rPr>
                <w:rFonts w:ascii="Courier New" w:hAnsi="Courier New"/>
                <w:color w:val="1A1A1A"/>
                <w:sz w:val="18"/>
              </w:rPr>
              <w:t>- Message Queues</w:t>
            </w:r>
          </w:p>
          <w:p>
            <w:pPr>
              <w:spacing w:before="20" w:after="20"/>
            </w:pPr>
            <w:r>
              <w:rPr>
                <w:rFonts w:ascii="Courier New" w:hAnsi="Courier New"/>
                <w:color w:val="1A1A1A"/>
                <w:sz w:val="18"/>
              </w:rPr>
              <w:t>- File Processing</w:t>
            </w:r>
          </w:p>
          <w:p>
            <w:pPr>
              <w:spacing w:before="20" w:after="20"/>
            </w:pPr>
            <w:r>
              <w:rPr>
                <w:rFonts w:ascii="Courier New" w:hAnsi="Courier New"/>
                <w:color w:val="1A1A1A"/>
                <w:sz w:val="18"/>
              </w:rPr>
              <w:t>- Third-Party Systems</w:t>
            </w:r>
          </w:p>
          <w:p>
            <w:pPr>
              <w:spacing w:before="20" w:after="20"/>
            </w:pPr>
            <w:r>
              <w:rPr>
                <w:rFonts w:ascii="Courier New" w:hAnsi="Courier New"/>
                <w:color w:val="1A1A1A"/>
                <w:sz w:val="18"/>
              </w:rPr>
            </w:r>
          </w:p>
          <w:p>
            <w:pPr>
              <w:spacing w:before="20" w:after="20"/>
            </w:pPr>
            <w:r>
              <w:rPr>
                <w:rFonts w:ascii="Courier New" w:hAnsi="Courier New"/>
                <w:color w:val="1A1A1A"/>
                <w:sz w:val="18"/>
              </w:rPr>
              <w:t>For each integration provide:</w:t>
            </w:r>
          </w:p>
          <w:p>
            <w:pPr>
              <w:spacing w:before="20" w:after="20"/>
            </w:pPr>
            <w:r>
              <w:rPr>
                <w:rFonts w:ascii="Courier New" w:hAnsi="Courier New"/>
                <w:color w:val="1A1A1A"/>
                <w:sz w:val="18"/>
              </w:rPr>
              <w:t>- Purpose</w:t>
            </w:r>
          </w:p>
          <w:p>
            <w:pPr>
              <w:spacing w:before="20" w:after="20"/>
            </w:pPr>
            <w:r>
              <w:rPr>
                <w:rFonts w:ascii="Courier New" w:hAnsi="Courier New"/>
                <w:color w:val="1A1A1A"/>
                <w:sz w:val="18"/>
              </w:rPr>
              <w:t>- Protocol (REST / SOAP / gRPC / MQ)</w:t>
            </w:r>
          </w:p>
          <w:p>
            <w:pPr>
              <w:spacing w:before="20" w:after="20"/>
            </w:pPr>
            <w:r>
              <w:rPr>
                <w:rFonts w:ascii="Courier New" w:hAnsi="Courier New"/>
                <w:color w:val="1A1A1A"/>
                <w:sz w:val="18"/>
              </w:rPr>
              <w:t>- Authentication method</w:t>
            </w:r>
          </w:p>
          <w:p>
            <w:pPr>
              <w:spacing w:before="20" w:after="20"/>
            </w:pPr>
            <w:r>
              <w:rPr>
                <w:rFonts w:ascii="Courier New" w:hAnsi="Courier New"/>
                <w:color w:val="1A1A1A"/>
                <w:sz w:val="18"/>
              </w:rPr>
              <w:t>- Failure handling strategy</w:t>
            </w:r>
          </w:p>
        </w:tc>
      </w:tr>
    </w:tbl>
    <w:p>
      <w:pPr>
        <w:spacing w:after="120"/>
      </w:pPr>
    </w:p>
    <w:p>
      <w:r>
        <w:rPr>
          <w:rFonts w:ascii="Calibri" w:hAnsi="Calibri"/>
          <w:b/>
          <w:sz w:val="22"/>
        </w:rPr>
        <w:t>Integration Inventory Table</w:t>
      </w:r>
      <w:r>
        <w:rPr>
          <w:rFonts w:ascii="Calibri" w:hAnsi="Calibri"/>
          <w:sz w:val="22"/>
        </w:rPr>
        <w:t xml:space="preserve"> — the AI will populate this from </w:t>
      </w:r>
      <w:r>
        <w:rPr>
          <w:rFonts w:ascii="Courier New" w:hAnsi="Courier New"/>
          <w:sz w:val="20"/>
        </w:rPr>
        <w:t>HttpClient</w:t>
      </w:r>
      <w:r>
        <w:rPr>
          <w:rFonts w:ascii="Calibri" w:hAnsi="Calibri"/>
          <w:sz w:val="22"/>
        </w:rPr>
        <w:t xml:space="preserve"> registrations, configuration files, and service dependencies discovered in the repository: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5B6" w:val="clear"/>
          </w:tcPr>
          <w:p>
            <w:r>
              <w:rPr>
                <w:b/>
              </w:rPr>
            </w:r>
            <w:r>
              <w:rPr>
                <w:rFonts w:ascii="Calibri" w:hAnsi="Calibri"/>
                <w:b/>
                <w:color w:val="FFFFFF"/>
                <w:sz w:val="20"/>
              </w:rPr>
              <w:t>System</w:t>
            </w:r>
          </w:p>
        </w:tc>
        <w:tc>
          <w:tcPr>
            <w:tcW w:type="dxa" w:w="1728"/>
            <w:shd w:fill="2E75B6" w:val="clear"/>
          </w:tcPr>
          <w:p>
            <w:r>
              <w:rPr>
                <w:b/>
              </w:rPr>
            </w:r>
            <w:r>
              <w:rPr>
                <w:rFonts w:ascii="Calibri" w:hAnsi="Calibri"/>
                <w:b/>
                <w:color w:val="FFFFFF"/>
                <w:sz w:val="20"/>
              </w:rPr>
              <w:t>Type</w:t>
            </w:r>
          </w:p>
        </w:tc>
        <w:tc>
          <w:tcPr>
            <w:tcW w:type="dxa" w:w="1728"/>
            <w:shd w:fill="2E75B6" w:val="clear"/>
          </w:tcPr>
          <w:p>
            <w:r>
              <w:rPr>
                <w:b/>
              </w:rPr>
            </w:r>
            <w:r>
              <w:rPr>
                <w:rFonts w:ascii="Calibri" w:hAnsi="Calibri"/>
                <w:b/>
                <w:color w:val="FFFFFF"/>
                <w:sz w:val="20"/>
              </w:rPr>
              <w:t>Protocol</w:t>
            </w:r>
          </w:p>
        </w:tc>
        <w:tc>
          <w:tcPr>
            <w:tcW w:type="dxa" w:w="1728"/>
            <w:shd w:fill="2E75B6" w:val="clear"/>
          </w:tcPr>
          <w:p>
            <w:r>
              <w:rPr>
                <w:b/>
              </w:rPr>
            </w:r>
            <w:r>
              <w:rPr>
                <w:rFonts w:ascii="Calibri" w:hAnsi="Calibri"/>
                <w:b/>
                <w:color w:val="FFFFFF"/>
                <w:sz w:val="20"/>
              </w:rPr>
              <w:t>Auth Method</w:t>
            </w:r>
          </w:p>
        </w:tc>
        <w:tc>
          <w:tcPr>
            <w:tcW w:type="dxa" w:w="1728"/>
            <w:shd w:fill="2E75B6" w:val="clear"/>
          </w:tcPr>
          <w:p>
            <w:r>
              <w:rPr>
                <w:b/>
              </w:rPr>
            </w:r>
            <w:r>
              <w:rPr>
                <w:rFonts w:ascii="Calibri" w:hAnsi="Calibri"/>
                <w:b/>
                <w:color w:val="FFFFFF"/>
                <w:sz w:val="20"/>
              </w:rPr>
              <w:t>Failure Handling Strategy</w:t>
            </w:r>
          </w:p>
        </w:tc>
      </w:tr>
      <w:tr>
        <w:tc>
          <w:tcPr>
            <w:tcW w:type="dxa" w:w="1728"/>
            <w:shd w:fill="F2F2F2" w:val="clear"/>
          </w:tcPr>
          <w:p>
            <w:r/>
            <w:r>
              <w:rPr>
                <w:rFonts w:ascii="Calibri" w:hAnsi="Calibri"/>
                <w:sz w:val="20"/>
              </w:rPr>
              <w:t>SQL Server</w:t>
            </w:r>
          </w:p>
        </w:tc>
        <w:tc>
          <w:tcPr>
            <w:tcW w:type="dxa" w:w="1728"/>
            <w:shd w:fill="F2F2F2" w:val="clear"/>
          </w:tcPr>
          <w:p>
            <w:r/>
            <w:r>
              <w:rPr>
                <w:rFonts w:ascii="Calibri" w:hAnsi="Calibri"/>
                <w:sz w:val="20"/>
              </w:rPr>
              <w:t>Database</w:t>
            </w:r>
          </w:p>
        </w:tc>
        <w:tc>
          <w:tcPr>
            <w:tcW w:type="dxa" w:w="1728"/>
            <w:shd w:fill="F2F2F2" w:val="clear"/>
          </w:tcPr>
          <w:p>
            <w:r/>
            <w:r>
              <w:rPr>
                <w:rFonts w:ascii="Calibri" w:hAnsi="Calibri"/>
                <w:sz w:val="20"/>
              </w:rPr>
              <w:t>ADO.NET / EF Core</w:t>
            </w:r>
          </w:p>
        </w:tc>
        <w:tc>
          <w:tcPr>
            <w:tcW w:type="dxa" w:w="1728"/>
            <w:shd w:fill="F2F2F2" w:val="clear"/>
          </w:tcPr>
          <w:p>
            <w:r/>
            <w:r>
              <w:rPr>
                <w:rFonts w:ascii="Calibri" w:hAnsi="Calibri"/>
                <w:sz w:val="20"/>
              </w:rPr>
              <w:t>Windows Auth or SQL Auth</w:t>
            </w:r>
          </w:p>
        </w:tc>
        <w:tc>
          <w:tcPr>
            <w:tcW w:type="dxa" w:w="1728"/>
            <w:shd w:fill="F2F2F2" w:val="clear"/>
          </w:tcPr>
          <w:p>
            <w:r/>
            <w:r>
              <w:rPr>
                <w:rFonts w:ascii="Calibri" w:hAnsi="Calibri"/>
                <w:sz w:val="20"/>
              </w:rPr>
              <w:t>Retry policy with exponential backoff and circuit breaker</w:t>
            </w:r>
          </w:p>
        </w:tc>
      </w:tr>
      <w:tr>
        <w:tc>
          <w:tcPr>
            <w:tcW w:type="dxa" w:w="1728"/>
          </w:tcPr>
          <w:p>
            <w:r/>
            <w:r>
              <w:rPr>
                <w:rFonts w:ascii="Calibri" w:hAnsi="Calibri"/>
                <w:sz w:val="20"/>
              </w:rPr>
              <w:t>Label Printer</w:t>
            </w:r>
          </w:p>
        </w:tc>
        <w:tc>
          <w:tcPr>
            <w:tcW w:type="dxa" w:w="1728"/>
          </w:tcPr>
          <w:p>
            <w:r/>
            <w:r>
              <w:rPr>
                <w:rFonts w:ascii="Calibri" w:hAnsi="Calibri"/>
                <w:sz w:val="20"/>
              </w:rPr>
              <w:t>Hardware integration</w:t>
            </w:r>
          </w:p>
        </w:tc>
        <w:tc>
          <w:tcPr>
            <w:tcW w:type="dxa" w:w="1728"/>
          </w:tcPr>
          <w:p>
            <w:r/>
            <w:r>
              <w:rPr>
                <w:rFonts w:ascii="Calibri" w:hAnsi="Calibri"/>
                <w:sz w:val="20"/>
              </w:rPr>
              <w:t>TCP/IP</w:t>
            </w:r>
          </w:p>
        </w:tc>
        <w:tc>
          <w:tcPr>
            <w:tcW w:type="dxa" w:w="1728"/>
          </w:tcPr>
          <w:p>
            <w:r/>
            <w:r>
              <w:rPr>
                <w:rFonts w:ascii="Calibri" w:hAnsi="Calibri"/>
                <w:sz w:val="20"/>
              </w:rPr>
              <w:t>API Key</w:t>
            </w:r>
          </w:p>
        </w:tc>
        <w:tc>
          <w:tcPr>
            <w:tcW w:type="dxa" w:w="1728"/>
          </w:tcPr>
          <w:p>
            <w:r/>
            <w:r>
              <w:rPr>
                <w:rFonts w:ascii="Calibri" w:hAnsi="Calibri"/>
                <w:sz w:val="20"/>
              </w:rPr>
              <w:t>Fallback to print queue with dead-letter handling</w:t>
            </w:r>
          </w:p>
        </w:tc>
      </w:tr>
      <w:tr>
        <w:tc>
          <w:tcPr>
            <w:tcW w:type="dxa" w:w="1728"/>
            <w:shd w:fill="F2F2F2" w:val="clear"/>
          </w:tcPr>
          <w:p>
            <w:r/>
            <w:r>
              <w:rPr>
                <w:rFonts w:ascii="Calibri" w:hAnsi="Calibri"/>
                <w:sz w:val="20"/>
              </w:rPr>
              <w:t>ERP System</w:t>
            </w:r>
          </w:p>
        </w:tc>
        <w:tc>
          <w:tcPr>
            <w:tcW w:type="dxa" w:w="1728"/>
            <w:shd w:fill="F2F2F2" w:val="clear"/>
          </w:tcPr>
          <w:p>
            <w:r/>
            <w:r>
              <w:rPr>
                <w:rFonts w:ascii="Calibri" w:hAnsi="Calibri"/>
                <w:sz w:val="20"/>
              </w:rPr>
              <w:t>External API</w:t>
            </w:r>
          </w:p>
        </w:tc>
        <w:tc>
          <w:tcPr>
            <w:tcW w:type="dxa" w:w="1728"/>
            <w:shd w:fill="F2F2F2" w:val="clear"/>
          </w:tcPr>
          <w:p>
            <w:r/>
            <w:r>
              <w:rPr>
                <w:rFonts w:ascii="Calibri" w:hAnsi="Calibri"/>
                <w:sz w:val="20"/>
              </w:rPr>
              <w:t>REST/JSON</w:t>
            </w:r>
          </w:p>
        </w:tc>
        <w:tc>
          <w:tcPr>
            <w:tcW w:type="dxa" w:w="1728"/>
            <w:shd w:fill="F2F2F2" w:val="clear"/>
          </w:tcPr>
          <w:p>
            <w:r/>
            <w:r>
              <w:rPr>
                <w:rFonts w:ascii="Calibri" w:hAnsi="Calibri"/>
                <w:sz w:val="20"/>
              </w:rPr>
              <w:t>OAuth 2.0 Client Credentials</w:t>
            </w:r>
          </w:p>
        </w:tc>
        <w:tc>
          <w:tcPr>
            <w:tcW w:type="dxa" w:w="1728"/>
            <w:shd w:fill="F2F2F2" w:val="clear"/>
          </w:tcPr>
          <w:p>
            <w:r/>
            <w:r>
              <w:rPr>
                <w:rFonts w:ascii="Calibri" w:hAnsi="Calibri"/>
                <w:sz w:val="20"/>
              </w:rPr>
              <w:t>Dead letter queue with alerting on repeated failure</w:t>
            </w:r>
          </w:p>
        </w:tc>
      </w:tr>
      <w:tr>
        <w:tc>
          <w:tcPr>
            <w:tcW w:type="dxa" w:w="1728"/>
          </w:tcPr>
          <w:p>
            <w:r/>
            <w:r>
              <w:rPr>
                <w:rFonts w:ascii="Calibri" w:hAnsi="Calibri"/>
                <w:sz w:val="20"/>
              </w:rPr>
              <w:t>Azure Active Directory</w:t>
            </w:r>
          </w:p>
        </w:tc>
        <w:tc>
          <w:tcPr>
            <w:tcW w:type="dxa" w:w="1728"/>
          </w:tcPr>
          <w:p>
            <w:r/>
            <w:r>
              <w:rPr>
                <w:rFonts w:ascii="Calibri" w:hAnsi="Calibri"/>
                <w:sz w:val="20"/>
              </w:rPr>
              <w:t>Identity provider</w:t>
            </w:r>
          </w:p>
        </w:tc>
        <w:tc>
          <w:tcPr>
            <w:tcW w:type="dxa" w:w="1728"/>
          </w:tcPr>
          <w:p>
            <w:r/>
            <w:r>
              <w:rPr>
                <w:rFonts w:ascii="Calibri" w:hAnsi="Calibri"/>
                <w:sz w:val="20"/>
              </w:rPr>
              <w:t>OAuth 2.0 / OIDC</w:t>
            </w:r>
          </w:p>
        </w:tc>
        <w:tc>
          <w:tcPr>
            <w:tcW w:type="dxa" w:w="1728"/>
          </w:tcPr>
          <w:p>
            <w:r/>
            <w:r>
              <w:rPr>
                <w:rFonts w:ascii="Calibri" w:hAnsi="Calibri"/>
                <w:sz w:val="20"/>
              </w:rPr>
              <w:t>Client Secret or Certificate</w:t>
            </w:r>
          </w:p>
        </w:tc>
        <w:tc>
          <w:tcPr>
            <w:tcW w:type="dxa" w:w="1728"/>
          </w:tcPr>
          <w:p>
            <w:r/>
            <w:r>
              <w:rPr>
                <w:rFonts w:ascii="Calibri" w:hAnsi="Calibri"/>
                <w:sz w:val="20"/>
              </w:rPr>
              <w:t>Token refresh with silent re-authentication</w:t>
            </w:r>
          </w:p>
        </w:tc>
      </w:tr>
    </w:tbl>
    <w:p>
      <w:pPr>
        <w:pStyle w:val="Heading2"/>
      </w:pPr>
      <w:r>
        <w:t>5.12 Section 12 — Logging and Error Handling</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Analyze:</w:t>
            </w:r>
          </w:p>
          <w:p>
            <w:pPr>
              <w:spacing w:before="20" w:after="20"/>
            </w:pPr>
            <w:r>
              <w:rPr>
                <w:rFonts w:ascii="Courier New" w:hAnsi="Courier New"/>
                <w:color w:val="1A1A1A"/>
                <w:sz w:val="18"/>
              </w:rPr>
              <w:t>- Logging framework used (Serilog / NLog / ILogger)</w:t>
            </w:r>
          </w:p>
          <w:p>
            <w:pPr>
              <w:spacing w:before="20" w:after="20"/>
            </w:pPr>
            <w:r>
              <w:rPr>
                <w:rFonts w:ascii="Courier New" w:hAnsi="Courier New"/>
                <w:color w:val="1A1A1A"/>
                <w:sz w:val="18"/>
              </w:rPr>
              <w:t>- Log levels (Trace / Debug / Info / Warning / Error / Fatal)</w:t>
            </w:r>
          </w:p>
          <w:p>
            <w:pPr>
              <w:spacing w:before="20" w:after="20"/>
            </w:pPr>
            <w:r>
              <w:rPr>
                <w:rFonts w:ascii="Courier New" w:hAnsi="Courier New"/>
                <w:color w:val="1A1A1A"/>
                <w:sz w:val="18"/>
              </w:rPr>
              <w:t>- Global exception middleware</w:t>
            </w:r>
          </w:p>
          <w:p>
            <w:pPr>
              <w:spacing w:before="20" w:after="20"/>
            </w:pPr>
            <w:r>
              <w:rPr>
                <w:rFonts w:ascii="Courier New" w:hAnsi="Courier New"/>
                <w:color w:val="1A1A1A"/>
                <w:sz w:val="18"/>
              </w:rPr>
              <w:t>- Structured logging patterns</w:t>
            </w:r>
          </w:p>
          <w:p>
            <w:pPr>
              <w:spacing w:before="20" w:after="20"/>
            </w:pPr>
            <w:r>
              <w:rPr>
                <w:rFonts w:ascii="Courier New" w:hAnsi="Courier New"/>
                <w:color w:val="1A1A1A"/>
                <w:sz w:val="18"/>
              </w:rPr>
              <w:t>- Retry mechanisms (Polly policies)</w:t>
            </w:r>
          </w:p>
          <w:p>
            <w:pPr>
              <w:spacing w:before="20" w:after="20"/>
            </w:pPr>
            <w:r>
              <w:rPr>
                <w:rFonts w:ascii="Courier New" w:hAnsi="Courier New"/>
                <w:color w:val="1A1A1A"/>
                <w:sz w:val="18"/>
              </w:rPr>
              <w:t>- Resilience patterns (Circuit Breaker / Fallback)</w:t>
            </w:r>
          </w:p>
        </w:tc>
      </w:tr>
    </w:tbl>
    <w:p>
      <w:pPr>
        <w:spacing w:after="120"/>
      </w:pPr>
    </w:p>
    <w:p>
      <w:r>
        <w:rPr>
          <w:rFonts w:ascii="Calibri" w:hAnsi="Calibri"/>
          <w:b/>
          <w:sz w:val="22"/>
        </w:rPr>
        <w:t>Logging Standards Reference</w:t>
      </w:r>
      <w:r>
        <w:rPr>
          <w:rFonts w:ascii="Calibri" w:hAnsi="Calibri"/>
          <w:sz w:val="22"/>
        </w:rPr>
        <w:t xml:space="preserve"> — the AI will validate actual log level usage against this standard and flag deviations: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6" w:val="clear"/>
          </w:tcPr>
          <w:p>
            <w:r>
              <w:rPr>
                <w:b/>
              </w:rPr>
            </w:r>
            <w:r>
              <w:rPr>
                <w:rFonts w:ascii="Calibri" w:hAnsi="Calibri"/>
                <w:b/>
                <w:color w:val="FFFFFF"/>
                <w:sz w:val="20"/>
              </w:rPr>
              <w:t>Log Level</w:t>
            </w:r>
          </w:p>
        </w:tc>
        <w:tc>
          <w:tcPr>
            <w:tcW w:type="dxa" w:w="2880"/>
            <w:shd w:fill="2E75B6" w:val="clear"/>
          </w:tcPr>
          <w:p>
            <w:r>
              <w:rPr>
                <w:b/>
              </w:rPr>
            </w:r>
            <w:r>
              <w:rPr>
                <w:rFonts w:ascii="Calibri" w:hAnsi="Calibri"/>
                <w:b/>
                <w:color w:val="FFFFFF"/>
                <w:sz w:val="20"/>
              </w:rPr>
              <w:t>When to Use</w:t>
            </w:r>
          </w:p>
        </w:tc>
        <w:tc>
          <w:tcPr>
            <w:tcW w:type="dxa" w:w="2880"/>
            <w:shd w:fill="2E75B6" w:val="clear"/>
          </w:tcPr>
          <w:p>
            <w:r>
              <w:rPr>
                <w:b/>
              </w:rPr>
            </w:r>
            <w:r>
              <w:rPr>
                <w:rFonts w:ascii="Calibri" w:hAnsi="Calibri"/>
                <w:b/>
                <w:color w:val="FFFFFF"/>
                <w:sz w:val="20"/>
              </w:rPr>
              <w:t>Example Message</w:t>
            </w:r>
          </w:p>
        </w:tc>
      </w:tr>
      <w:tr>
        <w:tc>
          <w:tcPr>
            <w:tcW w:type="dxa" w:w="2880"/>
            <w:shd w:fill="F2F2F2" w:val="clear"/>
          </w:tcPr>
          <w:p>
            <w:r/>
            <w:r>
              <w:rPr>
                <w:rFonts w:ascii="Calibri" w:hAnsi="Calibri"/>
                <w:sz w:val="20"/>
              </w:rPr>
              <w:t>Information</w:t>
            </w:r>
          </w:p>
        </w:tc>
        <w:tc>
          <w:tcPr>
            <w:tcW w:type="dxa" w:w="2880"/>
            <w:shd w:fill="F2F2F2" w:val="clear"/>
          </w:tcPr>
          <w:p>
            <w:r/>
            <w:r>
              <w:rPr>
                <w:rFonts w:ascii="Calibri" w:hAnsi="Calibri"/>
                <w:sz w:val="20"/>
              </w:rPr>
              <w:t>Normal workflow steps completing successfully</w:t>
            </w:r>
          </w:p>
        </w:tc>
        <w:tc>
          <w:tcPr>
            <w:tcW w:type="dxa" w:w="2880"/>
            <w:shd w:fill="F2F2F2" w:val="clear"/>
          </w:tcPr>
          <w:p>
            <w:r/>
            <w:r>
              <w:rPr>
                <w:rFonts w:ascii="Calibri" w:hAnsi="Calibri"/>
                <w:sz w:val="20"/>
              </w:rPr>
              <w:t>"LT created successfully: LT-00123"</w:t>
            </w:r>
          </w:p>
        </w:tc>
      </w:tr>
      <w:tr>
        <w:tc>
          <w:tcPr>
            <w:tcW w:type="dxa" w:w="2880"/>
          </w:tcPr>
          <w:p>
            <w:r/>
            <w:r>
              <w:rPr>
                <w:rFonts w:ascii="Calibri" w:hAnsi="Calibri"/>
                <w:sz w:val="20"/>
              </w:rPr>
              <w:t>Warning</w:t>
            </w:r>
          </w:p>
        </w:tc>
        <w:tc>
          <w:tcPr>
            <w:tcW w:type="dxa" w:w="2880"/>
          </w:tcPr>
          <w:p>
            <w:r/>
            <w:r>
              <w:rPr>
                <w:rFonts w:ascii="Calibri" w:hAnsi="Calibri"/>
                <w:sz w:val="20"/>
              </w:rPr>
              <w:t>Non-critical issues that do not halt processing</w:t>
            </w:r>
          </w:p>
        </w:tc>
        <w:tc>
          <w:tcPr>
            <w:tcW w:type="dxa" w:w="2880"/>
          </w:tcPr>
          <w:p>
            <w:r/>
            <w:r>
              <w:rPr>
                <w:rFonts w:ascii="Calibri" w:hAnsi="Calibri"/>
                <w:sz w:val="20"/>
              </w:rPr>
              <w:t>"Batch capacity at 90% — approaching limit"</w:t>
            </w:r>
          </w:p>
        </w:tc>
      </w:tr>
      <w:tr>
        <w:tc>
          <w:tcPr>
            <w:tcW w:type="dxa" w:w="2880"/>
            <w:shd w:fill="F2F2F2" w:val="clear"/>
          </w:tcPr>
          <w:p>
            <w:r/>
            <w:r>
              <w:rPr>
                <w:rFonts w:ascii="Calibri" w:hAnsi="Calibri"/>
                <w:sz w:val="20"/>
              </w:rPr>
              <w:t>Error</w:t>
            </w:r>
          </w:p>
        </w:tc>
        <w:tc>
          <w:tcPr>
            <w:tcW w:type="dxa" w:w="2880"/>
            <w:shd w:fill="F2F2F2" w:val="clear"/>
          </w:tcPr>
          <w:p>
            <w:r/>
            <w:r>
              <w:rPr>
                <w:rFonts w:ascii="Calibri" w:hAnsi="Calibri"/>
                <w:sz w:val="20"/>
              </w:rPr>
              <w:t>Handled exceptions with known recovery path</w:t>
            </w:r>
          </w:p>
        </w:tc>
        <w:tc>
          <w:tcPr>
            <w:tcW w:type="dxa" w:w="2880"/>
            <w:shd w:fill="F2F2F2" w:val="clear"/>
          </w:tcPr>
          <w:p>
            <w:r/>
            <w:r>
              <w:rPr>
                <w:rFonts w:ascii="Calibri" w:hAnsi="Calibri"/>
                <w:sz w:val="20"/>
              </w:rPr>
              <w:t>"Order validation failed for OrderID: 456"</w:t>
            </w:r>
          </w:p>
        </w:tc>
      </w:tr>
      <w:tr>
        <w:tc>
          <w:tcPr>
            <w:tcW w:type="dxa" w:w="2880"/>
          </w:tcPr>
          <w:p>
            <w:r/>
            <w:r>
              <w:rPr>
                <w:rFonts w:ascii="Calibri" w:hAnsi="Calibri"/>
                <w:sz w:val="20"/>
              </w:rPr>
              <w:t>Critical</w:t>
            </w:r>
          </w:p>
        </w:tc>
        <w:tc>
          <w:tcPr>
            <w:tcW w:type="dxa" w:w="2880"/>
          </w:tcPr>
          <w:p>
            <w:r/>
            <w:r>
              <w:rPr>
                <w:rFonts w:ascii="Calibri" w:hAnsi="Calibri"/>
                <w:sz w:val="20"/>
              </w:rPr>
              <w:t>System-level failures requiring immediate intervention</w:t>
            </w:r>
          </w:p>
        </w:tc>
        <w:tc>
          <w:tcPr>
            <w:tcW w:type="dxa" w:w="2880"/>
          </w:tcPr>
          <w:p>
            <w:r/>
            <w:r>
              <w:rPr>
                <w:rFonts w:ascii="Calibri" w:hAnsi="Calibri"/>
                <w:sz w:val="20"/>
              </w:rPr>
              <w:t>"Database connection lost — all transactions halted"</w:t>
            </w:r>
          </w:p>
        </w:tc>
      </w:tr>
      <w:tr>
        <w:tc>
          <w:tcPr>
            <w:tcW w:type="dxa" w:w="2880"/>
            <w:shd w:fill="F2F2F2" w:val="clear"/>
          </w:tcPr>
          <w:p>
            <w:r/>
            <w:r>
              <w:rPr>
                <w:rFonts w:ascii="Calibri" w:hAnsi="Calibri"/>
                <w:sz w:val="20"/>
              </w:rPr>
              <w:t>Debug</w:t>
            </w:r>
          </w:p>
        </w:tc>
        <w:tc>
          <w:tcPr>
            <w:tcW w:type="dxa" w:w="2880"/>
            <w:shd w:fill="F2F2F2" w:val="clear"/>
          </w:tcPr>
          <w:p>
            <w:r/>
            <w:r>
              <w:rPr>
                <w:rFonts w:ascii="Calibri" w:hAnsi="Calibri"/>
                <w:sz w:val="20"/>
              </w:rPr>
              <w:t>Detailed diagnostic information for development use</w:t>
            </w:r>
          </w:p>
        </w:tc>
        <w:tc>
          <w:tcPr>
            <w:tcW w:type="dxa" w:w="2880"/>
            <w:shd w:fill="F2F2F2" w:val="clear"/>
          </w:tcPr>
          <w:p>
            <w:r/>
            <w:r>
              <w:rPr>
                <w:rFonts w:ascii="Calibri" w:hAnsi="Calibri"/>
                <w:sz w:val="20"/>
              </w:rPr>
              <w:t>"Entering ValidateOrder() with OrderID: 789"</w:t>
            </w:r>
          </w:p>
        </w:tc>
      </w:tr>
      <w:tr>
        <w:tc>
          <w:tcPr>
            <w:tcW w:type="dxa" w:w="2880"/>
          </w:tcPr>
          <w:p>
            <w:r/>
            <w:r>
              <w:rPr>
                <w:rFonts w:ascii="Calibri" w:hAnsi="Calibri"/>
                <w:sz w:val="20"/>
              </w:rPr>
              <w:t>Trace</w:t>
            </w:r>
          </w:p>
        </w:tc>
        <w:tc>
          <w:tcPr>
            <w:tcW w:type="dxa" w:w="2880"/>
          </w:tcPr>
          <w:p>
            <w:r/>
            <w:r>
              <w:rPr>
                <w:rFonts w:ascii="Calibri" w:hAnsi="Calibri"/>
                <w:sz w:val="20"/>
              </w:rPr>
              <w:t>Granular step-by-step execution tracing</w:t>
            </w:r>
          </w:p>
        </w:tc>
        <w:tc>
          <w:tcPr>
            <w:tcW w:type="dxa" w:w="2880"/>
          </w:tcPr>
          <w:p>
            <w:r/>
            <w:r>
              <w:rPr>
                <w:rFonts w:ascii="Calibri" w:hAnsi="Calibri"/>
                <w:sz w:val="20"/>
              </w:rPr>
              <w:t>"SQL query executed in 42ms for LT lookup"</w:t>
            </w:r>
          </w:p>
        </w:tc>
      </w:tr>
    </w:tbl>
    <w:p>
      <w:pPr>
        <w:pStyle w:val="Heading2"/>
      </w:pPr>
      <w:r>
        <w:t>5.13 Section 13 — Sequence Diagrams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Generate Mermaid sequence diagrams for:</w:t>
            </w:r>
          </w:p>
          <w:p>
            <w:pPr>
              <w:spacing w:before="20" w:after="20"/>
            </w:pPr>
            <w:r>
              <w:rPr>
                <w:rFonts w:ascii="Courier New" w:hAnsi="Courier New"/>
                <w:color w:val="1A1A1A"/>
                <w:sz w:val="18"/>
              </w:rPr>
              <w:t>1. User authentication flow</w:t>
            </w:r>
          </w:p>
          <w:p>
            <w:pPr>
              <w:spacing w:before="20" w:after="20"/>
            </w:pPr>
            <w:r>
              <w:rPr>
                <w:rFonts w:ascii="Courier New" w:hAnsi="Courier New"/>
                <w:color w:val="1A1A1A"/>
                <w:sz w:val="18"/>
              </w:rPr>
              <w:t>2. LT creation main transaction flow</w:t>
            </w:r>
          </w:p>
          <w:p>
            <w:pPr>
              <w:spacing w:before="20" w:after="20"/>
            </w:pPr>
            <w:r>
              <w:rPr>
                <w:rFonts w:ascii="Courier New" w:hAnsi="Courier New"/>
                <w:color w:val="1A1A1A"/>
                <w:sz w:val="18"/>
              </w:rPr>
              <w:t>3. Database transaction flow</w:t>
            </w:r>
          </w:p>
          <w:p>
            <w:pPr>
              <w:spacing w:before="20" w:after="20"/>
            </w:pPr>
            <w:r>
              <w:rPr>
                <w:rFonts w:ascii="Courier New" w:hAnsi="Courier New"/>
                <w:color w:val="1A1A1A"/>
                <w:sz w:val="18"/>
              </w:rPr>
              <w:t>4. External API interaction flow</w:t>
            </w:r>
          </w:p>
        </w:tc>
      </w:tr>
    </w:tbl>
    <w:p>
      <w:pPr>
        <w:spacing w:after="120"/>
      </w:pPr>
    </w:p>
    <w:p>
      <w:r>
        <w:rPr>
          <w:rFonts w:ascii="Calibri" w:hAnsi="Calibri"/>
          <w:b/>
          <w:sz w:val="22"/>
        </w:rPr>
        <w:t>LT Creation End-to-End Sequence Diagram</w:t>
      </w:r>
      <w:r>
        <w:rPr>
          <w:rFonts w:ascii="Calibri" w:hAnsi="Calibri"/>
          <w:sz w:val="22"/>
        </w:rPr>
        <w:t xml:space="preserve"> — this is the primary sequence diagram for the CLPS system and must be generated with full fidelity to the actual code flow:</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```mermaid</w:t>
            </w:r>
          </w:p>
          <w:p>
            <w:pPr>
              <w:spacing w:before="20" w:after="20"/>
            </w:pPr>
            <w:r>
              <w:rPr>
                <w:rFonts w:ascii="Courier New" w:hAnsi="Courier New"/>
                <w:color w:val="1A1A1A"/>
                <w:sz w:val="18"/>
              </w:rPr>
              <w:t>sequenceDiagram</w:t>
            </w:r>
          </w:p>
          <w:p>
            <w:pPr>
              <w:spacing w:before="20" w:after="20"/>
            </w:pPr>
            <w:r>
              <w:rPr>
                <w:rFonts w:ascii="Courier New" w:hAnsi="Courier New"/>
                <w:color w:val="1A1A1A"/>
                <w:sz w:val="18"/>
              </w:rPr>
              <w:t xml:space="preserve">    participant Client</w:t>
            </w:r>
          </w:p>
          <w:p>
            <w:pPr>
              <w:spacing w:before="20" w:after="20"/>
            </w:pPr>
            <w:r>
              <w:rPr>
                <w:rFonts w:ascii="Courier New" w:hAnsi="Courier New"/>
                <w:color w:val="1A1A1A"/>
                <w:sz w:val="18"/>
              </w:rPr>
              <w:t xml:space="preserve">    participant CreateLTController</w:t>
            </w:r>
          </w:p>
          <w:p>
            <w:pPr>
              <w:spacing w:before="20" w:after="20"/>
            </w:pPr>
            <w:r>
              <w:rPr>
                <w:rFonts w:ascii="Courier New" w:hAnsi="Courier New"/>
                <w:color w:val="1A1A1A"/>
                <w:sz w:val="18"/>
              </w:rPr>
              <w:t xml:space="preserve">    participant CreateLTService</w:t>
            </w:r>
          </w:p>
          <w:p>
            <w:pPr>
              <w:spacing w:before="20" w:after="20"/>
            </w:pPr>
            <w:r>
              <w:rPr>
                <w:rFonts w:ascii="Courier New" w:hAnsi="Courier New"/>
                <w:color w:val="1A1A1A"/>
                <w:sz w:val="18"/>
              </w:rPr>
              <w:t xml:space="preserve">    participant CreateLTContextBuilder</w:t>
            </w:r>
          </w:p>
          <w:p>
            <w:pPr>
              <w:spacing w:before="20" w:after="20"/>
            </w:pPr>
            <w:r>
              <w:rPr>
                <w:rFonts w:ascii="Courier New" w:hAnsi="Courier New"/>
                <w:color w:val="1A1A1A"/>
                <w:sz w:val="18"/>
              </w:rPr>
              <w:t xml:space="preserve">    participant CreateLTInternalService</w:t>
            </w:r>
          </w:p>
          <w:p>
            <w:pPr>
              <w:spacing w:before="20" w:after="20"/>
            </w:pPr>
            <w:r>
              <w:rPr>
                <w:rFonts w:ascii="Courier New" w:hAnsi="Courier New"/>
                <w:color w:val="1A1A1A"/>
                <w:sz w:val="18"/>
              </w:rPr>
              <w:t xml:space="preserve">    participant Repository</w:t>
            </w:r>
          </w:p>
          <w:p>
            <w:pPr>
              <w:spacing w:before="20" w:after="20"/>
            </w:pPr>
            <w:r>
              <w:rPr>
                <w:rFonts w:ascii="Courier New" w:hAnsi="Courier New"/>
                <w:color w:val="1A1A1A"/>
                <w:sz w:val="18"/>
              </w:rPr>
              <w:t xml:space="preserve">    participant Database</w:t>
            </w:r>
          </w:p>
          <w:p>
            <w:pPr>
              <w:spacing w:before="20" w:after="20"/>
            </w:pPr>
            <w:r>
              <w:rPr>
                <w:rFonts w:ascii="Courier New" w:hAnsi="Courier New"/>
                <w:color w:val="1A1A1A"/>
                <w:sz w:val="18"/>
              </w:rPr>
            </w:r>
          </w:p>
          <w:p>
            <w:pPr>
              <w:spacing w:before="20" w:after="20"/>
            </w:pPr>
            <w:r>
              <w:rPr>
                <w:rFonts w:ascii="Courier New" w:hAnsi="Courier New"/>
                <w:color w:val="1A1A1A"/>
                <w:sz w:val="18"/>
              </w:rPr>
              <w:t xml:space="preserve">    Client-&gt;&gt;CreateLTController: POST /api/lt/create (Request)</w:t>
            </w:r>
          </w:p>
          <w:p>
            <w:pPr>
              <w:spacing w:before="20" w:after="20"/>
            </w:pPr>
            <w:r>
              <w:rPr>
                <w:rFonts w:ascii="Courier New" w:hAnsi="Courier New"/>
                <w:color w:val="1A1A1A"/>
                <w:sz w:val="18"/>
              </w:rPr>
              <w:t xml:space="preserve">    CreateLTController-&gt;&gt;CreateLTController: Validate request model</w:t>
            </w:r>
          </w:p>
          <w:p>
            <w:pPr>
              <w:spacing w:before="20" w:after="20"/>
            </w:pPr>
            <w:r>
              <w:rPr>
                <w:rFonts w:ascii="Courier New" w:hAnsi="Courier New"/>
                <w:color w:val="1A1A1A"/>
                <w:sz w:val="18"/>
              </w:rPr>
              <w:t xml:space="preserve">    CreateLTController-&gt;&gt;CreateLTService: CreateLT(request)</w:t>
            </w:r>
          </w:p>
          <w:p>
            <w:pPr>
              <w:spacing w:before="20" w:after="20"/>
            </w:pPr>
            <w:r>
              <w:rPr>
                <w:rFonts w:ascii="Courier New" w:hAnsi="Courier New"/>
                <w:color w:val="1A1A1A"/>
                <w:sz w:val="18"/>
              </w:rPr>
              <w:t xml:space="preserve">    CreateLTService-&gt;&gt;CreateLTContextBuilder: BuildContext(request)</w:t>
            </w:r>
          </w:p>
          <w:p>
            <w:pPr>
              <w:spacing w:before="20" w:after="20"/>
            </w:pPr>
            <w:r>
              <w:rPr>
                <w:rFonts w:ascii="Courier New" w:hAnsi="Courier New"/>
                <w:color w:val="1A1A1A"/>
                <w:sz w:val="18"/>
              </w:rPr>
              <w:t xml:space="preserve">    CreateLTContextBuilder-&gt;&gt;Repository: ValidateOrder(orderID)</w:t>
            </w:r>
          </w:p>
          <w:p>
            <w:pPr>
              <w:spacing w:before="20" w:after="20"/>
            </w:pPr>
            <w:r>
              <w:rPr>
                <w:rFonts w:ascii="Courier New" w:hAnsi="Courier New"/>
                <w:color w:val="1A1A1A"/>
                <w:sz w:val="18"/>
              </w:rPr>
              <w:t xml:space="preserve">    Repository-&gt;&gt;Database: SELECT Order WHERE ID=orderID</w:t>
            </w:r>
          </w:p>
          <w:p>
            <w:pPr>
              <w:spacing w:before="20" w:after="20"/>
            </w:pPr>
            <w:r>
              <w:rPr>
                <w:rFonts w:ascii="Courier New" w:hAnsi="Courier New"/>
                <w:color w:val="1A1A1A"/>
                <w:sz w:val="18"/>
              </w:rPr>
              <w:t xml:space="preserve">    Database--&gt;&gt;Repository: Order record</w:t>
            </w:r>
          </w:p>
          <w:p>
            <w:pPr>
              <w:spacing w:before="20" w:after="20"/>
            </w:pPr>
            <w:r>
              <w:rPr>
                <w:rFonts w:ascii="Courier New" w:hAnsi="Courier New"/>
                <w:color w:val="1A1A1A"/>
                <w:sz w:val="18"/>
              </w:rPr>
              <w:t xml:space="preserve">    Repository--&gt;&gt;CreateLTContextBuilder: Order validated</w:t>
            </w:r>
          </w:p>
          <w:p>
            <w:pPr>
              <w:spacing w:before="20" w:after="20"/>
            </w:pPr>
            <w:r>
              <w:rPr>
                <w:rFonts w:ascii="Courier New" w:hAnsi="Courier New"/>
                <w:color w:val="1A1A1A"/>
                <w:sz w:val="18"/>
              </w:rPr>
              <w:t xml:space="preserve">    CreateLTContextBuilder-&gt;&gt;Repository: ValidateMachine(machineID)</w:t>
            </w:r>
          </w:p>
          <w:p>
            <w:pPr>
              <w:spacing w:before="20" w:after="20"/>
            </w:pPr>
            <w:r>
              <w:rPr>
                <w:rFonts w:ascii="Courier New" w:hAnsi="Courier New"/>
                <w:color w:val="1A1A1A"/>
                <w:sz w:val="18"/>
              </w:rPr>
              <w:t xml:space="preserve">    Repository-&gt;&gt;Database: SELECT Machine WHERE ID=machineID</w:t>
            </w:r>
          </w:p>
          <w:p>
            <w:pPr>
              <w:spacing w:before="20" w:after="20"/>
            </w:pPr>
            <w:r>
              <w:rPr>
                <w:rFonts w:ascii="Courier New" w:hAnsi="Courier New"/>
                <w:color w:val="1A1A1A"/>
                <w:sz w:val="18"/>
              </w:rPr>
              <w:t xml:space="preserve">    Database--&gt;&gt;Repository: Machine record</w:t>
            </w:r>
          </w:p>
          <w:p>
            <w:pPr>
              <w:spacing w:before="20" w:after="20"/>
            </w:pPr>
            <w:r>
              <w:rPr>
                <w:rFonts w:ascii="Courier New" w:hAnsi="Courier New"/>
                <w:color w:val="1A1A1A"/>
                <w:sz w:val="18"/>
              </w:rPr>
              <w:t xml:space="preserve">    Repository--&gt;&gt;CreateLTContextBuilder: Machine validated</w:t>
            </w:r>
          </w:p>
          <w:p>
            <w:pPr>
              <w:spacing w:before="20" w:after="20"/>
            </w:pPr>
            <w:r>
              <w:rPr>
                <w:rFonts w:ascii="Courier New" w:hAnsi="Courier New"/>
                <w:color w:val="1A1A1A"/>
                <w:sz w:val="18"/>
              </w:rPr>
              <w:t xml:space="preserve">    CreateLTContextBuilder-&gt;&gt;CreateLTService: Context built</w:t>
            </w:r>
          </w:p>
          <w:p>
            <w:pPr>
              <w:spacing w:before="20" w:after="20"/>
            </w:pPr>
            <w:r>
              <w:rPr>
                <w:rFonts w:ascii="Courier New" w:hAnsi="Courier New"/>
                <w:color w:val="1A1A1A"/>
                <w:sz w:val="18"/>
              </w:rPr>
              <w:t xml:space="preserve">    CreateLTService-&gt;&gt;CreateLTInternalService: CreateLTInternal(context)</w:t>
            </w:r>
          </w:p>
          <w:p>
            <w:pPr>
              <w:spacing w:before="20" w:after="20"/>
            </w:pPr>
            <w:r>
              <w:rPr>
                <w:rFonts w:ascii="Courier New" w:hAnsi="Courier New"/>
                <w:color w:val="1A1A1A"/>
                <w:sz w:val="18"/>
              </w:rPr>
              <w:t xml:space="preserve">    CreateLTInternalService-&gt;&gt;Database: BEGIN TRANSACTION</w:t>
            </w:r>
          </w:p>
          <w:p>
            <w:pPr>
              <w:spacing w:before="20" w:after="20"/>
            </w:pPr>
            <w:r>
              <w:rPr>
                <w:rFonts w:ascii="Courier New" w:hAnsi="Courier New"/>
                <w:color w:val="1A1A1A"/>
                <w:sz w:val="18"/>
              </w:rPr>
              <w:t xml:space="preserve">    CreateLTInternalService-&gt;&gt;Repository: InsertLT(ltData)</w:t>
            </w:r>
          </w:p>
          <w:p>
            <w:pPr>
              <w:spacing w:before="20" w:after="20"/>
            </w:pPr>
            <w:r>
              <w:rPr>
                <w:rFonts w:ascii="Courier New" w:hAnsi="Courier New"/>
                <w:color w:val="1A1A1A"/>
                <w:sz w:val="18"/>
              </w:rPr>
              <w:t xml:space="preserve">    Repository-&gt;&gt;Database: INSERT INTO LabelTracking</w:t>
            </w:r>
          </w:p>
          <w:p>
            <w:pPr>
              <w:spacing w:before="20" w:after="20"/>
            </w:pPr>
            <w:r>
              <w:rPr>
                <w:rFonts w:ascii="Courier New" w:hAnsi="Courier New"/>
                <w:color w:val="1A1A1A"/>
                <w:sz w:val="18"/>
              </w:rPr>
              <w:t xml:space="preserve">    CreateLTInternalService-&gt;&gt;Repository: UpdateBatch(batchData)</w:t>
            </w:r>
          </w:p>
          <w:p>
            <w:pPr>
              <w:spacing w:before="20" w:after="20"/>
            </w:pPr>
            <w:r>
              <w:rPr>
                <w:rFonts w:ascii="Courier New" w:hAnsi="Courier New"/>
                <w:color w:val="1A1A1A"/>
                <w:sz w:val="18"/>
              </w:rPr>
              <w:t xml:space="preserve">    Repository-&gt;&gt;Database: UPDATE Batch SET Count++</w:t>
            </w:r>
          </w:p>
          <w:p>
            <w:pPr>
              <w:spacing w:before="20" w:after="20"/>
            </w:pPr>
            <w:r>
              <w:rPr>
                <w:rFonts w:ascii="Courier New" w:hAnsi="Courier New"/>
                <w:color w:val="1A1A1A"/>
                <w:sz w:val="18"/>
              </w:rPr>
              <w:t xml:space="preserve">    CreateLTInternalService-&gt;&gt;Database: COMMIT TRANSACTION</w:t>
            </w:r>
          </w:p>
          <w:p>
            <w:pPr>
              <w:spacing w:before="20" w:after="20"/>
            </w:pPr>
            <w:r>
              <w:rPr>
                <w:rFonts w:ascii="Courier New" w:hAnsi="Courier New"/>
                <w:color w:val="1A1A1A"/>
                <w:sz w:val="18"/>
              </w:rPr>
              <w:t xml:space="preserve">    CreateLTInternalService--&gt;&gt;CreateLTService: LT created (ltID)</w:t>
            </w:r>
          </w:p>
          <w:p>
            <w:pPr>
              <w:spacing w:before="20" w:after="20"/>
            </w:pPr>
            <w:r>
              <w:rPr>
                <w:rFonts w:ascii="Courier New" w:hAnsi="Courier New"/>
                <w:color w:val="1A1A1A"/>
                <w:sz w:val="18"/>
              </w:rPr>
              <w:t xml:space="preserve">    CreateLTService--&gt;&gt;CreateLTController: Success response</w:t>
            </w:r>
          </w:p>
          <w:p>
            <w:pPr>
              <w:spacing w:before="20" w:after="20"/>
            </w:pPr>
            <w:r>
              <w:rPr>
                <w:rFonts w:ascii="Courier New" w:hAnsi="Courier New"/>
                <w:color w:val="1A1A1A"/>
                <w:sz w:val="18"/>
              </w:rPr>
              <w:t xml:space="preserve">    CreateLTController--&gt;&gt;Client: 201 Created (LT details)</w:t>
            </w:r>
          </w:p>
          <w:p>
            <w:pPr>
              <w:spacing w:before="20" w:after="20"/>
            </w:pPr>
            <w:r>
              <w:rPr>
                <w:rFonts w:ascii="Courier New" w:hAnsi="Courier New"/>
                <w:color w:val="1A1A1A"/>
                <w:sz w:val="18"/>
              </w:rPr>
              <w:t>```</w:t>
            </w:r>
          </w:p>
        </w:tc>
      </w:tr>
    </w:tbl>
    <w:p>
      <w:pPr>
        <w:spacing w:after="120"/>
      </w:pPr>
    </w:p>
    <w:p>
      <w:pPr>
        <w:pStyle w:val="Heading2"/>
      </w:pPr>
      <w:r>
        <w:t>5.14 Section 14 — Data Flow Diagrams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Generate Mermaid diagrams for:</w:t>
            </w:r>
          </w:p>
          <w:p>
            <w:pPr>
              <w:spacing w:before="20" w:after="20"/>
            </w:pPr>
            <w:r>
              <w:rPr>
                <w:rFonts w:ascii="Courier New" w:hAnsi="Courier New"/>
                <w:color w:val="1A1A1A"/>
                <w:sz w:val="18"/>
              </w:rPr>
              <w:t>- Request flow (Client → Controller → Service → DB)</w:t>
            </w:r>
          </w:p>
          <w:p>
            <w:pPr>
              <w:spacing w:before="20" w:after="20"/>
            </w:pPr>
            <w:r>
              <w:rPr>
                <w:rFonts w:ascii="Courier New" w:hAnsi="Courier New"/>
                <w:color w:val="1A1A1A"/>
                <w:sz w:val="18"/>
              </w:rPr>
              <w:t>- Processing flow (Validation → Context Build → LT Creation)</w:t>
            </w:r>
          </w:p>
          <w:p>
            <w:pPr>
              <w:spacing w:before="20" w:after="20"/>
            </w:pPr>
            <w:r>
              <w:rPr>
                <w:rFonts w:ascii="Courier New" w:hAnsi="Courier New"/>
                <w:color w:val="1A1A1A"/>
                <w:sz w:val="18"/>
              </w:rPr>
              <w:t>- Response flow (DB → Service → Controller → Client)</w:t>
            </w:r>
          </w:p>
        </w:tc>
      </w:tr>
    </w:tbl>
    <w:p>
      <w:pPr>
        <w:spacing w:after="120"/>
      </w:pPr>
    </w:p>
    <w:p>
      <w:r>
        <w:rPr>
          <w:rFonts w:ascii="Calibri" w:hAnsi="Calibri"/>
          <w:b/>
          <w:sz w:val="22"/>
        </w:rPr>
        <w:t>Request Processing Flow Diagram</w:t>
      </w:r>
      <w:r>
        <w:rPr>
          <w:rFonts w:ascii="Calibri" w:hAnsi="Calibri"/>
          <w:sz w:val="22"/>
        </w:rPr>
        <w:t xml:space="preserve"> — illustrates every decision gate from authentication through to final response:</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```mermaid</w:t>
            </w:r>
          </w:p>
          <w:p>
            <w:pPr>
              <w:spacing w:before="20" w:after="20"/>
            </w:pPr>
            <w:r>
              <w:rPr>
                <w:rFonts w:ascii="Courier New" w:hAnsi="Courier New"/>
                <w:color w:val="1A1A1A"/>
                <w:sz w:val="18"/>
              </w:rPr>
              <w:t>flowchart TD</w:t>
            </w:r>
          </w:p>
          <w:p>
            <w:pPr>
              <w:spacing w:before="20" w:after="20"/>
            </w:pPr>
            <w:r>
              <w:rPr>
                <w:rFonts w:ascii="Courier New" w:hAnsi="Courier New"/>
                <w:color w:val="1A1A1A"/>
                <w:sz w:val="18"/>
              </w:rPr>
              <w:t xml:space="preserve">    A[Client Request] --&gt; B{Authentication Check}</w:t>
            </w:r>
          </w:p>
          <w:p>
            <w:pPr>
              <w:spacing w:before="20" w:after="20"/>
            </w:pPr>
            <w:r>
              <w:rPr>
                <w:rFonts w:ascii="Courier New" w:hAnsi="Courier New"/>
                <w:color w:val="1A1A1A"/>
                <w:sz w:val="18"/>
              </w:rPr>
              <w:t xml:space="preserve">    B --&gt;|Fail| C[401 Unauthorized]</w:t>
            </w:r>
          </w:p>
          <w:p>
            <w:pPr>
              <w:spacing w:before="20" w:after="20"/>
            </w:pPr>
            <w:r>
              <w:rPr>
                <w:rFonts w:ascii="Courier New" w:hAnsi="Courier New"/>
                <w:color w:val="1A1A1A"/>
                <w:sz w:val="18"/>
              </w:rPr>
              <w:t xml:space="preserve">    B --&gt;|Pass| D{Request Validation}</w:t>
            </w:r>
          </w:p>
          <w:p>
            <w:pPr>
              <w:spacing w:before="20" w:after="20"/>
            </w:pPr>
            <w:r>
              <w:rPr>
                <w:rFonts w:ascii="Courier New" w:hAnsi="Courier New"/>
                <w:color w:val="1A1A1A"/>
                <w:sz w:val="18"/>
              </w:rPr>
              <w:t xml:space="preserve">    D --&gt;|Fail| E[400 Bad Request]</w:t>
            </w:r>
          </w:p>
          <w:p>
            <w:pPr>
              <w:spacing w:before="20" w:after="20"/>
            </w:pPr>
            <w:r>
              <w:rPr>
                <w:rFonts w:ascii="Courier New" w:hAnsi="Courier New"/>
                <w:color w:val="1A1A1A"/>
                <w:sz w:val="18"/>
              </w:rPr>
              <w:t xml:space="preserve">    D --&gt;|Pass| F[Build LT Context]</w:t>
            </w:r>
          </w:p>
          <w:p>
            <w:pPr>
              <w:spacing w:before="20" w:after="20"/>
            </w:pPr>
            <w:r>
              <w:rPr>
                <w:rFonts w:ascii="Courier New" w:hAnsi="Courier New"/>
                <w:color w:val="1A1A1A"/>
                <w:sz w:val="18"/>
              </w:rPr>
              <w:t xml:space="preserve">    F --&gt; G{Order Valid?}</w:t>
            </w:r>
          </w:p>
          <w:p>
            <w:pPr>
              <w:spacing w:before="20" w:after="20"/>
            </w:pPr>
            <w:r>
              <w:rPr>
                <w:rFonts w:ascii="Courier New" w:hAnsi="Courier New"/>
                <w:color w:val="1A1A1A"/>
                <w:sz w:val="18"/>
              </w:rPr>
              <w:t xml:space="preserve">    G --&gt;|No| H[422 Order Invalid]</w:t>
            </w:r>
          </w:p>
          <w:p>
            <w:pPr>
              <w:spacing w:before="20" w:after="20"/>
            </w:pPr>
            <w:r>
              <w:rPr>
                <w:rFonts w:ascii="Courier New" w:hAnsi="Courier New"/>
                <w:color w:val="1A1A1A"/>
                <w:sz w:val="18"/>
              </w:rPr>
              <w:t xml:space="preserve">    G --&gt;|Yes| I{Machine Valid?}</w:t>
            </w:r>
          </w:p>
          <w:p>
            <w:pPr>
              <w:spacing w:before="20" w:after="20"/>
            </w:pPr>
            <w:r>
              <w:rPr>
                <w:rFonts w:ascii="Courier New" w:hAnsi="Courier New"/>
                <w:color w:val="1A1A1A"/>
                <w:sz w:val="18"/>
              </w:rPr>
              <w:t xml:space="preserve">    I --&gt;|No| J[422 Machine Invalid]</w:t>
            </w:r>
          </w:p>
          <w:p>
            <w:pPr>
              <w:spacing w:before="20" w:after="20"/>
            </w:pPr>
            <w:r>
              <w:rPr>
                <w:rFonts w:ascii="Courier New" w:hAnsi="Courier New"/>
                <w:color w:val="1A1A1A"/>
                <w:sz w:val="18"/>
              </w:rPr>
              <w:t xml:space="preserve">    I --&gt;|Yes| K{Site Resolved?}</w:t>
            </w:r>
          </w:p>
          <w:p>
            <w:pPr>
              <w:spacing w:before="20" w:after="20"/>
            </w:pPr>
            <w:r>
              <w:rPr>
                <w:rFonts w:ascii="Courier New" w:hAnsi="Courier New"/>
                <w:color w:val="1A1A1A"/>
                <w:sz w:val="18"/>
              </w:rPr>
              <w:t xml:space="preserve">    K --&gt;|No| L[422 Site Not Found]</w:t>
            </w:r>
          </w:p>
          <w:p>
            <w:pPr>
              <w:spacing w:before="20" w:after="20"/>
            </w:pPr>
            <w:r>
              <w:rPr>
                <w:rFonts w:ascii="Courier New" w:hAnsi="Courier New"/>
                <w:color w:val="1A1A1A"/>
                <w:sz w:val="18"/>
              </w:rPr>
              <w:t xml:space="preserve">    K --&gt;|Yes| M[Create LT Record]</w:t>
            </w:r>
          </w:p>
          <w:p>
            <w:pPr>
              <w:spacing w:before="20" w:after="20"/>
            </w:pPr>
            <w:r>
              <w:rPr>
                <w:rFonts w:ascii="Courier New" w:hAnsi="Courier New"/>
                <w:color w:val="1A1A1A"/>
                <w:sz w:val="18"/>
              </w:rPr>
              <w:t xml:space="preserve">    M --&gt; N{DB Transaction OK?}</w:t>
            </w:r>
          </w:p>
          <w:p>
            <w:pPr>
              <w:spacing w:before="20" w:after="20"/>
            </w:pPr>
            <w:r>
              <w:rPr>
                <w:rFonts w:ascii="Courier New" w:hAnsi="Courier New"/>
                <w:color w:val="1A1A1A"/>
                <w:sz w:val="18"/>
              </w:rPr>
              <w:t xml:space="preserve">    N --&gt;|Fail| O[500 Transaction Failed]</w:t>
            </w:r>
          </w:p>
          <w:p>
            <w:pPr>
              <w:spacing w:before="20" w:after="20"/>
            </w:pPr>
            <w:r>
              <w:rPr>
                <w:rFonts w:ascii="Courier New" w:hAnsi="Courier New"/>
                <w:color w:val="1A1A1A"/>
                <w:sz w:val="18"/>
              </w:rPr>
              <w:t xml:space="preserve">    N --&gt;|Success| P[201 LT Created]</w:t>
            </w:r>
          </w:p>
          <w:p>
            <w:pPr>
              <w:spacing w:before="20" w:after="20"/>
            </w:pPr>
            <w:r>
              <w:rPr>
                <w:rFonts w:ascii="Courier New" w:hAnsi="Courier New"/>
                <w:color w:val="1A1A1A"/>
                <w:sz w:val="18"/>
              </w:rPr>
              <w:t>```</w:t>
            </w:r>
          </w:p>
        </w:tc>
      </w:tr>
    </w:tbl>
    <w:p>
      <w:pPr>
        <w:spacing w:after="120"/>
      </w:pPr>
    </w:p>
    <w:p>
      <w:pPr>
        <w:pStyle w:val="Heading2"/>
      </w:pPr>
      <w:r>
        <w:t>5.15 Section 15 — Deployment Architecture</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Analyze hosting model:</w:t>
            </w:r>
          </w:p>
          <w:p>
            <w:pPr>
              <w:spacing w:before="20" w:after="20"/>
            </w:pPr>
            <w:r>
              <w:rPr>
                <w:rFonts w:ascii="Courier New" w:hAnsi="Courier New"/>
                <w:color w:val="1A1A1A"/>
                <w:sz w:val="18"/>
              </w:rPr>
              <w:t>- IIS / Docker / Kubernetes / Azure / AWS</w:t>
            </w:r>
          </w:p>
          <w:p>
            <w:pPr>
              <w:spacing w:before="20" w:after="20"/>
            </w:pPr>
            <w:r>
              <w:rPr>
                <w:rFonts w:ascii="Courier New" w:hAnsi="Courier New"/>
                <w:color w:val="1A1A1A"/>
                <w:sz w:val="18"/>
              </w:rPr>
            </w:r>
          </w:p>
          <w:p>
            <w:pPr>
              <w:spacing w:before="20" w:after="20"/>
            </w:pPr>
            <w:r>
              <w:rPr>
                <w:rFonts w:ascii="Courier New" w:hAnsi="Courier New"/>
                <w:color w:val="1A1A1A"/>
                <w:sz w:val="18"/>
              </w:rPr>
              <w:t>Generate deployment diagram.</w:t>
            </w:r>
          </w:p>
          <w:p>
            <w:pPr>
              <w:spacing w:before="20" w:after="20"/>
            </w:pPr>
            <w:r>
              <w:rPr>
                <w:rFonts w:ascii="Courier New" w:hAnsi="Courier New"/>
                <w:color w:val="1A1A1A"/>
                <w:sz w:val="18"/>
              </w:rPr>
            </w:r>
          </w:p>
          <w:p>
            <w:pPr>
              <w:spacing w:before="20" w:after="20"/>
            </w:pPr>
            <w:r>
              <w:rPr>
                <w:rFonts w:ascii="Courier New" w:hAnsi="Courier New"/>
                <w:color w:val="1A1A1A"/>
                <w:sz w:val="18"/>
              </w:rPr>
              <w:t>Document environments:</w:t>
            </w:r>
          </w:p>
          <w:p>
            <w:pPr>
              <w:spacing w:before="20" w:after="20"/>
            </w:pPr>
            <w:r>
              <w:rPr>
                <w:rFonts w:ascii="Courier New" w:hAnsi="Courier New"/>
                <w:color w:val="1A1A1A"/>
                <w:sz w:val="18"/>
              </w:rPr>
              <w:t>- Development</w:t>
            </w:r>
          </w:p>
          <w:p>
            <w:pPr>
              <w:spacing w:before="20" w:after="20"/>
            </w:pPr>
            <w:r>
              <w:rPr>
                <w:rFonts w:ascii="Courier New" w:hAnsi="Courier New"/>
                <w:color w:val="1A1A1A"/>
                <w:sz w:val="18"/>
              </w:rPr>
              <w:t>- Test / QA</w:t>
            </w:r>
          </w:p>
          <w:p>
            <w:pPr>
              <w:spacing w:before="20" w:after="20"/>
            </w:pPr>
            <w:r>
              <w:rPr>
                <w:rFonts w:ascii="Courier New" w:hAnsi="Courier New"/>
                <w:color w:val="1A1A1A"/>
                <w:sz w:val="18"/>
              </w:rPr>
              <w:t>- UAT</w:t>
            </w:r>
          </w:p>
          <w:p>
            <w:pPr>
              <w:spacing w:before="20" w:after="20"/>
            </w:pPr>
            <w:r>
              <w:rPr>
                <w:rFonts w:ascii="Courier New" w:hAnsi="Courier New"/>
                <w:color w:val="1A1A1A"/>
                <w:sz w:val="18"/>
              </w:rPr>
              <w:t>- Production</w:t>
            </w:r>
          </w:p>
          <w:p>
            <w:pPr>
              <w:spacing w:before="20" w:after="20"/>
            </w:pPr>
            <w:r>
              <w:rPr>
                <w:rFonts w:ascii="Courier New" w:hAnsi="Courier New"/>
                <w:color w:val="1A1A1A"/>
                <w:sz w:val="18"/>
              </w:rPr>
            </w:r>
          </w:p>
          <w:p>
            <w:pPr>
              <w:spacing w:before="20" w:after="20"/>
            </w:pPr>
            <w:r>
              <w:rPr>
                <w:rFonts w:ascii="Courier New" w:hAnsi="Courier New"/>
                <w:color w:val="1A1A1A"/>
                <w:sz w:val="18"/>
              </w:rPr>
              <w:t>Include:</w:t>
            </w:r>
          </w:p>
          <w:p>
            <w:pPr>
              <w:spacing w:before="20" w:after="20"/>
            </w:pPr>
            <w:r>
              <w:rPr>
                <w:rFonts w:ascii="Courier New" w:hAnsi="Courier New"/>
                <w:color w:val="1A1A1A"/>
                <w:sz w:val="18"/>
              </w:rPr>
              <w:t>- Infrastructure components</w:t>
            </w:r>
          </w:p>
          <w:p>
            <w:pPr>
              <w:spacing w:before="20" w:after="20"/>
            </w:pPr>
            <w:r>
              <w:rPr>
                <w:rFonts w:ascii="Courier New" w:hAnsi="Courier New"/>
                <w:color w:val="1A1A1A"/>
                <w:sz w:val="18"/>
              </w:rPr>
              <w:t>- Network topology</w:t>
            </w:r>
          </w:p>
          <w:p>
            <w:pPr>
              <w:spacing w:before="20" w:after="20"/>
            </w:pPr>
            <w:r>
              <w:rPr>
                <w:rFonts w:ascii="Courier New" w:hAnsi="Courier New"/>
                <w:color w:val="1A1A1A"/>
                <w:sz w:val="18"/>
              </w:rPr>
              <w:t>- Load balancing</w:t>
            </w:r>
          </w:p>
          <w:p>
            <w:pPr>
              <w:spacing w:before="20" w:after="20"/>
            </w:pPr>
            <w:r>
              <w:rPr>
                <w:rFonts w:ascii="Courier New" w:hAnsi="Courier New"/>
                <w:color w:val="1A1A1A"/>
                <w:sz w:val="18"/>
              </w:rPr>
              <w:t>- Database clustering</w:t>
            </w:r>
          </w:p>
          <w:p>
            <w:pPr>
              <w:spacing w:before="20" w:after="20"/>
            </w:pPr>
            <w:r>
              <w:rPr>
                <w:rFonts w:ascii="Courier New" w:hAnsi="Courier New"/>
                <w:color w:val="1A1A1A"/>
                <w:sz w:val="18"/>
              </w:rPr>
              <w:t>- Secrets management</w:t>
            </w:r>
          </w:p>
        </w:tc>
      </w:tr>
    </w:tbl>
    <w:p>
      <w:pPr>
        <w:spacing w:after="120"/>
      </w:pPr>
    </w:p>
    <w:p>
      <w:r>
        <w:rPr>
          <w:rFonts w:ascii="Calibri" w:hAnsi="Calibri"/>
          <w:b/>
          <w:sz w:val="22"/>
        </w:rPr>
        <w:t>Environment Configuration Matrix</w:t>
      </w:r>
      <w:r>
        <w:rPr>
          <w:rFonts w:ascii="Calibri" w:hAnsi="Calibri"/>
          <w:sz w:val="22"/>
        </w:rPr>
        <w:t xml:space="preserve"> — the AI will validate actual environment configurations against this template using </w:t>
      </w:r>
      <w:r>
        <w:rPr>
          <w:rFonts w:ascii="Courier New" w:hAnsi="Courier New"/>
          <w:sz w:val="20"/>
        </w:rPr>
        <w:t>appsettings.{Environment}.json</w:t>
      </w:r>
      <w:r>
        <w:rPr>
          <w:rFonts w:ascii="Calibri" w:hAnsi="Calibri"/>
          <w:sz w:val="22"/>
        </w:rPr>
        <w:t xml:space="preserve"> and Kubernetes manifest files: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5B6" w:val="clear"/>
          </w:tcPr>
          <w:p>
            <w:r>
              <w:rPr>
                <w:b/>
              </w:rPr>
            </w:r>
            <w:r>
              <w:rPr>
                <w:rFonts w:ascii="Calibri" w:hAnsi="Calibri"/>
                <w:b/>
                <w:color w:val="FFFFFF"/>
                <w:sz w:val="20"/>
              </w:rPr>
              <w:t>Environment</w:t>
            </w:r>
          </w:p>
        </w:tc>
        <w:tc>
          <w:tcPr>
            <w:tcW w:type="dxa" w:w="1728"/>
            <w:shd w:fill="2E75B6" w:val="clear"/>
          </w:tcPr>
          <w:p>
            <w:r>
              <w:rPr>
                <w:b/>
              </w:rPr>
            </w:r>
            <w:r>
              <w:rPr>
                <w:rFonts w:ascii="Calibri" w:hAnsi="Calibri"/>
                <w:b/>
                <w:color w:val="FFFFFF"/>
                <w:sz w:val="20"/>
              </w:rPr>
              <w:t>Hosting</w:t>
            </w:r>
          </w:p>
        </w:tc>
        <w:tc>
          <w:tcPr>
            <w:tcW w:type="dxa" w:w="1728"/>
            <w:shd w:fill="2E75B6" w:val="clear"/>
          </w:tcPr>
          <w:p>
            <w:r>
              <w:rPr>
                <w:b/>
              </w:rPr>
            </w:r>
            <w:r>
              <w:rPr>
                <w:rFonts w:ascii="Calibri" w:hAnsi="Calibri"/>
                <w:b/>
                <w:color w:val="FFFFFF"/>
                <w:sz w:val="20"/>
              </w:rPr>
              <w:t>Database</w:t>
            </w:r>
          </w:p>
        </w:tc>
        <w:tc>
          <w:tcPr>
            <w:tcW w:type="dxa" w:w="1728"/>
            <w:shd w:fill="2E75B6" w:val="clear"/>
          </w:tcPr>
          <w:p>
            <w:r>
              <w:rPr>
                <w:b/>
              </w:rPr>
            </w:r>
            <w:r>
              <w:rPr>
                <w:rFonts w:ascii="Calibri" w:hAnsi="Calibri"/>
                <w:b/>
                <w:color w:val="FFFFFF"/>
                <w:sz w:val="20"/>
              </w:rPr>
              <w:t>Auth Provider</w:t>
            </w:r>
          </w:p>
        </w:tc>
        <w:tc>
          <w:tcPr>
            <w:tcW w:type="dxa" w:w="1728"/>
            <w:shd w:fill="2E75B6" w:val="clear"/>
          </w:tcPr>
          <w:p>
            <w:r>
              <w:rPr>
                <w:b/>
              </w:rPr>
            </w:r>
            <w:r>
              <w:rPr>
                <w:rFonts w:ascii="Calibri" w:hAnsi="Calibri"/>
                <w:b/>
                <w:color w:val="FFFFFF"/>
                <w:sz w:val="20"/>
              </w:rPr>
              <w:t>Logging Destination</w:t>
            </w:r>
          </w:p>
        </w:tc>
      </w:tr>
      <w:tr>
        <w:tc>
          <w:tcPr>
            <w:tcW w:type="dxa" w:w="1728"/>
            <w:shd w:fill="F2F2F2" w:val="clear"/>
          </w:tcPr>
          <w:p>
            <w:r/>
            <w:r>
              <w:rPr>
                <w:rFonts w:ascii="Calibri" w:hAnsi="Calibri"/>
                <w:sz w:val="20"/>
              </w:rPr>
              <w:t>Development</w:t>
            </w:r>
          </w:p>
        </w:tc>
        <w:tc>
          <w:tcPr>
            <w:tcW w:type="dxa" w:w="1728"/>
            <w:shd w:fill="F2F2F2" w:val="clear"/>
          </w:tcPr>
          <w:p>
            <w:r/>
            <w:r>
              <w:rPr>
                <w:rFonts w:ascii="Calibri" w:hAnsi="Calibri"/>
                <w:sz w:val="20"/>
              </w:rPr>
              <w:t>Local IIS or Docker Desktop</w:t>
            </w:r>
          </w:p>
        </w:tc>
        <w:tc>
          <w:tcPr>
            <w:tcW w:type="dxa" w:w="1728"/>
            <w:shd w:fill="F2F2F2" w:val="clear"/>
          </w:tcPr>
          <w:p>
            <w:r/>
            <w:r>
              <w:rPr>
                <w:rFonts w:ascii="Calibri" w:hAnsi="Calibri"/>
                <w:sz w:val="20"/>
              </w:rPr>
              <w:t>Local SQL Server instance</w:t>
            </w:r>
          </w:p>
        </w:tc>
        <w:tc>
          <w:tcPr>
            <w:tcW w:type="dxa" w:w="1728"/>
            <w:shd w:fill="F2F2F2" w:val="clear"/>
          </w:tcPr>
          <w:p>
            <w:r/>
            <w:r>
              <w:rPr>
                <w:rFonts w:ascii="Calibri" w:hAnsi="Calibri"/>
                <w:sz w:val="20"/>
              </w:rPr>
              <w:t>Dev Azure AD tenant</w:t>
            </w:r>
          </w:p>
        </w:tc>
        <w:tc>
          <w:tcPr>
            <w:tcW w:type="dxa" w:w="1728"/>
            <w:shd w:fill="F2F2F2" w:val="clear"/>
          </w:tcPr>
          <w:p>
            <w:r/>
            <w:r>
              <w:rPr>
                <w:rFonts w:ascii="Calibri" w:hAnsi="Calibri"/>
                <w:sz w:val="20"/>
              </w:rPr>
              <w:t>Console output and local file sink</w:t>
            </w:r>
          </w:p>
        </w:tc>
      </w:tr>
      <w:tr>
        <w:tc>
          <w:tcPr>
            <w:tcW w:type="dxa" w:w="1728"/>
          </w:tcPr>
          <w:p>
            <w:r/>
            <w:r>
              <w:rPr>
                <w:rFonts w:ascii="Calibri" w:hAnsi="Calibri"/>
                <w:sz w:val="20"/>
              </w:rPr>
              <w:t>Test / QA</w:t>
            </w:r>
          </w:p>
        </w:tc>
        <w:tc>
          <w:tcPr>
            <w:tcW w:type="dxa" w:w="1728"/>
          </w:tcPr>
          <w:p>
            <w:r/>
            <w:r>
              <w:rPr>
                <w:rFonts w:ascii="Calibri" w:hAnsi="Calibri"/>
                <w:sz w:val="20"/>
              </w:rPr>
              <w:t>Docker Compose</w:t>
            </w:r>
          </w:p>
        </w:tc>
        <w:tc>
          <w:tcPr>
            <w:tcW w:type="dxa" w:w="1728"/>
          </w:tcPr>
          <w:p>
            <w:r/>
            <w:r>
              <w:rPr>
                <w:rFonts w:ascii="Calibri" w:hAnsi="Calibri"/>
                <w:sz w:val="20"/>
              </w:rPr>
              <w:t>Shared SQL Server</w:t>
            </w:r>
          </w:p>
        </w:tc>
        <w:tc>
          <w:tcPr>
            <w:tcW w:type="dxa" w:w="1728"/>
          </w:tcPr>
          <w:p>
            <w:r/>
            <w:r>
              <w:rPr>
                <w:rFonts w:ascii="Calibri" w:hAnsi="Calibri"/>
                <w:sz w:val="20"/>
              </w:rPr>
              <w:t>Test Azure AD tenant</w:t>
            </w:r>
          </w:p>
        </w:tc>
        <w:tc>
          <w:tcPr>
            <w:tcW w:type="dxa" w:w="1728"/>
          </w:tcPr>
          <w:p>
            <w:r/>
            <w:r>
              <w:rPr>
                <w:rFonts w:ascii="Calibri" w:hAnsi="Calibri"/>
                <w:sz w:val="20"/>
              </w:rPr>
              <w:t>Centralised log aggregation</w:t>
            </w:r>
          </w:p>
        </w:tc>
      </w:tr>
      <w:tr>
        <w:tc>
          <w:tcPr>
            <w:tcW w:type="dxa" w:w="1728"/>
            <w:shd w:fill="F2F2F2" w:val="clear"/>
          </w:tcPr>
          <w:p>
            <w:r/>
            <w:r>
              <w:rPr>
                <w:rFonts w:ascii="Calibri" w:hAnsi="Calibri"/>
                <w:sz w:val="20"/>
              </w:rPr>
              <w:t>UAT</w:t>
            </w:r>
          </w:p>
        </w:tc>
        <w:tc>
          <w:tcPr>
            <w:tcW w:type="dxa" w:w="1728"/>
            <w:shd w:fill="F2F2F2" w:val="clear"/>
          </w:tcPr>
          <w:p>
            <w:r/>
            <w:r>
              <w:rPr>
                <w:rFonts w:ascii="Calibri" w:hAnsi="Calibri"/>
                <w:sz w:val="20"/>
              </w:rPr>
              <w:t>Kubernetes cluster</w:t>
            </w:r>
          </w:p>
        </w:tc>
        <w:tc>
          <w:tcPr>
            <w:tcW w:type="dxa" w:w="1728"/>
            <w:shd w:fill="F2F2F2" w:val="clear"/>
          </w:tcPr>
          <w:p>
            <w:r/>
            <w:r>
              <w:rPr>
                <w:rFonts w:ascii="Calibri" w:hAnsi="Calibri"/>
                <w:sz w:val="20"/>
              </w:rPr>
              <w:t>Managed Azure SQL</w:t>
            </w:r>
          </w:p>
        </w:tc>
        <w:tc>
          <w:tcPr>
            <w:tcW w:type="dxa" w:w="1728"/>
            <w:shd w:fill="F2F2F2" w:val="clear"/>
          </w:tcPr>
          <w:p>
            <w:r/>
            <w:r>
              <w:rPr>
                <w:rFonts w:ascii="Calibri" w:hAnsi="Calibri"/>
                <w:sz w:val="20"/>
              </w:rPr>
              <w:t>Azure AD</w:t>
            </w:r>
          </w:p>
        </w:tc>
        <w:tc>
          <w:tcPr>
            <w:tcW w:type="dxa" w:w="1728"/>
            <w:shd w:fill="F2F2F2" w:val="clear"/>
          </w:tcPr>
          <w:p>
            <w:r/>
            <w:r>
              <w:rPr>
                <w:rFonts w:ascii="Calibri" w:hAnsi="Calibri"/>
                <w:sz w:val="20"/>
              </w:rPr>
              <w:t>Azure Monitor and Log Analytics</w:t>
            </w:r>
          </w:p>
        </w:tc>
      </w:tr>
      <w:tr>
        <w:tc>
          <w:tcPr>
            <w:tcW w:type="dxa" w:w="1728"/>
          </w:tcPr>
          <w:p>
            <w:r/>
            <w:r>
              <w:rPr>
                <w:rFonts w:ascii="Calibri" w:hAnsi="Calibri"/>
                <w:sz w:val="20"/>
              </w:rPr>
              <w:t>Production</w:t>
            </w:r>
          </w:p>
        </w:tc>
        <w:tc>
          <w:tcPr>
            <w:tcW w:type="dxa" w:w="1728"/>
          </w:tcPr>
          <w:p>
            <w:r/>
            <w:r>
              <w:rPr>
                <w:rFonts w:ascii="Calibri" w:hAnsi="Calibri"/>
                <w:sz w:val="20"/>
              </w:rPr>
              <w:t>Azure Kubernetes Service (AKS)</w:t>
            </w:r>
          </w:p>
        </w:tc>
        <w:tc>
          <w:tcPr>
            <w:tcW w:type="dxa" w:w="1728"/>
          </w:tcPr>
          <w:p>
            <w:r/>
            <w:r>
              <w:rPr>
                <w:rFonts w:ascii="Calibri" w:hAnsi="Calibri"/>
                <w:sz w:val="20"/>
              </w:rPr>
              <w:t>Azure SQL with high availability</w:t>
            </w:r>
          </w:p>
        </w:tc>
        <w:tc>
          <w:tcPr>
            <w:tcW w:type="dxa" w:w="1728"/>
          </w:tcPr>
          <w:p>
            <w:r/>
            <w:r>
              <w:rPr>
                <w:rFonts w:ascii="Calibri" w:hAnsi="Calibri"/>
                <w:sz w:val="20"/>
              </w:rPr>
              <w:t>Azure AD with MFA enforced</w:t>
            </w:r>
          </w:p>
        </w:tc>
        <w:tc>
          <w:tcPr>
            <w:tcW w:type="dxa" w:w="1728"/>
          </w:tcPr>
          <w:p>
            <w:r/>
            <w:r>
              <w:rPr>
                <w:rFonts w:ascii="Calibri" w:hAnsi="Calibri"/>
                <w:sz w:val="20"/>
              </w:rPr>
              <w:t>Application Insights and Azure Monitor</w:t>
            </w:r>
          </w:p>
        </w:tc>
      </w:tr>
    </w:tbl>
    <w:p>
      <w:pPr>
        <w:pStyle w:val="Heading2"/>
      </w:pPr>
      <w:r>
        <w:t>5.16 Section 16 — Performance Analysis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Identify:</w:t>
            </w:r>
          </w:p>
          <w:p>
            <w:pPr>
              <w:spacing w:before="20" w:after="20"/>
            </w:pPr>
            <w:r>
              <w:rPr>
                <w:rFonts w:ascii="Courier New" w:hAnsi="Courier New"/>
                <w:color w:val="1A1A1A"/>
                <w:sz w:val="18"/>
              </w:rPr>
              <w:t>- Hot paths (most frequently called endpoints)</w:t>
            </w:r>
          </w:p>
          <w:p>
            <w:pPr>
              <w:spacing w:before="20" w:after="20"/>
            </w:pPr>
            <w:r>
              <w:rPr>
                <w:rFonts w:ascii="Courier New" w:hAnsi="Courier New"/>
                <w:color w:val="1A1A1A"/>
                <w:sz w:val="18"/>
              </w:rPr>
              <w:t>- Database bottlenecks (slow queries, missing indexes)</w:t>
            </w:r>
          </w:p>
          <w:p>
            <w:pPr>
              <w:spacing w:before="20" w:after="20"/>
            </w:pPr>
            <w:r>
              <w:rPr>
                <w:rFonts w:ascii="Courier New" w:hAnsi="Courier New"/>
                <w:color w:val="1A1A1A"/>
                <w:sz w:val="18"/>
              </w:rPr>
              <w:t>- Memory concerns (large object allocations)</w:t>
            </w:r>
          </w:p>
          <w:p>
            <w:pPr>
              <w:spacing w:before="20" w:after="20"/>
            </w:pPr>
            <w:r>
              <w:rPr>
                <w:rFonts w:ascii="Courier New" w:hAnsi="Courier New"/>
                <w:color w:val="1A1A1A"/>
                <w:sz w:val="18"/>
              </w:rPr>
              <w:t>- N+1 query risks (lazy loading pitfalls)</w:t>
            </w:r>
          </w:p>
          <w:p>
            <w:pPr>
              <w:spacing w:before="20" w:after="20"/>
            </w:pPr>
            <w:r>
              <w:rPr>
                <w:rFonts w:ascii="Courier New" w:hAnsi="Courier New"/>
                <w:color w:val="1A1A1A"/>
                <w:sz w:val="18"/>
              </w:rPr>
              <w:t>- Lock contention (concurrent LT creation)</w:t>
            </w:r>
          </w:p>
          <w:p>
            <w:pPr>
              <w:spacing w:before="20" w:after="20"/>
            </w:pPr>
            <w:r>
              <w:rPr>
                <w:rFonts w:ascii="Courier New" w:hAnsi="Courier New"/>
                <w:color w:val="1A1A1A"/>
                <w:sz w:val="18"/>
              </w:rPr>
              <w:t>- Caching opportunities</w:t>
            </w:r>
          </w:p>
          <w:p>
            <w:pPr>
              <w:spacing w:before="20" w:after="20"/>
            </w:pPr>
            <w:r>
              <w:rPr>
                <w:rFonts w:ascii="Courier New" w:hAnsi="Courier New"/>
                <w:color w:val="1A1A1A"/>
                <w:sz w:val="18"/>
              </w:rPr>
            </w:r>
          </w:p>
          <w:p>
            <w:pPr>
              <w:spacing w:before="20" w:after="20"/>
            </w:pPr>
            <w:r>
              <w:rPr>
                <w:rFonts w:ascii="Courier New" w:hAnsi="Courier New"/>
                <w:color w:val="1A1A1A"/>
                <w:sz w:val="18"/>
              </w:rPr>
              <w:t>Provide optimization recommendations for each finding.</w:t>
            </w:r>
          </w:p>
        </w:tc>
      </w:tr>
    </w:tbl>
    <w:p>
      <w:pPr>
        <w:spacing w:after="120"/>
      </w:pPr>
    </w:p>
    <w:p>
      <w:r>
        <w:rPr>
          <w:rFonts w:ascii="Calibri" w:hAnsi="Calibri"/>
          <w:b/>
          <w:sz w:val="22"/>
        </w:rPr>
        <w:t>Performance Risk Register</w:t>
      </w:r>
      <w:r>
        <w:rPr>
          <w:rFonts w:ascii="Calibri" w:hAnsi="Calibri"/>
          <w:sz w:val="22"/>
        </w:rPr>
        <w:t xml:space="preserve"> — the AI will populate this from query patterns, EF Core navigation property usage, and caching configuration discovered in the repository: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5B6" w:val="clear"/>
          </w:tcPr>
          <w:p>
            <w:r>
              <w:rPr>
                <w:b/>
              </w:rPr>
            </w:r>
            <w:r>
              <w:rPr>
                <w:rFonts w:ascii="Calibri" w:hAnsi="Calibri"/>
                <w:b/>
                <w:color w:val="FFFFFF"/>
                <w:sz w:val="20"/>
              </w:rPr>
              <w:t>Risk ID</w:t>
            </w:r>
          </w:p>
        </w:tc>
        <w:tc>
          <w:tcPr>
            <w:tcW w:type="dxa" w:w="1728"/>
            <w:shd w:fill="2E75B6" w:val="clear"/>
          </w:tcPr>
          <w:p>
            <w:r>
              <w:rPr>
                <w:b/>
              </w:rPr>
            </w:r>
            <w:r>
              <w:rPr>
                <w:rFonts w:ascii="Calibri" w:hAnsi="Calibri"/>
                <w:b/>
                <w:color w:val="FFFFFF"/>
                <w:sz w:val="20"/>
              </w:rPr>
              <w:t>Area</w:t>
            </w:r>
          </w:p>
        </w:tc>
        <w:tc>
          <w:tcPr>
            <w:tcW w:type="dxa" w:w="1728"/>
            <w:shd w:fill="2E75B6" w:val="clear"/>
          </w:tcPr>
          <w:p>
            <w:r>
              <w:rPr>
                <w:b/>
              </w:rPr>
            </w:r>
            <w:r>
              <w:rPr>
                <w:rFonts w:ascii="Calibri" w:hAnsi="Calibri"/>
                <w:b/>
                <w:color w:val="FFFFFF"/>
                <w:sz w:val="20"/>
              </w:rPr>
              <w:t>Issue Identified</w:t>
            </w:r>
          </w:p>
        </w:tc>
        <w:tc>
          <w:tcPr>
            <w:tcW w:type="dxa" w:w="1728"/>
            <w:shd w:fill="2E75B6" w:val="clear"/>
          </w:tcPr>
          <w:p>
            <w:r>
              <w:rPr>
                <w:b/>
              </w:rPr>
            </w:r>
            <w:r>
              <w:rPr>
                <w:rFonts w:ascii="Calibri" w:hAnsi="Calibri"/>
                <w:b/>
                <w:color w:val="FFFFFF"/>
                <w:sz w:val="20"/>
              </w:rPr>
              <w:t>Business Impact</w:t>
            </w:r>
          </w:p>
        </w:tc>
        <w:tc>
          <w:tcPr>
            <w:tcW w:type="dxa" w:w="1728"/>
            <w:shd w:fill="2E75B6" w:val="clear"/>
          </w:tcPr>
          <w:p>
            <w:r>
              <w:rPr>
                <w:b/>
              </w:rPr>
            </w:r>
            <w:r>
              <w:rPr>
                <w:rFonts w:ascii="Calibri" w:hAnsi="Calibri"/>
                <w:b/>
                <w:color w:val="FFFFFF"/>
                <w:sz w:val="20"/>
              </w:rPr>
              <w:t>Recommended Remediation</w:t>
            </w:r>
          </w:p>
        </w:tc>
      </w:tr>
      <w:tr>
        <w:tc>
          <w:tcPr>
            <w:tcW w:type="dxa" w:w="1728"/>
            <w:shd w:fill="F2F2F2" w:val="clear"/>
          </w:tcPr>
          <w:p>
            <w:r/>
            <w:r>
              <w:rPr>
                <w:rFonts w:ascii="Calibri" w:hAnsi="Calibri"/>
                <w:sz w:val="20"/>
              </w:rPr>
              <w:t>PERF-001</w:t>
            </w:r>
          </w:p>
        </w:tc>
        <w:tc>
          <w:tcPr>
            <w:tcW w:type="dxa" w:w="1728"/>
            <w:shd w:fill="F2F2F2" w:val="clear"/>
          </w:tcPr>
          <w:p>
            <w:r/>
            <w:r>
              <w:rPr>
                <w:rFonts w:ascii="Calibri" w:hAnsi="Calibri"/>
                <w:sz w:val="20"/>
              </w:rPr>
              <w:t>LT Creation</w:t>
            </w:r>
          </w:p>
        </w:tc>
        <w:tc>
          <w:tcPr>
            <w:tcW w:type="dxa" w:w="1728"/>
            <w:shd w:fill="F2F2F2" w:val="clear"/>
          </w:tcPr>
          <w:p>
            <w:r/>
            <w:r>
              <w:rPr>
                <w:rFonts w:ascii="Calibri" w:hAnsi="Calibri"/>
                <w:sz w:val="20"/>
              </w:rPr>
              <w:t>No caching for PrintMaster retrieval</w:t>
            </w:r>
          </w:p>
        </w:tc>
        <w:tc>
          <w:tcPr>
            <w:tcW w:type="dxa" w:w="1728"/>
            <w:shd w:fill="F2F2F2" w:val="clear"/>
          </w:tcPr>
          <w:p>
            <w:r/>
            <w:r>
              <w:rPr>
                <w:rFonts w:ascii="Calibri" w:hAnsi="Calibri"/>
                <w:sz w:val="20"/>
              </w:rPr>
              <w:t>High database load on every LT creation request</w:t>
            </w:r>
          </w:p>
        </w:tc>
        <w:tc>
          <w:tcPr>
            <w:tcW w:type="dxa" w:w="1728"/>
            <w:shd w:fill="F2F2F2" w:val="clear"/>
          </w:tcPr>
          <w:p>
            <w:r/>
            <w:r>
              <w:rPr>
                <w:rFonts w:ascii="Calibri" w:hAnsi="Calibri"/>
                <w:sz w:val="20"/>
              </w:rPr>
              <w:t>Cache PrintMaster records in Redis with appropriate TTL</w:t>
            </w:r>
          </w:p>
        </w:tc>
      </w:tr>
      <w:tr>
        <w:tc>
          <w:tcPr>
            <w:tcW w:type="dxa" w:w="1728"/>
          </w:tcPr>
          <w:p>
            <w:r/>
            <w:r>
              <w:rPr>
                <w:rFonts w:ascii="Calibri" w:hAnsi="Calibri"/>
                <w:sz w:val="20"/>
              </w:rPr>
              <w:t>PERF-002</w:t>
            </w:r>
          </w:p>
        </w:tc>
        <w:tc>
          <w:tcPr>
            <w:tcW w:type="dxa" w:w="1728"/>
          </w:tcPr>
          <w:p>
            <w:r/>
            <w:r>
              <w:rPr>
                <w:rFonts w:ascii="Calibri" w:hAnsi="Calibri"/>
                <w:sz w:val="20"/>
              </w:rPr>
              <w:t>Batch Query</w:t>
            </w:r>
          </w:p>
        </w:tc>
        <w:tc>
          <w:tcPr>
            <w:tcW w:type="dxa" w:w="1728"/>
          </w:tcPr>
          <w:p>
            <w:r/>
            <w:r>
              <w:rPr>
                <w:rFonts w:ascii="Calibri" w:hAnsi="Calibri"/>
                <w:sz w:val="20"/>
              </w:rPr>
              <w:t>N+1 query pattern in batch loading</w:t>
            </w:r>
          </w:p>
        </w:tc>
        <w:tc>
          <w:tcPr>
            <w:tcW w:type="dxa" w:w="1728"/>
          </w:tcPr>
          <w:p>
            <w:r/>
            <w:r>
              <w:rPr>
                <w:rFonts w:ascii="Calibri" w:hAnsi="Calibri"/>
                <w:sz w:val="20"/>
              </w:rPr>
              <w:t>Slow response times under concurrent load</w:t>
            </w:r>
          </w:p>
        </w:tc>
        <w:tc>
          <w:tcPr>
            <w:tcW w:type="dxa" w:w="1728"/>
          </w:tcPr>
          <w:p>
            <w:r/>
            <w:r>
              <w:rPr>
                <w:rFonts w:ascii="Calibri" w:hAnsi="Calibri"/>
                <w:sz w:val="20"/>
              </w:rPr>
              <w:t>Replace lazy loading with eager loading using Include()</w:t>
            </w:r>
          </w:p>
        </w:tc>
      </w:tr>
      <w:tr>
        <w:tc>
          <w:tcPr>
            <w:tcW w:type="dxa" w:w="1728"/>
            <w:shd w:fill="F2F2F2" w:val="clear"/>
          </w:tcPr>
          <w:p>
            <w:r/>
            <w:r>
              <w:rPr>
                <w:rFonts w:ascii="Calibri" w:hAnsi="Calibri"/>
                <w:sz w:val="20"/>
              </w:rPr>
              <w:t>PERF-003</w:t>
            </w:r>
          </w:p>
        </w:tc>
        <w:tc>
          <w:tcPr>
            <w:tcW w:type="dxa" w:w="1728"/>
            <w:shd w:fill="F2F2F2" w:val="clear"/>
          </w:tcPr>
          <w:p>
            <w:r/>
            <w:r>
              <w:rPr>
                <w:rFonts w:ascii="Calibri" w:hAnsi="Calibri"/>
                <w:sz w:val="20"/>
              </w:rPr>
              <w:t>LT Insert</w:t>
            </w:r>
          </w:p>
        </w:tc>
        <w:tc>
          <w:tcPr>
            <w:tcW w:type="dxa" w:w="1728"/>
            <w:shd w:fill="F2F2F2" w:val="clear"/>
          </w:tcPr>
          <w:p>
            <w:r/>
            <w:r>
              <w:rPr>
                <w:rFonts w:ascii="Calibri" w:hAnsi="Calibri"/>
                <w:sz w:val="20"/>
              </w:rPr>
              <w:t>Missing unique index on LT_Number column</w:t>
            </w:r>
          </w:p>
        </w:tc>
        <w:tc>
          <w:tcPr>
            <w:tcW w:type="dxa" w:w="1728"/>
            <w:shd w:fill="F2F2F2" w:val="clear"/>
          </w:tcPr>
          <w:p>
            <w:r/>
            <w:r>
              <w:rPr>
                <w:rFonts w:ascii="Calibri" w:hAnsi="Calibri"/>
                <w:sz w:val="20"/>
              </w:rPr>
              <w:t>Slow uniqueness check on every insert</w:t>
            </w:r>
          </w:p>
        </w:tc>
        <w:tc>
          <w:tcPr>
            <w:tcW w:type="dxa" w:w="1728"/>
            <w:shd w:fill="F2F2F2" w:val="clear"/>
          </w:tcPr>
          <w:p>
            <w:r/>
            <w:r>
              <w:rPr>
                <w:rFonts w:ascii="Calibri" w:hAnsi="Calibri"/>
                <w:sz w:val="20"/>
              </w:rPr>
              <w:t>Add a unique non-clustered index on LT_Number</w:t>
            </w:r>
          </w:p>
        </w:tc>
      </w:tr>
      <w:tr>
        <w:tc>
          <w:tcPr>
            <w:tcW w:type="dxa" w:w="1728"/>
          </w:tcPr>
          <w:p>
            <w:r/>
            <w:r>
              <w:rPr>
                <w:rFonts w:ascii="Calibri" w:hAnsi="Calibri"/>
                <w:sz w:val="20"/>
              </w:rPr>
              <w:t>PERF-004</w:t>
            </w:r>
          </w:p>
        </w:tc>
        <w:tc>
          <w:tcPr>
            <w:tcW w:type="dxa" w:w="1728"/>
          </w:tcPr>
          <w:p>
            <w:r/>
            <w:r>
              <w:rPr>
                <w:rFonts w:ascii="Calibri" w:hAnsi="Calibri"/>
                <w:sz w:val="20"/>
              </w:rPr>
              <w:t>Site Resolution</w:t>
            </w:r>
          </w:p>
        </w:tc>
        <w:tc>
          <w:tcPr>
            <w:tcW w:type="dxa" w:w="1728"/>
          </w:tcPr>
          <w:p>
            <w:r/>
            <w:r>
              <w:rPr>
                <w:rFonts w:ascii="Calibri" w:hAnsi="Calibri"/>
                <w:sz w:val="20"/>
              </w:rPr>
              <w:t>Site configuration queried per request</w:t>
            </w:r>
          </w:p>
        </w:tc>
        <w:tc>
          <w:tcPr>
            <w:tcW w:type="dxa" w:w="1728"/>
          </w:tcPr>
          <w:p>
            <w:r/>
            <w:r>
              <w:rPr>
                <w:rFonts w:ascii="Calibri" w:hAnsi="Calibri"/>
                <w:sz w:val="20"/>
              </w:rPr>
              <w:t>Repeated unnecessary database round-trips</w:t>
            </w:r>
          </w:p>
        </w:tc>
        <w:tc>
          <w:tcPr>
            <w:tcW w:type="dxa" w:w="1728"/>
          </w:tcPr>
          <w:p>
            <w:r/>
            <w:r>
              <w:rPr>
                <w:rFonts w:ascii="Calibri" w:hAnsi="Calibri"/>
                <w:sz w:val="20"/>
              </w:rPr>
              <w:t>Cache site configuration at application startup or in distributed cache</w:t>
            </w:r>
          </w:p>
        </w:tc>
      </w:tr>
      <w:tr>
        <w:tc>
          <w:tcPr>
            <w:tcW w:type="dxa" w:w="1728"/>
            <w:shd w:fill="F2F2F2" w:val="clear"/>
          </w:tcPr>
          <w:p>
            <w:r/>
            <w:r>
              <w:rPr>
                <w:rFonts w:ascii="Calibri" w:hAnsi="Calibri"/>
                <w:sz w:val="20"/>
              </w:rPr>
              <w:t>PERF-005</w:t>
            </w:r>
          </w:p>
        </w:tc>
        <w:tc>
          <w:tcPr>
            <w:tcW w:type="dxa" w:w="1728"/>
            <w:shd w:fill="F2F2F2" w:val="clear"/>
          </w:tcPr>
          <w:p>
            <w:r/>
            <w:r>
              <w:rPr>
                <w:rFonts w:ascii="Calibri" w:hAnsi="Calibri"/>
                <w:sz w:val="20"/>
              </w:rPr>
              <w:t>Concurrent LT Creation</w:t>
            </w:r>
          </w:p>
        </w:tc>
        <w:tc>
          <w:tcPr>
            <w:tcW w:type="dxa" w:w="1728"/>
            <w:shd w:fill="F2F2F2" w:val="clear"/>
          </w:tcPr>
          <w:p>
            <w:r/>
            <w:r>
              <w:rPr>
                <w:rFonts w:ascii="Calibri" w:hAnsi="Calibri"/>
                <w:sz w:val="20"/>
              </w:rPr>
              <w:t>Potential row-level lock contention on Batch table</w:t>
            </w:r>
          </w:p>
        </w:tc>
        <w:tc>
          <w:tcPr>
            <w:tcW w:type="dxa" w:w="1728"/>
            <w:shd w:fill="F2F2F2" w:val="clear"/>
          </w:tcPr>
          <w:p>
            <w:r/>
            <w:r>
              <w:rPr>
                <w:rFonts w:ascii="Calibri" w:hAnsi="Calibri"/>
                <w:sz w:val="20"/>
              </w:rPr>
              <w:t>Throughput degradation under high concurrency</w:t>
            </w:r>
          </w:p>
        </w:tc>
        <w:tc>
          <w:tcPr>
            <w:tcW w:type="dxa" w:w="1728"/>
            <w:shd w:fill="F2F2F2" w:val="clear"/>
          </w:tcPr>
          <w:p>
            <w:r/>
            <w:r>
              <w:rPr>
                <w:rFonts w:ascii="Calibri" w:hAnsi="Calibri"/>
                <w:sz w:val="20"/>
              </w:rPr>
              <w:t>Implement optimistic concurrency with row version tokens</w:t>
            </w:r>
          </w:p>
        </w:tc>
      </w:tr>
    </w:tbl>
    <w:p>
      <w:pPr>
        <w:pStyle w:val="Heading2"/>
      </w:pPr>
      <w:r>
        <w:t>5.17 Section 17 — Technical Debt Assessment</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Identify:</w:t>
            </w:r>
          </w:p>
          <w:p>
            <w:pPr>
              <w:spacing w:before="20" w:after="20"/>
            </w:pPr>
            <w:r>
              <w:rPr>
                <w:rFonts w:ascii="Courier New" w:hAnsi="Courier New"/>
                <w:color w:val="1A1A1A"/>
                <w:sz w:val="18"/>
              </w:rPr>
              <w:t>- Code smells (God classes, magic numbers, dead code)</w:t>
            </w:r>
          </w:p>
          <w:p>
            <w:pPr>
              <w:spacing w:before="20" w:after="20"/>
            </w:pPr>
            <w:r>
              <w:rPr>
                <w:rFonts w:ascii="Courier New" w:hAnsi="Courier New"/>
                <w:color w:val="1A1A1A"/>
                <w:sz w:val="18"/>
              </w:rPr>
              <w:t>- High complexity methods (cyclomatic complexity &gt; 10)</w:t>
            </w:r>
          </w:p>
          <w:p>
            <w:pPr>
              <w:spacing w:before="20" w:after="20"/>
            </w:pPr>
            <w:r>
              <w:rPr>
                <w:rFonts w:ascii="Courier New" w:hAnsi="Courier New"/>
                <w:color w:val="1A1A1A"/>
                <w:sz w:val="18"/>
              </w:rPr>
              <w:t>- Tight coupling (direct instantiation instead of DI)</w:t>
            </w:r>
          </w:p>
          <w:p>
            <w:pPr>
              <w:spacing w:before="20" w:after="20"/>
            </w:pPr>
            <w:r>
              <w:rPr>
                <w:rFonts w:ascii="Courier New" w:hAnsi="Courier New"/>
                <w:color w:val="1A1A1A"/>
                <w:sz w:val="18"/>
              </w:rPr>
              <w:t>- Code duplication</w:t>
            </w:r>
          </w:p>
          <w:p>
            <w:pPr>
              <w:spacing w:before="20" w:after="20"/>
            </w:pPr>
            <w:r>
              <w:rPr>
                <w:rFonts w:ascii="Courier New" w:hAnsi="Courier New"/>
                <w:color w:val="1A1A1A"/>
                <w:sz w:val="18"/>
              </w:rPr>
              <w:t>- SOLID violations</w:t>
            </w:r>
          </w:p>
          <w:p>
            <w:pPr>
              <w:spacing w:before="20" w:after="20"/>
            </w:pPr>
            <w:r>
              <w:rPr>
                <w:rFonts w:ascii="Courier New" w:hAnsi="Courier New"/>
                <w:color w:val="1A1A1A"/>
                <w:sz w:val="18"/>
              </w:rPr>
              <w:t>- Maintainability risks</w:t>
            </w:r>
          </w:p>
          <w:p>
            <w:pPr>
              <w:spacing w:before="20" w:after="20"/>
            </w:pPr>
            <w:r>
              <w:rPr>
                <w:rFonts w:ascii="Courier New" w:hAnsi="Courier New"/>
                <w:color w:val="1A1A1A"/>
                <w:sz w:val="18"/>
              </w:rPr>
            </w:r>
          </w:p>
          <w:p>
            <w:pPr>
              <w:spacing w:before="20" w:after="20"/>
            </w:pPr>
            <w:r>
              <w:rPr>
                <w:rFonts w:ascii="Courier New" w:hAnsi="Courier New"/>
                <w:color w:val="1A1A1A"/>
                <w:sz w:val="18"/>
              </w:rPr>
              <w:t>Create a Technical Debt Register.</w:t>
            </w:r>
          </w:p>
        </w:tc>
      </w:tr>
    </w:tbl>
    <w:p>
      <w:pPr>
        <w:spacing w:after="120"/>
      </w:pPr>
    </w:p>
    <w:p>
      <w:r>
        <w:rPr>
          <w:rFonts w:ascii="Calibri" w:hAnsi="Calibri"/>
          <w:b/>
          <w:sz w:val="22"/>
        </w:rPr>
        <w:t>Technical Debt Register</w:t>
      </w:r>
      <w:r>
        <w:rPr>
          <w:rFonts w:ascii="Calibri" w:hAnsi="Calibri"/>
          <w:sz w:val="22"/>
        </w:rPr>
        <w:t xml:space="preserve"> — the AI will populate this from static analysis of the codebase, flagging each item with severity and estimated remediation effort: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5B6" w:val="clear"/>
          </w:tcPr>
          <w:p>
            <w:r>
              <w:rPr>
                <w:b/>
              </w:rPr>
            </w:r>
            <w:r>
              <w:rPr>
                <w:rFonts w:ascii="Calibri" w:hAnsi="Calibri"/>
                <w:b/>
                <w:color w:val="FFFFFF"/>
                <w:sz w:val="20"/>
              </w:rPr>
              <w:t>Debt ID</w:t>
            </w:r>
          </w:p>
        </w:tc>
        <w:tc>
          <w:tcPr>
            <w:tcW w:type="dxa" w:w="1440"/>
            <w:shd w:fill="2E75B6" w:val="clear"/>
          </w:tcPr>
          <w:p>
            <w:r>
              <w:rPr>
                <w:b/>
              </w:rPr>
            </w:r>
            <w:r>
              <w:rPr>
                <w:rFonts w:ascii="Calibri" w:hAnsi="Calibri"/>
                <w:b/>
                <w:color w:val="FFFFFF"/>
                <w:sz w:val="20"/>
              </w:rPr>
              <w:t>Debt Type</w:t>
            </w:r>
          </w:p>
        </w:tc>
        <w:tc>
          <w:tcPr>
            <w:tcW w:type="dxa" w:w="1440"/>
            <w:shd w:fill="2E75B6" w:val="clear"/>
          </w:tcPr>
          <w:p>
            <w:r>
              <w:rPr>
                <w:b/>
              </w:rPr>
            </w:r>
            <w:r>
              <w:rPr>
                <w:rFonts w:ascii="Calibri" w:hAnsi="Calibri"/>
                <w:b/>
                <w:color w:val="FFFFFF"/>
                <w:sz w:val="20"/>
              </w:rPr>
              <w:t>Location</w:t>
            </w:r>
          </w:p>
        </w:tc>
        <w:tc>
          <w:tcPr>
            <w:tcW w:type="dxa" w:w="1440"/>
            <w:shd w:fill="2E75B6" w:val="clear"/>
          </w:tcPr>
          <w:p>
            <w:r>
              <w:rPr>
                <w:b/>
              </w:rPr>
            </w:r>
            <w:r>
              <w:rPr>
                <w:rFonts w:ascii="Calibri" w:hAnsi="Calibri"/>
                <w:b/>
                <w:color w:val="FFFFFF"/>
                <w:sz w:val="20"/>
              </w:rPr>
              <w:t>Description</w:t>
            </w:r>
          </w:p>
        </w:tc>
        <w:tc>
          <w:tcPr>
            <w:tcW w:type="dxa" w:w="1440"/>
            <w:shd w:fill="2E75B6" w:val="clear"/>
          </w:tcPr>
          <w:p>
            <w:r>
              <w:rPr>
                <w:b/>
              </w:rPr>
            </w:r>
            <w:r>
              <w:rPr>
                <w:rFonts w:ascii="Calibri" w:hAnsi="Calibri"/>
                <w:b/>
                <w:color w:val="FFFFFF"/>
                <w:sz w:val="20"/>
              </w:rPr>
              <w:t>Severity</w:t>
            </w:r>
          </w:p>
        </w:tc>
        <w:tc>
          <w:tcPr>
            <w:tcW w:type="dxa" w:w="1440"/>
            <w:shd w:fill="2E75B6" w:val="clear"/>
          </w:tcPr>
          <w:p>
            <w:r>
              <w:rPr>
                <w:b/>
              </w:rPr>
            </w:r>
            <w:r>
              <w:rPr>
                <w:rFonts w:ascii="Calibri" w:hAnsi="Calibri"/>
                <w:b/>
                <w:color w:val="FFFFFF"/>
                <w:sz w:val="20"/>
              </w:rPr>
              <w:t>Estimated Effort</w:t>
            </w:r>
          </w:p>
        </w:tc>
      </w:tr>
      <w:tr>
        <w:tc>
          <w:tcPr>
            <w:tcW w:type="dxa" w:w="1440"/>
            <w:shd w:fill="F2F2F2" w:val="clear"/>
          </w:tcPr>
          <w:p>
            <w:r/>
            <w:r>
              <w:rPr>
                <w:rFonts w:ascii="Calibri" w:hAnsi="Calibri"/>
                <w:sz w:val="20"/>
              </w:rPr>
              <w:t>TD-001</w:t>
            </w:r>
          </w:p>
        </w:tc>
        <w:tc>
          <w:tcPr>
            <w:tcW w:type="dxa" w:w="1440"/>
            <w:shd w:fill="F2F2F2" w:val="clear"/>
          </w:tcPr>
          <w:p>
            <w:r/>
            <w:r>
              <w:rPr>
                <w:rFonts w:ascii="Calibri" w:hAnsi="Calibri"/>
                <w:sz w:val="20"/>
              </w:rPr>
              <w:t>God Class</w:t>
            </w:r>
          </w:p>
        </w:tc>
        <w:tc>
          <w:tcPr>
            <w:tcW w:type="dxa" w:w="1440"/>
            <w:shd w:fill="F2F2F2" w:val="clear"/>
          </w:tcPr>
          <w:p>
            <w:r/>
            <w:r>
              <w:rPr>
                <w:rFonts w:ascii="Calibri" w:hAnsi="Calibri"/>
                <w:sz w:val="20"/>
              </w:rPr>
              <w:t>CreateLTService</w:t>
            </w:r>
          </w:p>
        </w:tc>
        <w:tc>
          <w:tcPr>
            <w:tcW w:type="dxa" w:w="1440"/>
            <w:shd w:fill="F2F2F2" w:val="clear"/>
          </w:tcPr>
          <w:p>
            <w:r/>
            <w:r>
              <w:rPr>
                <w:rFonts w:ascii="Calibri" w:hAnsi="Calibri"/>
                <w:sz w:val="20"/>
              </w:rPr>
              <w:t>Single class handles more than 15 distinct responsibilities</w:t>
            </w:r>
          </w:p>
        </w:tc>
        <w:tc>
          <w:tcPr>
            <w:tcW w:type="dxa" w:w="1440"/>
            <w:shd w:fill="F2F2F2" w:val="clear"/>
          </w:tcPr>
          <w:p>
            <w:r/>
            <w:r>
              <w:rPr>
                <w:rFonts w:ascii="Calibri" w:hAnsi="Calibri"/>
                <w:sz w:val="20"/>
              </w:rPr>
              <w:t>High</w:t>
            </w:r>
          </w:p>
        </w:tc>
        <w:tc>
          <w:tcPr>
            <w:tcW w:type="dxa" w:w="1440"/>
            <w:shd w:fill="F2F2F2" w:val="clear"/>
          </w:tcPr>
          <w:p>
            <w:r/>
            <w:r>
              <w:rPr>
                <w:rFonts w:ascii="Calibri" w:hAnsi="Calibri"/>
                <w:sz w:val="20"/>
              </w:rPr>
              <w:t>Large — requires decomposition into focused services</w:t>
            </w:r>
          </w:p>
        </w:tc>
      </w:tr>
      <w:tr>
        <w:tc>
          <w:tcPr>
            <w:tcW w:type="dxa" w:w="1440"/>
          </w:tcPr>
          <w:p>
            <w:r/>
            <w:r>
              <w:rPr>
                <w:rFonts w:ascii="Calibri" w:hAnsi="Calibri"/>
                <w:sz w:val="20"/>
              </w:rPr>
              <w:t>TD-002</w:t>
            </w:r>
          </w:p>
        </w:tc>
        <w:tc>
          <w:tcPr>
            <w:tcW w:type="dxa" w:w="1440"/>
          </w:tcPr>
          <w:p>
            <w:r/>
            <w:r>
              <w:rPr>
                <w:rFonts w:ascii="Calibri" w:hAnsi="Calibri"/>
                <w:sz w:val="20"/>
              </w:rPr>
              <w:t>Tight Coupling</w:t>
            </w:r>
          </w:p>
        </w:tc>
        <w:tc>
          <w:tcPr>
            <w:tcW w:type="dxa" w:w="1440"/>
          </w:tcPr>
          <w:p>
            <w:r/>
            <w:r>
              <w:rPr>
                <w:rFonts w:ascii="Calibri" w:hAnsi="Calibri"/>
                <w:sz w:val="20"/>
              </w:rPr>
              <w:t>Repository layer</w:t>
            </w:r>
          </w:p>
        </w:tc>
        <w:tc>
          <w:tcPr>
            <w:tcW w:type="dxa" w:w="1440"/>
          </w:tcPr>
          <w:p>
            <w:r/>
            <w:r>
              <w:rPr>
                <w:rFonts w:ascii="Calibri" w:hAnsi="Calibri"/>
                <w:sz w:val="20"/>
              </w:rPr>
              <w:t>Direct DbContext instantiation instead of injected abstraction</w:t>
            </w:r>
          </w:p>
        </w:tc>
        <w:tc>
          <w:tcPr>
            <w:tcW w:type="dxa" w:w="1440"/>
          </w:tcPr>
          <w:p>
            <w:r/>
            <w:r>
              <w:rPr>
                <w:rFonts w:ascii="Calibri" w:hAnsi="Calibri"/>
                <w:sz w:val="20"/>
              </w:rPr>
              <w:t>Medium</w:t>
            </w:r>
          </w:p>
        </w:tc>
        <w:tc>
          <w:tcPr>
            <w:tcW w:type="dxa" w:w="1440"/>
          </w:tcPr>
          <w:p>
            <w:r/>
            <w:r>
              <w:rPr>
                <w:rFonts w:ascii="Calibri" w:hAnsi="Calibri"/>
                <w:sz w:val="20"/>
              </w:rPr>
              <w:t>Medium — introduce IDbContextFactory or unit-of-work pattern</w:t>
            </w:r>
          </w:p>
        </w:tc>
      </w:tr>
      <w:tr>
        <w:tc>
          <w:tcPr>
            <w:tcW w:type="dxa" w:w="1440"/>
            <w:shd w:fill="F2F2F2" w:val="clear"/>
          </w:tcPr>
          <w:p>
            <w:r/>
            <w:r>
              <w:rPr>
                <w:rFonts w:ascii="Calibri" w:hAnsi="Calibri"/>
                <w:sz w:val="20"/>
              </w:rPr>
              <w:t>TD-003</w:t>
            </w:r>
          </w:p>
        </w:tc>
        <w:tc>
          <w:tcPr>
            <w:tcW w:type="dxa" w:w="1440"/>
            <w:shd w:fill="F2F2F2" w:val="clear"/>
          </w:tcPr>
          <w:p>
            <w:r/>
            <w:r>
              <w:rPr>
                <w:rFonts w:ascii="Calibri" w:hAnsi="Calibri"/>
                <w:sz w:val="20"/>
              </w:rPr>
              <w:t>Code Duplication</w:t>
            </w:r>
          </w:p>
        </w:tc>
        <w:tc>
          <w:tcPr>
            <w:tcW w:type="dxa" w:w="1440"/>
            <w:shd w:fill="F2F2F2" w:val="clear"/>
          </w:tcPr>
          <w:p>
            <w:r/>
            <w:r>
              <w:rPr>
                <w:rFonts w:ascii="Calibri" w:hAnsi="Calibri"/>
                <w:sz w:val="20"/>
              </w:rPr>
              <w:t>Validator classes</w:t>
            </w:r>
          </w:p>
        </w:tc>
        <w:tc>
          <w:tcPr>
            <w:tcW w:type="dxa" w:w="1440"/>
            <w:shd w:fill="F2F2F2" w:val="clear"/>
          </w:tcPr>
          <w:p>
            <w:r/>
            <w:r>
              <w:rPr>
                <w:rFonts w:ascii="Calibri" w:hAnsi="Calibri"/>
                <w:sz w:val="20"/>
              </w:rPr>
              <w:t>Order validation logic duplicated across three separate validators</w:t>
            </w:r>
          </w:p>
        </w:tc>
        <w:tc>
          <w:tcPr>
            <w:tcW w:type="dxa" w:w="1440"/>
            <w:shd w:fill="F2F2F2" w:val="clear"/>
          </w:tcPr>
          <w:p>
            <w:r/>
            <w:r>
              <w:rPr>
                <w:rFonts w:ascii="Calibri" w:hAnsi="Calibri"/>
                <w:sz w:val="20"/>
              </w:rPr>
              <w:t>Medium</w:t>
            </w:r>
          </w:p>
        </w:tc>
        <w:tc>
          <w:tcPr>
            <w:tcW w:type="dxa" w:w="1440"/>
            <w:shd w:fill="F2F2F2" w:val="clear"/>
          </w:tcPr>
          <w:p>
            <w:r/>
            <w:r>
              <w:rPr>
                <w:rFonts w:ascii="Calibri" w:hAnsi="Calibri"/>
                <w:sz w:val="20"/>
              </w:rPr>
              <w:t>Small — extract to shared OrderValidationRule</w:t>
            </w:r>
          </w:p>
        </w:tc>
      </w:tr>
      <w:tr>
        <w:tc>
          <w:tcPr>
            <w:tcW w:type="dxa" w:w="1440"/>
          </w:tcPr>
          <w:p>
            <w:r/>
            <w:r>
              <w:rPr>
                <w:rFonts w:ascii="Calibri" w:hAnsi="Calibri"/>
                <w:sz w:val="20"/>
              </w:rPr>
              <w:t>TD-004</w:t>
            </w:r>
          </w:p>
        </w:tc>
        <w:tc>
          <w:tcPr>
            <w:tcW w:type="dxa" w:w="1440"/>
          </w:tcPr>
          <w:p>
            <w:r/>
            <w:r>
              <w:rPr>
                <w:rFonts w:ascii="Calibri" w:hAnsi="Calibri"/>
                <w:sz w:val="20"/>
              </w:rPr>
              <w:t>Magic Numbers</w:t>
            </w:r>
          </w:p>
        </w:tc>
        <w:tc>
          <w:tcPr>
            <w:tcW w:type="dxa" w:w="1440"/>
          </w:tcPr>
          <w:p>
            <w:r/>
            <w:r>
              <w:rPr>
                <w:rFonts w:ascii="Calibri" w:hAnsi="Calibri"/>
                <w:sz w:val="20"/>
              </w:rPr>
              <w:t>CreateLTInternalService</w:t>
            </w:r>
          </w:p>
        </w:tc>
        <w:tc>
          <w:tcPr>
            <w:tcW w:type="dxa" w:w="1440"/>
          </w:tcPr>
          <w:p>
            <w:r/>
            <w:r>
              <w:rPr>
                <w:rFonts w:ascii="Calibri" w:hAnsi="Calibri"/>
                <w:sz w:val="20"/>
              </w:rPr>
              <w:t>Hardcoded batch capacity limits with no named constants</w:t>
            </w:r>
          </w:p>
        </w:tc>
        <w:tc>
          <w:tcPr>
            <w:tcW w:type="dxa" w:w="1440"/>
          </w:tcPr>
          <w:p>
            <w:r/>
            <w:r>
              <w:rPr>
                <w:rFonts w:ascii="Calibri" w:hAnsi="Calibri"/>
                <w:sz w:val="20"/>
              </w:rPr>
              <w:t>Low</w:t>
            </w:r>
          </w:p>
        </w:tc>
        <w:tc>
          <w:tcPr>
            <w:tcW w:type="dxa" w:w="1440"/>
          </w:tcPr>
          <w:p>
            <w:r/>
            <w:r>
              <w:rPr>
                <w:rFonts w:ascii="Calibri" w:hAnsi="Calibri"/>
                <w:sz w:val="20"/>
              </w:rPr>
              <w:t>Small — replace with named configuration constants</w:t>
            </w:r>
          </w:p>
        </w:tc>
      </w:tr>
      <w:tr>
        <w:tc>
          <w:tcPr>
            <w:tcW w:type="dxa" w:w="1440"/>
            <w:shd w:fill="F2F2F2" w:val="clear"/>
          </w:tcPr>
          <w:p>
            <w:r/>
            <w:r>
              <w:rPr>
                <w:rFonts w:ascii="Calibri" w:hAnsi="Calibri"/>
                <w:sz w:val="20"/>
              </w:rPr>
              <w:t>TD-005</w:t>
            </w:r>
          </w:p>
        </w:tc>
        <w:tc>
          <w:tcPr>
            <w:tcW w:type="dxa" w:w="1440"/>
            <w:shd w:fill="F2F2F2" w:val="clear"/>
          </w:tcPr>
          <w:p>
            <w:r/>
            <w:r>
              <w:rPr>
                <w:rFonts w:ascii="Calibri" w:hAnsi="Calibri"/>
                <w:sz w:val="20"/>
              </w:rPr>
              <w:t>SOLID — SRP Violation</w:t>
            </w:r>
          </w:p>
        </w:tc>
        <w:tc>
          <w:tcPr>
            <w:tcW w:type="dxa" w:w="1440"/>
            <w:shd w:fill="F2F2F2" w:val="clear"/>
          </w:tcPr>
          <w:p>
            <w:r/>
            <w:r>
              <w:rPr>
                <w:rFonts w:ascii="Calibri" w:hAnsi="Calibri"/>
                <w:sz w:val="20"/>
              </w:rPr>
              <w:t>CreateLTContextBuilder</w:t>
            </w:r>
          </w:p>
        </w:tc>
        <w:tc>
          <w:tcPr>
            <w:tcW w:type="dxa" w:w="1440"/>
            <w:shd w:fill="F2F2F2" w:val="clear"/>
          </w:tcPr>
          <w:p>
            <w:r/>
            <w:r>
              <w:rPr>
                <w:rFonts w:ascii="Calibri" w:hAnsi="Calibri"/>
                <w:sz w:val="20"/>
              </w:rPr>
              <w:t>Class simultaneously builds context, performs validation, and writes logs</w:t>
            </w:r>
          </w:p>
        </w:tc>
        <w:tc>
          <w:tcPr>
            <w:tcW w:type="dxa" w:w="1440"/>
            <w:shd w:fill="F2F2F2" w:val="clear"/>
          </w:tcPr>
          <w:p>
            <w:r/>
            <w:r>
              <w:rPr>
                <w:rFonts w:ascii="Calibri" w:hAnsi="Calibri"/>
                <w:sz w:val="20"/>
              </w:rPr>
              <w:t>Medium</w:t>
            </w:r>
          </w:p>
        </w:tc>
        <w:tc>
          <w:tcPr>
            <w:tcW w:type="dxa" w:w="1440"/>
            <w:shd w:fill="F2F2F2" w:val="clear"/>
          </w:tcPr>
          <w:p>
            <w:r/>
            <w:r>
              <w:rPr>
                <w:rFonts w:ascii="Calibri" w:hAnsi="Calibri"/>
                <w:sz w:val="20"/>
              </w:rPr>
              <w:t>Medium — separate concerns into dedicated classes</w:t>
            </w:r>
          </w:p>
        </w:tc>
      </w:tr>
      <w:tr>
        <w:tc>
          <w:tcPr>
            <w:tcW w:type="dxa" w:w="1440"/>
          </w:tcPr>
          <w:p>
            <w:r/>
            <w:r>
              <w:rPr>
                <w:rFonts w:ascii="Calibri" w:hAnsi="Calibri"/>
                <w:sz w:val="20"/>
              </w:rPr>
              <w:t>TD-006</w:t>
            </w:r>
          </w:p>
        </w:tc>
        <w:tc>
          <w:tcPr>
            <w:tcW w:type="dxa" w:w="1440"/>
          </w:tcPr>
          <w:p>
            <w:r/>
            <w:r>
              <w:rPr>
                <w:rFonts w:ascii="Calibri" w:hAnsi="Calibri"/>
                <w:sz w:val="20"/>
              </w:rPr>
              <w:t>Dead Code</w:t>
            </w:r>
          </w:p>
        </w:tc>
        <w:tc>
          <w:tcPr>
            <w:tcW w:type="dxa" w:w="1440"/>
          </w:tcPr>
          <w:p>
            <w:r/>
            <w:r>
              <w:rPr>
                <w:rFonts w:ascii="Calibri" w:hAnsi="Calibri"/>
                <w:sz w:val="20"/>
              </w:rPr>
              <w:t>Multiple service files</w:t>
            </w:r>
          </w:p>
        </w:tc>
        <w:tc>
          <w:tcPr>
            <w:tcW w:type="dxa" w:w="1440"/>
          </w:tcPr>
          <w:p>
            <w:r/>
            <w:r>
              <w:rPr>
                <w:rFonts w:ascii="Calibri" w:hAnsi="Calibri"/>
                <w:sz w:val="20"/>
              </w:rPr>
              <w:t>Commented-out code blocks and unused private methods present</w:t>
            </w:r>
          </w:p>
        </w:tc>
        <w:tc>
          <w:tcPr>
            <w:tcW w:type="dxa" w:w="1440"/>
          </w:tcPr>
          <w:p>
            <w:r/>
            <w:r>
              <w:rPr>
                <w:rFonts w:ascii="Calibri" w:hAnsi="Calibri"/>
                <w:sz w:val="20"/>
              </w:rPr>
              <w:t>Low</w:t>
            </w:r>
          </w:p>
        </w:tc>
        <w:tc>
          <w:tcPr>
            <w:tcW w:type="dxa" w:w="1440"/>
          </w:tcPr>
          <w:p>
            <w:r/>
            <w:r>
              <w:rPr>
                <w:rFonts w:ascii="Calibri" w:hAnsi="Calibri"/>
                <w:sz w:val="20"/>
              </w:rPr>
              <w:t>Small — remove during next code review cycle</w:t>
            </w:r>
          </w:p>
        </w:tc>
      </w:tr>
    </w:tbl>
    <w:p>
      <w:pPr>
        <w:pStyle w:val="Heading2"/>
      </w:pPr>
      <w:r>
        <w:t>5.18 Section 18 — Production Readiness Review</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Assess each dimension and assign score out of 10:</w:t>
            </w:r>
          </w:p>
          <w:p>
            <w:pPr>
              <w:spacing w:before="20" w:after="20"/>
            </w:pPr>
            <w:r>
              <w:rPr>
                <w:rFonts w:ascii="Courier New" w:hAnsi="Courier New"/>
                <w:color w:val="1A1A1A"/>
                <w:sz w:val="18"/>
              </w:rPr>
              <w:t>- Reliability (error handling, retries, failover)</w:t>
            </w:r>
          </w:p>
          <w:p>
            <w:pPr>
              <w:spacing w:before="20" w:after="20"/>
            </w:pPr>
            <w:r>
              <w:rPr>
                <w:rFonts w:ascii="Courier New" w:hAnsi="Courier New"/>
                <w:color w:val="1A1A1A"/>
                <w:sz w:val="18"/>
              </w:rPr>
              <w:t>- Scalability (horizontal scaling, load balancing)</w:t>
            </w:r>
          </w:p>
          <w:p>
            <w:pPr>
              <w:spacing w:before="20" w:after="20"/>
            </w:pPr>
            <w:r>
              <w:rPr>
                <w:rFonts w:ascii="Courier New" w:hAnsi="Courier New"/>
                <w:color w:val="1A1A1A"/>
                <w:sz w:val="18"/>
              </w:rPr>
              <w:t>- Security (auth, encryption, vulnerability coverage)</w:t>
            </w:r>
          </w:p>
          <w:p>
            <w:pPr>
              <w:spacing w:before="20" w:after="20"/>
            </w:pPr>
            <w:r>
              <w:rPr>
                <w:rFonts w:ascii="Courier New" w:hAnsi="Courier New"/>
                <w:color w:val="1A1A1A"/>
                <w:sz w:val="18"/>
              </w:rPr>
              <w:t>- Maintainability (code quality, documentation)</w:t>
            </w:r>
          </w:p>
          <w:p>
            <w:pPr>
              <w:spacing w:before="20" w:after="20"/>
            </w:pPr>
            <w:r>
              <w:rPr>
                <w:rFonts w:ascii="Courier New" w:hAnsi="Courier New"/>
                <w:color w:val="1A1A1A"/>
                <w:sz w:val="18"/>
              </w:rPr>
              <w:t>- Observability (logging, tracing, metrics)</w:t>
            </w:r>
          </w:p>
          <w:p>
            <w:pPr>
              <w:spacing w:before="20" w:after="20"/>
            </w:pPr>
            <w:r>
              <w:rPr>
                <w:rFonts w:ascii="Courier New" w:hAnsi="Courier New"/>
                <w:color w:val="1A1A1A"/>
                <w:sz w:val="18"/>
              </w:rPr>
              <w:t>- Monitoring (dashboards, health checks)</w:t>
            </w:r>
          </w:p>
          <w:p>
            <w:pPr>
              <w:spacing w:before="20" w:after="20"/>
            </w:pPr>
            <w:r>
              <w:rPr>
                <w:rFonts w:ascii="Courier New" w:hAnsi="Courier New"/>
                <w:color w:val="1A1A1A"/>
                <w:sz w:val="18"/>
              </w:rPr>
              <w:t>- Alerting (threshold alerts, on-call routing)</w:t>
            </w:r>
          </w:p>
          <w:p>
            <w:pPr>
              <w:spacing w:before="20" w:after="20"/>
            </w:pPr>
            <w:r>
              <w:rPr>
                <w:rFonts w:ascii="Courier New" w:hAnsi="Courier New"/>
                <w:color w:val="1A1A1A"/>
                <w:sz w:val="18"/>
              </w:rPr>
              <w:t>- Disaster Recovery (backup, RTO, RPO)</w:t>
            </w:r>
          </w:p>
        </w:tc>
      </w:tr>
    </w:tbl>
    <w:p>
      <w:pPr>
        <w:spacing w:after="120"/>
      </w:pPr>
    </w:p>
    <w:p>
      <w:r>
        <w:rPr>
          <w:rFonts w:ascii="Calibri" w:hAnsi="Calibri"/>
          <w:b/>
          <w:sz w:val="22"/>
        </w:rPr>
        <w:t>Production Readiness Scorecard</w:t>
      </w:r>
      <w:r>
        <w:rPr>
          <w:rFonts w:ascii="Calibri" w:hAnsi="Calibri"/>
          <w:sz w:val="22"/>
        </w:rPr>
        <w:t xml:space="preserve"> — scores are assigned by the AI based on evidence found in the repository. The template below shows the scoring framework; actual scores will vary per codebase: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5B6" w:val="clear"/>
          </w:tcPr>
          <w:p>
            <w:r>
              <w:rPr>
                <w:b/>
              </w:rPr>
            </w:r>
            <w:r>
              <w:rPr>
                <w:rFonts w:ascii="Calibri" w:hAnsi="Calibri"/>
                <w:b/>
                <w:color w:val="FFFFFF"/>
                <w:sz w:val="20"/>
              </w:rPr>
              <w:t>Dimension</w:t>
            </w:r>
          </w:p>
        </w:tc>
        <w:tc>
          <w:tcPr>
            <w:tcW w:type="dxa" w:w="2160"/>
            <w:shd w:fill="2E75B6" w:val="clear"/>
          </w:tcPr>
          <w:p>
            <w:r>
              <w:rPr>
                <w:b/>
              </w:rPr>
            </w:r>
            <w:r>
              <w:rPr>
                <w:rFonts w:ascii="Calibri" w:hAnsi="Calibri"/>
                <w:b/>
                <w:color w:val="FFFFFF"/>
                <w:sz w:val="20"/>
              </w:rPr>
              <w:t>Score /10</w:t>
            </w:r>
          </w:p>
        </w:tc>
        <w:tc>
          <w:tcPr>
            <w:tcW w:type="dxa" w:w="2160"/>
            <w:shd w:fill="2E75B6" w:val="clear"/>
          </w:tcPr>
          <w:p>
            <w:r>
              <w:rPr>
                <w:b/>
              </w:rPr>
            </w:r>
            <w:r>
              <w:rPr>
                <w:rFonts w:ascii="Calibri" w:hAnsi="Calibri"/>
                <w:b/>
                <w:color w:val="FFFFFF"/>
                <w:sz w:val="20"/>
              </w:rPr>
              <w:t>Status</w:t>
            </w:r>
          </w:p>
        </w:tc>
        <w:tc>
          <w:tcPr>
            <w:tcW w:type="dxa" w:w="2160"/>
            <w:shd w:fill="2E75B6" w:val="clear"/>
          </w:tcPr>
          <w:p>
            <w:r>
              <w:rPr>
                <w:b/>
              </w:rPr>
            </w:r>
            <w:r>
              <w:rPr>
                <w:rFonts w:ascii="Calibri" w:hAnsi="Calibri"/>
                <w:b/>
                <w:color w:val="FFFFFF"/>
                <w:sz w:val="20"/>
              </w:rPr>
              <w:t>Key Gaps to Address</w:t>
            </w:r>
          </w:p>
        </w:tc>
      </w:tr>
      <w:tr>
        <w:tc>
          <w:tcPr>
            <w:tcW w:type="dxa" w:w="2160"/>
            <w:shd w:fill="F2F2F2" w:val="clear"/>
          </w:tcPr>
          <w:p>
            <w:r/>
            <w:r>
              <w:rPr>
                <w:rFonts w:ascii="Calibri" w:hAnsi="Calibri"/>
                <w:sz w:val="20"/>
              </w:rPr>
              <w:t>Reliability</w:t>
            </w:r>
          </w:p>
        </w:tc>
        <w:tc>
          <w:tcPr>
            <w:tcW w:type="dxa" w:w="2160"/>
            <w:shd w:fill="F2F2F2" w:val="clear"/>
          </w:tcPr>
          <w:p>
            <w:r/>
            <w:r>
              <w:rPr>
                <w:rFonts w:ascii="Calibri" w:hAnsi="Calibri"/>
                <w:sz w:val="20"/>
              </w:rPr>
              <w:t>?/10</w:t>
            </w:r>
          </w:p>
        </w:tc>
        <w:tc>
          <w:tcPr>
            <w:tcW w:type="dxa" w:w="2160"/>
            <w:shd w:fill="F2F2F2" w:val="clear"/>
          </w:tcPr>
          <w:p>
            <w:r/>
            <w:r>
              <w:rPr>
                <w:rFonts w:ascii="Calibri" w:hAnsi="Calibri"/>
                <w:sz w:val="20"/>
              </w:rPr>
              <w:t>To be assessed</w:t>
            </w:r>
          </w:p>
        </w:tc>
        <w:tc>
          <w:tcPr>
            <w:tcW w:type="dxa" w:w="2160"/>
            <w:shd w:fill="F2F2F2" w:val="clear"/>
          </w:tcPr>
          <w:p>
            <w:r/>
            <w:r>
              <w:rPr>
                <w:rFonts w:ascii="Calibri" w:hAnsi="Calibri"/>
                <w:sz w:val="20"/>
              </w:rPr>
              <w:t>Error handling completeness, retry policy coverage, failover configuration</w:t>
            </w:r>
          </w:p>
        </w:tc>
      </w:tr>
      <w:tr>
        <w:tc>
          <w:tcPr>
            <w:tcW w:type="dxa" w:w="2160"/>
          </w:tcPr>
          <w:p>
            <w:r/>
            <w:r>
              <w:rPr>
                <w:rFonts w:ascii="Calibri" w:hAnsi="Calibri"/>
                <w:sz w:val="20"/>
              </w:rPr>
              <w:t>Scalability</w:t>
            </w:r>
          </w:p>
        </w:tc>
        <w:tc>
          <w:tcPr>
            <w:tcW w:type="dxa" w:w="2160"/>
          </w:tcPr>
          <w:p>
            <w:r/>
            <w:r>
              <w:rPr>
                <w:rFonts w:ascii="Calibri" w:hAnsi="Calibri"/>
                <w:sz w:val="20"/>
              </w:rPr>
              <w:t>?/10</w:t>
            </w:r>
          </w:p>
        </w:tc>
        <w:tc>
          <w:tcPr>
            <w:tcW w:type="dxa" w:w="2160"/>
          </w:tcPr>
          <w:p>
            <w:r/>
            <w:r>
              <w:rPr>
                <w:rFonts w:ascii="Calibri" w:hAnsi="Calibri"/>
                <w:sz w:val="20"/>
              </w:rPr>
              <w:t>To be assessed</w:t>
            </w:r>
          </w:p>
        </w:tc>
        <w:tc>
          <w:tcPr>
            <w:tcW w:type="dxa" w:w="2160"/>
          </w:tcPr>
          <w:p>
            <w:r/>
            <w:r>
              <w:rPr>
                <w:rFonts w:ascii="Calibri" w:hAnsi="Calibri"/>
                <w:sz w:val="20"/>
              </w:rPr>
              <w:t>Horizontal scaling readiness, stateless service design, load balancer configuration</w:t>
            </w:r>
          </w:p>
        </w:tc>
      </w:tr>
      <w:tr>
        <w:tc>
          <w:tcPr>
            <w:tcW w:type="dxa" w:w="2160"/>
            <w:shd w:fill="F2F2F2" w:val="clear"/>
          </w:tcPr>
          <w:p>
            <w:r/>
            <w:r>
              <w:rPr>
                <w:rFonts w:ascii="Calibri" w:hAnsi="Calibri"/>
                <w:sz w:val="20"/>
              </w:rPr>
              <w:t>Security</w:t>
            </w:r>
          </w:p>
        </w:tc>
        <w:tc>
          <w:tcPr>
            <w:tcW w:type="dxa" w:w="2160"/>
            <w:shd w:fill="F2F2F2" w:val="clear"/>
          </w:tcPr>
          <w:p>
            <w:r/>
            <w:r>
              <w:rPr>
                <w:rFonts w:ascii="Calibri" w:hAnsi="Calibri"/>
                <w:sz w:val="20"/>
              </w:rPr>
              <w:t>?/10</w:t>
            </w:r>
          </w:p>
        </w:tc>
        <w:tc>
          <w:tcPr>
            <w:tcW w:type="dxa" w:w="2160"/>
            <w:shd w:fill="F2F2F2" w:val="clear"/>
          </w:tcPr>
          <w:p>
            <w:r/>
            <w:r>
              <w:rPr>
                <w:rFonts w:ascii="Calibri" w:hAnsi="Calibri"/>
                <w:sz w:val="20"/>
              </w:rPr>
              <w:t>To be assessed</w:t>
            </w:r>
          </w:p>
        </w:tc>
        <w:tc>
          <w:tcPr>
            <w:tcW w:type="dxa" w:w="2160"/>
            <w:shd w:fill="F2F2F2" w:val="clear"/>
          </w:tcPr>
          <w:p>
            <w:r/>
            <w:r>
              <w:rPr>
                <w:rFonts w:ascii="Calibri" w:hAnsi="Calibri"/>
                <w:sz w:val="20"/>
              </w:rPr>
              <w:t>Authentication enforcement, secrets management, vulnerability remediation status</w:t>
            </w:r>
          </w:p>
        </w:tc>
      </w:tr>
      <w:tr>
        <w:tc>
          <w:tcPr>
            <w:tcW w:type="dxa" w:w="2160"/>
          </w:tcPr>
          <w:p>
            <w:r/>
            <w:r>
              <w:rPr>
                <w:rFonts w:ascii="Calibri" w:hAnsi="Calibri"/>
                <w:sz w:val="20"/>
              </w:rPr>
              <w:t>Maintainability</w:t>
            </w:r>
          </w:p>
        </w:tc>
        <w:tc>
          <w:tcPr>
            <w:tcW w:type="dxa" w:w="2160"/>
          </w:tcPr>
          <w:p>
            <w:r/>
            <w:r>
              <w:rPr>
                <w:rFonts w:ascii="Calibri" w:hAnsi="Calibri"/>
                <w:sz w:val="20"/>
              </w:rPr>
              <w:t>?/10</w:t>
            </w:r>
          </w:p>
        </w:tc>
        <w:tc>
          <w:tcPr>
            <w:tcW w:type="dxa" w:w="2160"/>
          </w:tcPr>
          <w:p>
            <w:r/>
            <w:r>
              <w:rPr>
                <w:rFonts w:ascii="Calibri" w:hAnsi="Calibri"/>
                <w:sz w:val="20"/>
              </w:rPr>
              <w:t>To be assessed</w:t>
            </w:r>
          </w:p>
        </w:tc>
        <w:tc>
          <w:tcPr>
            <w:tcW w:type="dxa" w:w="2160"/>
          </w:tcPr>
          <w:p>
            <w:r/>
            <w:r>
              <w:rPr>
                <w:rFonts w:ascii="Calibri" w:hAnsi="Calibri"/>
                <w:sz w:val="20"/>
              </w:rPr>
              <w:t>Code quality metrics, inline documentation, test coverage percentage</w:t>
            </w:r>
          </w:p>
        </w:tc>
      </w:tr>
      <w:tr>
        <w:tc>
          <w:tcPr>
            <w:tcW w:type="dxa" w:w="2160"/>
            <w:shd w:fill="F2F2F2" w:val="clear"/>
          </w:tcPr>
          <w:p>
            <w:r/>
            <w:r>
              <w:rPr>
                <w:rFonts w:ascii="Calibri" w:hAnsi="Calibri"/>
                <w:sz w:val="20"/>
              </w:rPr>
              <w:t>Observability</w:t>
            </w:r>
          </w:p>
        </w:tc>
        <w:tc>
          <w:tcPr>
            <w:tcW w:type="dxa" w:w="2160"/>
            <w:shd w:fill="F2F2F2" w:val="clear"/>
          </w:tcPr>
          <w:p>
            <w:r/>
            <w:r>
              <w:rPr>
                <w:rFonts w:ascii="Calibri" w:hAnsi="Calibri"/>
                <w:sz w:val="20"/>
              </w:rPr>
              <w:t>?/10</w:t>
            </w:r>
          </w:p>
        </w:tc>
        <w:tc>
          <w:tcPr>
            <w:tcW w:type="dxa" w:w="2160"/>
            <w:shd w:fill="F2F2F2" w:val="clear"/>
          </w:tcPr>
          <w:p>
            <w:r/>
            <w:r>
              <w:rPr>
                <w:rFonts w:ascii="Calibri" w:hAnsi="Calibri"/>
                <w:sz w:val="20"/>
              </w:rPr>
              <w:t>To be assessed</w:t>
            </w:r>
          </w:p>
        </w:tc>
        <w:tc>
          <w:tcPr>
            <w:tcW w:type="dxa" w:w="2160"/>
            <w:shd w:fill="F2F2F2" w:val="clear"/>
          </w:tcPr>
          <w:p>
            <w:r/>
            <w:r>
              <w:rPr>
                <w:rFonts w:ascii="Calibri" w:hAnsi="Calibri"/>
                <w:sz w:val="20"/>
              </w:rPr>
              <w:t>Structured logging completeness, distributed tracing, correlation ID propagation</w:t>
            </w:r>
          </w:p>
        </w:tc>
      </w:tr>
      <w:tr>
        <w:tc>
          <w:tcPr>
            <w:tcW w:type="dxa" w:w="2160"/>
          </w:tcPr>
          <w:p>
            <w:r/>
            <w:r>
              <w:rPr>
                <w:rFonts w:ascii="Calibri" w:hAnsi="Calibri"/>
                <w:sz w:val="20"/>
              </w:rPr>
              <w:t>Monitoring</w:t>
            </w:r>
          </w:p>
        </w:tc>
        <w:tc>
          <w:tcPr>
            <w:tcW w:type="dxa" w:w="2160"/>
          </w:tcPr>
          <w:p>
            <w:r/>
            <w:r>
              <w:rPr>
                <w:rFonts w:ascii="Calibri" w:hAnsi="Calibri"/>
                <w:sz w:val="20"/>
              </w:rPr>
              <w:t>?/10</w:t>
            </w:r>
          </w:p>
        </w:tc>
        <w:tc>
          <w:tcPr>
            <w:tcW w:type="dxa" w:w="2160"/>
          </w:tcPr>
          <w:p>
            <w:r/>
            <w:r>
              <w:rPr>
                <w:rFonts w:ascii="Calibri" w:hAnsi="Calibri"/>
                <w:sz w:val="20"/>
              </w:rPr>
              <w:t>To be assessed</w:t>
            </w:r>
          </w:p>
        </w:tc>
        <w:tc>
          <w:tcPr>
            <w:tcW w:type="dxa" w:w="2160"/>
          </w:tcPr>
          <w:p>
            <w:r/>
            <w:r>
              <w:rPr>
                <w:rFonts w:ascii="Calibri" w:hAnsi="Calibri"/>
                <w:sz w:val="20"/>
              </w:rPr>
              <w:t>Health check endpoints, dashboard coverage, synthetic monitoring</w:t>
            </w:r>
          </w:p>
        </w:tc>
      </w:tr>
      <w:tr>
        <w:tc>
          <w:tcPr>
            <w:tcW w:type="dxa" w:w="2160"/>
            <w:shd w:fill="F2F2F2" w:val="clear"/>
          </w:tcPr>
          <w:p>
            <w:r/>
            <w:r>
              <w:rPr>
                <w:rFonts w:ascii="Calibri" w:hAnsi="Calibri"/>
                <w:sz w:val="20"/>
              </w:rPr>
              <w:t>Alerting</w:t>
            </w:r>
          </w:p>
        </w:tc>
        <w:tc>
          <w:tcPr>
            <w:tcW w:type="dxa" w:w="2160"/>
            <w:shd w:fill="F2F2F2" w:val="clear"/>
          </w:tcPr>
          <w:p>
            <w:r/>
            <w:r>
              <w:rPr>
                <w:rFonts w:ascii="Calibri" w:hAnsi="Calibri"/>
                <w:sz w:val="20"/>
              </w:rPr>
              <w:t>?/10</w:t>
            </w:r>
          </w:p>
        </w:tc>
        <w:tc>
          <w:tcPr>
            <w:tcW w:type="dxa" w:w="2160"/>
            <w:shd w:fill="F2F2F2" w:val="clear"/>
          </w:tcPr>
          <w:p>
            <w:r/>
            <w:r>
              <w:rPr>
                <w:rFonts w:ascii="Calibri" w:hAnsi="Calibri"/>
                <w:sz w:val="20"/>
              </w:rPr>
              <w:t>To be assessed</w:t>
            </w:r>
          </w:p>
        </w:tc>
        <w:tc>
          <w:tcPr>
            <w:tcW w:type="dxa" w:w="2160"/>
            <w:shd w:fill="F2F2F2" w:val="clear"/>
          </w:tcPr>
          <w:p>
            <w:r/>
            <w:r>
              <w:rPr>
                <w:rFonts w:ascii="Calibri" w:hAnsi="Calibri"/>
                <w:sz w:val="20"/>
              </w:rPr>
              <w:t>Alert threshold definitions, on-call routing, escalation policies</w:t>
            </w:r>
          </w:p>
        </w:tc>
      </w:tr>
      <w:tr>
        <w:tc>
          <w:tcPr>
            <w:tcW w:type="dxa" w:w="2160"/>
          </w:tcPr>
          <w:p>
            <w:r/>
            <w:r>
              <w:rPr>
                <w:rFonts w:ascii="Calibri" w:hAnsi="Calibri"/>
                <w:sz w:val="20"/>
              </w:rPr>
              <w:t>Disaster Recovery</w:t>
            </w:r>
          </w:p>
        </w:tc>
        <w:tc>
          <w:tcPr>
            <w:tcW w:type="dxa" w:w="2160"/>
          </w:tcPr>
          <w:p>
            <w:r/>
            <w:r>
              <w:rPr>
                <w:rFonts w:ascii="Calibri" w:hAnsi="Calibri"/>
                <w:sz w:val="20"/>
              </w:rPr>
              <w:t>?/10</w:t>
            </w:r>
          </w:p>
        </w:tc>
        <w:tc>
          <w:tcPr>
            <w:tcW w:type="dxa" w:w="2160"/>
          </w:tcPr>
          <w:p>
            <w:r/>
            <w:r>
              <w:rPr>
                <w:rFonts w:ascii="Calibri" w:hAnsi="Calibri"/>
                <w:sz w:val="20"/>
              </w:rPr>
              <w:t>To be assessed</w:t>
            </w:r>
          </w:p>
        </w:tc>
        <w:tc>
          <w:tcPr>
            <w:tcW w:type="dxa" w:w="2160"/>
          </w:tcPr>
          <w:p>
            <w:r/>
            <w:r>
              <w:rPr>
                <w:rFonts w:ascii="Calibri" w:hAnsi="Calibri"/>
                <w:sz w:val="20"/>
              </w:rPr>
              <w:t>Backup frequency, documented RTO and RPO targets, recovery runbooks</w:t>
            </w:r>
          </w:p>
        </w:tc>
      </w:tr>
      <w:tr>
        <w:tc>
          <w:tcPr>
            <w:tcW w:type="dxa" w:w="2160"/>
            <w:shd w:fill="F2F2F2" w:val="clear"/>
          </w:tcPr>
          <w:p>
            <w:r/>
            <w:r>
              <w:rPr>
                <w:rFonts w:ascii="Calibri" w:hAnsi="Calibri"/>
                <w:sz w:val="20"/>
              </w:rPr>
              <w:t>OVERALL</w:t>
            </w:r>
          </w:p>
        </w:tc>
        <w:tc>
          <w:tcPr>
            <w:tcW w:type="dxa" w:w="2160"/>
            <w:shd w:fill="F2F2F2" w:val="clear"/>
          </w:tcPr>
          <w:p>
            <w:r/>
            <w:r>
              <w:rPr>
                <w:rFonts w:ascii="Calibri" w:hAnsi="Calibri"/>
                <w:sz w:val="20"/>
              </w:rPr>
              <w:t>?/80</w:t>
            </w:r>
          </w:p>
        </w:tc>
        <w:tc>
          <w:tcPr>
            <w:tcW w:type="dxa" w:w="2160"/>
            <w:shd w:fill="F2F2F2" w:val="clear"/>
          </w:tcPr>
          <w:p>
            <w:r/>
            <w:r>
              <w:rPr>
                <w:rFonts w:ascii="Calibri" w:hAnsi="Calibri"/>
                <w:sz w:val="20"/>
              </w:rPr>
              <w:t>To be assessed</w:t>
            </w:r>
          </w:p>
        </w:tc>
        <w:tc>
          <w:tcPr>
            <w:tcW w:type="dxa" w:w="2160"/>
            <w:shd w:fill="F2F2F2" w:val="clear"/>
          </w:tcPr>
          <w:p>
            <w:r/>
            <w:r>
              <w:rPr>
                <w:rFonts w:ascii="Calibri" w:hAnsi="Calibri"/>
                <w:sz w:val="20"/>
              </w:rPr>
              <w:t>Aggregate score across all dimensions</w:t>
            </w:r>
          </w:p>
        </w:tc>
      </w:tr>
    </w:tbl>
    <w:tbl>
      <w:tblPr>
        <w:tblW w:type="auto" w:w="0"/>
        <w:tblLook w:firstColumn="1" w:firstRow="1" w:lastColumn="0" w:lastRow="0" w:noHBand="0" w:noVBand="1" w:val="04A0"/>
      </w:tblPr>
      <w:tblGrid>
        <w:gridCol w:w="8640"/>
      </w:tblGrid>
      <w:tr>
        <w:tc>
          <w:tcPr>
            <w:tcW w:type="dxa" w:w="8640"/>
            <w:shd w:fill="E3EFF8" w:val="clear"/>
            <w:tcBorders>
              <w:top w:val="none"/>
              <w:left w:val="single" w:sz="24" w:color="0066CC"/>
              <w:bottom w:val="none"/>
              <w:right w:val="none"/>
            </w:tcBorders>
          </w:tcPr>
          <w:p>
            <w:pPr>
              <w:spacing w:before="80" w:after="40"/>
            </w:pPr>
            <w:r/>
            <w:r>
              <w:rPr>
                <w:rFonts w:ascii="Calibri" w:hAnsi="Calibri"/>
                <w:b/>
                <w:color w:val="0066CC"/>
                <w:sz w:val="20"/>
              </w:rPr>
              <w:t>ℹ NOTE</w:t>
            </w:r>
          </w:p>
          <w:p>
            <w:pPr>
              <w:spacing w:before="40" w:after="80"/>
            </w:pPr>
            <w:r>
              <w:rPr>
                <w:rFonts w:ascii="Calibri" w:hAnsi="Calibri"/>
                <w:sz w:val="20"/>
              </w:rPr>
              <w:t>Score Guide — 🟢 8–10: Production Ready | 🟡 5–7: Needs Improvement Before Go-Live | 🔴 0–4: Critical Risk — Do Not Deploy to Production</w:t>
            </w:r>
          </w:p>
        </w:tc>
      </w:tr>
    </w:tbl>
    <w:p>
      <w:pPr>
        <w:spacing w:after="80"/>
      </w:pPr>
    </w:p>
    <w:p>
      <w:pPr>
        <w:pStyle w:val="Heading2"/>
      </w:pPr>
      <w:r>
        <w:t>5.19 Section 19 — Recommendations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Provide prioritized recommendations across 4 time horizons:</w:t>
            </w:r>
          </w:p>
          <w:p>
            <w:pPr>
              <w:spacing w:before="20" w:after="20"/>
            </w:pPr>
            <w:r>
              <w:rPr>
                <w:rFonts w:ascii="Courier New" w:hAnsi="Courier New"/>
                <w:color w:val="1A1A1A"/>
                <w:sz w:val="18"/>
              </w:rPr>
            </w:r>
          </w:p>
          <w:p>
            <w:pPr>
              <w:spacing w:before="20" w:after="20"/>
            </w:pPr>
            <w:r>
              <w:rPr>
                <w:rFonts w:ascii="Courier New" w:hAnsi="Courier New"/>
                <w:color w:val="1A1A1A"/>
                <w:sz w:val="18"/>
              </w:rPr>
              <w:t>IMMEDIATE ACTIONS (0–30 days)</w:t>
            </w:r>
          </w:p>
          <w:p>
            <w:pPr>
              <w:spacing w:before="20" w:after="20"/>
            </w:pPr>
            <w:r>
              <w:rPr>
                <w:rFonts w:ascii="Courier New" w:hAnsi="Courier New"/>
                <w:color w:val="1A1A1A"/>
                <w:sz w:val="18"/>
              </w:rPr>
              <w:t>- Critical security fixes</w:t>
            </w:r>
          </w:p>
          <w:p>
            <w:pPr>
              <w:spacing w:before="20" w:after="20"/>
            </w:pPr>
            <w:r>
              <w:rPr>
                <w:rFonts w:ascii="Courier New" w:hAnsi="Courier New"/>
                <w:color w:val="1A1A1A"/>
                <w:sz w:val="18"/>
              </w:rPr>
              <w:t>- Production-blocking bugs</w:t>
            </w:r>
          </w:p>
          <w:p>
            <w:pPr>
              <w:spacing w:before="20" w:after="20"/>
            </w:pPr>
            <w:r>
              <w:rPr>
                <w:rFonts w:ascii="Courier New" w:hAnsi="Courier New"/>
                <w:color w:val="1A1A1A"/>
                <w:sz w:val="18"/>
              </w:rPr>
              <w:t>- Missing error handling</w:t>
            </w:r>
          </w:p>
          <w:p>
            <w:pPr>
              <w:spacing w:before="20" w:after="20"/>
            </w:pPr>
            <w:r>
              <w:rPr>
                <w:rFonts w:ascii="Courier New" w:hAnsi="Courier New"/>
                <w:color w:val="1A1A1A"/>
                <w:sz w:val="18"/>
              </w:rPr>
            </w:r>
          </w:p>
          <w:p>
            <w:pPr>
              <w:spacing w:before="20" w:after="20"/>
            </w:pPr>
            <w:r>
              <w:rPr>
                <w:rFonts w:ascii="Courier New" w:hAnsi="Courier New"/>
                <w:color w:val="1A1A1A"/>
                <w:sz w:val="18"/>
              </w:rPr>
              <w:t>SHORT-TERM IMPROVEMENTS (1–3 months)</w:t>
            </w:r>
          </w:p>
          <w:p>
            <w:pPr>
              <w:spacing w:before="20" w:after="20"/>
            </w:pPr>
            <w:r>
              <w:rPr>
                <w:rFonts w:ascii="Courier New" w:hAnsi="Courier New"/>
                <w:color w:val="1A1A1A"/>
                <w:sz w:val="18"/>
              </w:rPr>
              <w:t>- Performance optimizations</w:t>
            </w:r>
          </w:p>
          <w:p>
            <w:pPr>
              <w:spacing w:before="20" w:after="20"/>
            </w:pPr>
            <w:r>
              <w:rPr>
                <w:rFonts w:ascii="Courier New" w:hAnsi="Courier New"/>
                <w:color w:val="1A1A1A"/>
                <w:sz w:val="18"/>
              </w:rPr>
              <w:t>- Code quality improvements</w:t>
            </w:r>
          </w:p>
          <w:p>
            <w:pPr>
              <w:spacing w:before="20" w:after="20"/>
            </w:pPr>
            <w:r>
              <w:rPr>
                <w:rFonts w:ascii="Courier New" w:hAnsi="Courier New"/>
                <w:color w:val="1A1A1A"/>
                <w:sz w:val="18"/>
              </w:rPr>
              <w:t>- Test coverage gaps</w:t>
            </w:r>
          </w:p>
          <w:p>
            <w:pPr>
              <w:spacing w:before="20" w:after="20"/>
            </w:pPr>
            <w:r>
              <w:rPr>
                <w:rFonts w:ascii="Courier New" w:hAnsi="Courier New"/>
                <w:color w:val="1A1A1A"/>
                <w:sz w:val="18"/>
              </w:rPr>
            </w:r>
          </w:p>
          <w:p>
            <w:pPr>
              <w:spacing w:before="20" w:after="20"/>
            </w:pPr>
            <w:r>
              <w:rPr>
                <w:rFonts w:ascii="Courier New" w:hAnsi="Courier New"/>
                <w:color w:val="1A1A1A"/>
                <w:sz w:val="18"/>
              </w:rPr>
              <w:t>MEDIUM-TERM IMPROVEMENTS (3–6 months)</w:t>
            </w:r>
          </w:p>
          <w:p>
            <w:pPr>
              <w:spacing w:before="20" w:after="20"/>
            </w:pPr>
            <w:r>
              <w:rPr>
                <w:rFonts w:ascii="Courier New" w:hAnsi="Courier New"/>
                <w:color w:val="1A1A1A"/>
                <w:sz w:val="18"/>
              </w:rPr>
              <w:t>- Architectural refactoring</w:t>
            </w:r>
          </w:p>
          <w:p>
            <w:pPr>
              <w:spacing w:before="20" w:after="20"/>
            </w:pPr>
            <w:r>
              <w:rPr>
                <w:rFonts w:ascii="Courier New" w:hAnsi="Courier New"/>
                <w:color w:val="1A1A1A"/>
                <w:sz w:val="18"/>
              </w:rPr>
              <w:t>- Technical debt paydown</w:t>
            </w:r>
          </w:p>
          <w:p>
            <w:pPr>
              <w:spacing w:before="20" w:after="20"/>
            </w:pPr>
            <w:r>
              <w:rPr>
                <w:rFonts w:ascii="Courier New" w:hAnsi="Courier New"/>
                <w:color w:val="1A1A1A"/>
                <w:sz w:val="18"/>
              </w:rPr>
              <w:t>- Observability enhancements</w:t>
            </w:r>
          </w:p>
          <w:p>
            <w:pPr>
              <w:spacing w:before="20" w:after="20"/>
            </w:pPr>
            <w:r>
              <w:rPr>
                <w:rFonts w:ascii="Courier New" w:hAnsi="Courier New"/>
                <w:color w:val="1A1A1A"/>
                <w:sz w:val="18"/>
              </w:rPr>
            </w:r>
          </w:p>
          <w:p>
            <w:pPr>
              <w:spacing w:before="20" w:after="20"/>
            </w:pPr>
            <w:r>
              <w:rPr>
                <w:rFonts w:ascii="Courier New" w:hAnsi="Courier New"/>
                <w:color w:val="1A1A1A"/>
                <w:sz w:val="18"/>
              </w:rPr>
              <w:t>LONG-TERM MODERNIZATION ROADMAP (6–12+ months)</w:t>
            </w:r>
          </w:p>
          <w:p>
            <w:pPr>
              <w:spacing w:before="20" w:after="20"/>
            </w:pPr>
            <w:r>
              <w:rPr>
                <w:rFonts w:ascii="Courier New" w:hAnsi="Courier New"/>
                <w:color w:val="1A1A1A"/>
                <w:sz w:val="18"/>
              </w:rPr>
              <w:t>- Microservices migration (if applicable)</w:t>
            </w:r>
          </w:p>
          <w:p>
            <w:pPr>
              <w:spacing w:before="20" w:after="20"/>
            </w:pPr>
            <w:r>
              <w:rPr>
                <w:rFonts w:ascii="Courier New" w:hAnsi="Courier New"/>
                <w:color w:val="1A1A1A"/>
                <w:sz w:val="18"/>
              </w:rPr>
              <w:t>- Cloud-native adoption</w:t>
            </w:r>
          </w:p>
          <w:p>
            <w:pPr>
              <w:spacing w:before="20" w:after="20"/>
            </w:pPr>
            <w:r>
              <w:rPr>
                <w:rFonts w:ascii="Courier New" w:hAnsi="Courier New"/>
                <w:color w:val="1A1A1A"/>
                <w:sz w:val="18"/>
              </w:rPr>
              <w:t>- CI/CD pipeline maturity</w:t>
            </w:r>
          </w:p>
        </w:tc>
      </w:tr>
    </w:tbl>
    <w:p>
      <w:pPr>
        <w:spacing w:after="120"/>
      </w:pPr>
    </w:p>
    <w:p>
      <w:r>
        <w:rPr>
          <w:rFonts w:ascii="Calibri" w:hAnsi="Calibri"/>
          <w:b/>
          <w:sz w:val="22"/>
        </w:rPr>
        <w:t>Recommendations Register</w:t>
      </w:r>
      <w:r>
        <w:rPr>
          <w:rFonts w:ascii="Calibri" w:hAnsi="Calibri"/>
          <w:sz w:val="22"/>
        </w:rPr>
        <w:t xml:space="preserve"> — the AI will populate this register with findings drawn directly from Sections 10 through 18, ensuring every recommendation is traceable to a specific identified risk or debt item: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5B6" w:val="clear"/>
          </w:tcPr>
          <w:p>
            <w:r>
              <w:rPr>
                <w:b/>
              </w:rPr>
            </w:r>
            <w:r>
              <w:rPr>
                <w:rFonts w:ascii="Calibri" w:hAnsi="Calibri"/>
                <w:b/>
                <w:color w:val="FFFFFF"/>
                <w:sz w:val="20"/>
              </w:rPr>
              <w:t>ID</w:t>
            </w:r>
          </w:p>
        </w:tc>
        <w:tc>
          <w:tcPr>
            <w:tcW w:type="dxa" w:w="1440"/>
            <w:shd w:fill="2E75B6" w:val="clear"/>
          </w:tcPr>
          <w:p>
            <w:r>
              <w:rPr>
                <w:b/>
              </w:rPr>
            </w:r>
            <w:r>
              <w:rPr>
                <w:rFonts w:ascii="Calibri" w:hAnsi="Calibri"/>
                <w:b/>
                <w:color w:val="FFFFFF"/>
                <w:sz w:val="20"/>
              </w:rPr>
              <w:t>Timeline</w:t>
            </w:r>
          </w:p>
        </w:tc>
        <w:tc>
          <w:tcPr>
            <w:tcW w:type="dxa" w:w="1440"/>
            <w:shd w:fill="2E75B6" w:val="clear"/>
          </w:tcPr>
          <w:p>
            <w:r>
              <w:rPr>
                <w:b/>
              </w:rPr>
            </w:r>
            <w:r>
              <w:rPr>
                <w:rFonts w:ascii="Calibri" w:hAnsi="Calibri"/>
                <w:b/>
                <w:color w:val="FFFFFF"/>
                <w:sz w:val="20"/>
              </w:rPr>
              <w:t>Priority</w:t>
            </w:r>
          </w:p>
        </w:tc>
        <w:tc>
          <w:tcPr>
            <w:tcW w:type="dxa" w:w="1440"/>
            <w:shd w:fill="2E75B6" w:val="clear"/>
          </w:tcPr>
          <w:p>
            <w:r>
              <w:rPr>
                <w:b/>
              </w:rPr>
            </w:r>
            <w:r>
              <w:rPr>
                <w:rFonts w:ascii="Calibri" w:hAnsi="Calibri"/>
                <w:b/>
                <w:color w:val="FFFFFF"/>
                <w:sz w:val="20"/>
              </w:rPr>
              <w:t>Recommendation</w:t>
            </w:r>
          </w:p>
        </w:tc>
        <w:tc>
          <w:tcPr>
            <w:tcW w:type="dxa" w:w="1440"/>
            <w:shd w:fill="2E75B6" w:val="clear"/>
          </w:tcPr>
          <w:p>
            <w:r>
              <w:rPr>
                <w:b/>
              </w:rPr>
            </w:r>
            <w:r>
              <w:rPr>
                <w:rFonts w:ascii="Calibri" w:hAnsi="Calibri"/>
                <w:b/>
                <w:color w:val="FFFFFF"/>
                <w:sz w:val="20"/>
              </w:rPr>
              <w:t>Primary Benefit</w:t>
            </w:r>
          </w:p>
        </w:tc>
        <w:tc>
          <w:tcPr>
            <w:tcW w:type="dxa" w:w="1440"/>
            <w:shd w:fill="2E75B6" w:val="clear"/>
          </w:tcPr>
          <w:p>
            <w:r>
              <w:rPr>
                <w:b/>
              </w:rPr>
            </w:r>
            <w:r>
              <w:rPr>
                <w:rFonts w:ascii="Calibri" w:hAnsi="Calibri"/>
                <w:b/>
                <w:color w:val="FFFFFF"/>
                <w:sz w:val="20"/>
              </w:rPr>
              <w:t>Source Section</w:t>
            </w:r>
          </w:p>
        </w:tc>
      </w:tr>
      <w:tr>
        <w:tc>
          <w:tcPr>
            <w:tcW w:type="dxa" w:w="1440"/>
            <w:shd w:fill="F2F2F2" w:val="clear"/>
          </w:tcPr>
          <w:p>
            <w:r/>
            <w:r>
              <w:rPr>
                <w:rFonts w:ascii="Calibri" w:hAnsi="Calibri"/>
                <w:sz w:val="20"/>
              </w:rPr>
              <w:t>REC-001</w:t>
            </w:r>
          </w:p>
        </w:tc>
        <w:tc>
          <w:tcPr>
            <w:tcW w:type="dxa" w:w="1440"/>
            <w:shd w:fill="F2F2F2" w:val="clear"/>
          </w:tcPr>
          <w:p>
            <w:r/>
            <w:r>
              <w:rPr>
                <w:rFonts w:ascii="Calibri" w:hAnsi="Calibri"/>
                <w:sz w:val="20"/>
              </w:rPr>
              <w:t>0–30 days</w:t>
            </w:r>
          </w:p>
        </w:tc>
        <w:tc>
          <w:tcPr>
            <w:tcW w:type="dxa" w:w="1440"/>
            <w:shd w:fill="F2F2F2" w:val="clear"/>
          </w:tcPr>
          <w:p>
            <w:r/>
            <w:r>
              <w:rPr>
                <w:rFonts w:ascii="Calibri" w:hAnsi="Calibri"/>
                <w:sz w:val="20"/>
              </w:rPr>
              <w:t>Critical</w:t>
            </w:r>
          </w:p>
        </w:tc>
        <w:tc>
          <w:tcPr>
            <w:tcW w:type="dxa" w:w="1440"/>
            <w:shd w:fill="F2F2F2" w:val="clear"/>
          </w:tcPr>
          <w:p>
            <w:r/>
            <w:r>
              <w:rPr>
                <w:rFonts w:ascii="Calibri" w:hAnsi="Calibri"/>
                <w:sz w:val="20"/>
              </w:rPr>
              <w:t>Remediate all SQL injection vulnerabilities in repository layer</w:t>
            </w:r>
          </w:p>
        </w:tc>
        <w:tc>
          <w:tcPr>
            <w:tcW w:type="dxa" w:w="1440"/>
            <w:shd w:fill="F2F2F2" w:val="clear"/>
          </w:tcPr>
          <w:p>
            <w:r/>
            <w:r>
              <w:rPr>
                <w:rFonts w:ascii="Calibri" w:hAnsi="Calibri"/>
                <w:sz w:val="20"/>
              </w:rPr>
              <w:t>Security — eliminates Critical risk SEC-001</w:t>
            </w:r>
          </w:p>
        </w:tc>
        <w:tc>
          <w:tcPr>
            <w:tcW w:type="dxa" w:w="1440"/>
            <w:shd w:fill="F2F2F2" w:val="clear"/>
          </w:tcPr>
          <w:p>
            <w:r/>
            <w:r>
              <w:rPr>
                <w:rFonts w:ascii="Calibri" w:hAnsi="Calibri"/>
                <w:sz w:val="20"/>
              </w:rPr>
              <w:t>Section 10</w:t>
            </w:r>
          </w:p>
        </w:tc>
      </w:tr>
      <w:tr>
        <w:tc>
          <w:tcPr>
            <w:tcW w:type="dxa" w:w="1440"/>
          </w:tcPr>
          <w:p>
            <w:r/>
            <w:r>
              <w:rPr>
                <w:rFonts w:ascii="Calibri" w:hAnsi="Calibri"/>
                <w:sz w:val="20"/>
              </w:rPr>
              <w:t>REC-002</w:t>
            </w:r>
          </w:p>
        </w:tc>
        <w:tc>
          <w:tcPr>
            <w:tcW w:type="dxa" w:w="1440"/>
          </w:tcPr>
          <w:p>
            <w:r/>
            <w:r>
              <w:rPr>
                <w:rFonts w:ascii="Calibri" w:hAnsi="Calibri"/>
                <w:sz w:val="20"/>
              </w:rPr>
              <w:t>0–30 days</w:t>
            </w:r>
          </w:p>
        </w:tc>
        <w:tc>
          <w:tcPr>
            <w:tcW w:type="dxa" w:w="1440"/>
          </w:tcPr>
          <w:p>
            <w:r/>
            <w:r>
              <w:rPr>
                <w:rFonts w:ascii="Calibri" w:hAnsi="Calibri"/>
                <w:sz w:val="20"/>
              </w:rPr>
              <w:t>High</w:t>
            </w:r>
          </w:p>
        </w:tc>
        <w:tc>
          <w:tcPr>
            <w:tcW w:type="dxa" w:w="1440"/>
          </w:tcPr>
          <w:p>
            <w:r/>
            <w:r>
              <w:rPr>
                <w:rFonts w:ascii="Calibri" w:hAnsi="Calibri"/>
                <w:sz w:val="20"/>
              </w:rPr>
              <w:t>Migrate all connection strings and secrets to Azure Key Vault</w:t>
            </w:r>
          </w:p>
        </w:tc>
        <w:tc>
          <w:tcPr>
            <w:tcW w:type="dxa" w:w="1440"/>
          </w:tcPr>
          <w:p>
            <w:r/>
            <w:r>
              <w:rPr>
                <w:rFonts w:ascii="Calibri" w:hAnsi="Calibri"/>
                <w:sz w:val="20"/>
              </w:rPr>
              <w:t>Security — eliminates High risk SEC-003</w:t>
            </w:r>
          </w:p>
        </w:tc>
        <w:tc>
          <w:tcPr>
            <w:tcW w:type="dxa" w:w="1440"/>
          </w:tcPr>
          <w:p>
            <w:r/>
            <w:r>
              <w:rPr>
                <w:rFonts w:ascii="Calibri" w:hAnsi="Calibri"/>
                <w:sz w:val="20"/>
              </w:rPr>
              <w:t>Section 10</w:t>
            </w:r>
          </w:p>
        </w:tc>
      </w:tr>
      <w:tr>
        <w:tc>
          <w:tcPr>
            <w:tcW w:type="dxa" w:w="1440"/>
            <w:shd w:fill="F2F2F2" w:val="clear"/>
          </w:tcPr>
          <w:p>
            <w:r/>
            <w:r>
              <w:rPr>
                <w:rFonts w:ascii="Calibri" w:hAnsi="Calibri"/>
                <w:sz w:val="20"/>
              </w:rPr>
              <w:t>REC-003</w:t>
            </w:r>
          </w:p>
        </w:tc>
        <w:tc>
          <w:tcPr>
            <w:tcW w:type="dxa" w:w="1440"/>
            <w:shd w:fill="F2F2F2" w:val="clear"/>
          </w:tcPr>
          <w:p>
            <w:r/>
            <w:r>
              <w:rPr>
                <w:rFonts w:ascii="Calibri" w:hAnsi="Calibri"/>
                <w:sz w:val="20"/>
              </w:rPr>
              <w:t>0–30 days</w:t>
            </w:r>
          </w:p>
        </w:tc>
        <w:tc>
          <w:tcPr>
            <w:tcW w:type="dxa" w:w="1440"/>
            <w:shd w:fill="F2F2F2" w:val="clear"/>
          </w:tcPr>
          <w:p>
            <w:r/>
            <w:r>
              <w:rPr>
                <w:rFonts w:ascii="Calibri" w:hAnsi="Calibri"/>
                <w:sz w:val="20"/>
              </w:rPr>
              <w:t>High</w:t>
            </w:r>
          </w:p>
        </w:tc>
        <w:tc>
          <w:tcPr>
            <w:tcW w:type="dxa" w:w="1440"/>
            <w:shd w:fill="F2F2F2" w:val="clear"/>
          </w:tcPr>
          <w:p>
            <w:r/>
            <w:r>
              <w:rPr>
                <w:rFonts w:ascii="Calibri" w:hAnsi="Calibri"/>
                <w:sz w:val="20"/>
              </w:rPr>
              <w:t>Enforce JWT token expiry and implement refresh token rotation</w:t>
            </w:r>
          </w:p>
        </w:tc>
        <w:tc>
          <w:tcPr>
            <w:tcW w:type="dxa" w:w="1440"/>
            <w:shd w:fill="F2F2F2" w:val="clear"/>
          </w:tcPr>
          <w:p>
            <w:r/>
            <w:r>
              <w:rPr>
                <w:rFonts w:ascii="Calibri" w:hAnsi="Calibri"/>
                <w:sz w:val="20"/>
              </w:rPr>
              <w:t>Security — eliminates High risk SEC-002</w:t>
            </w:r>
          </w:p>
        </w:tc>
        <w:tc>
          <w:tcPr>
            <w:tcW w:type="dxa" w:w="1440"/>
            <w:shd w:fill="F2F2F2" w:val="clear"/>
          </w:tcPr>
          <w:p>
            <w:r/>
            <w:r>
              <w:rPr>
                <w:rFonts w:ascii="Calibri" w:hAnsi="Calibri"/>
                <w:sz w:val="20"/>
              </w:rPr>
              <w:t>Section 10</w:t>
            </w:r>
          </w:p>
        </w:tc>
      </w:tr>
      <w:tr>
        <w:tc>
          <w:tcPr>
            <w:tcW w:type="dxa" w:w="1440"/>
          </w:tcPr>
          <w:p>
            <w:r/>
            <w:r>
              <w:rPr>
                <w:rFonts w:ascii="Calibri" w:hAnsi="Calibri"/>
                <w:sz w:val="20"/>
              </w:rPr>
              <w:t>REC-004</w:t>
            </w:r>
          </w:p>
        </w:tc>
        <w:tc>
          <w:tcPr>
            <w:tcW w:type="dxa" w:w="1440"/>
          </w:tcPr>
          <w:p>
            <w:r/>
            <w:r>
              <w:rPr>
                <w:rFonts w:ascii="Calibri" w:hAnsi="Calibri"/>
                <w:sz w:val="20"/>
              </w:rPr>
              <w:t>1–3 months</w:t>
            </w:r>
          </w:p>
        </w:tc>
        <w:tc>
          <w:tcPr>
            <w:tcW w:type="dxa" w:w="1440"/>
          </w:tcPr>
          <w:p>
            <w:r/>
            <w:r>
              <w:rPr>
                <w:rFonts w:ascii="Calibri" w:hAnsi="Calibri"/>
                <w:sz w:val="20"/>
              </w:rPr>
              <w:t>High</w:t>
            </w:r>
          </w:p>
        </w:tc>
        <w:tc>
          <w:tcPr>
            <w:tcW w:type="dxa" w:w="1440"/>
          </w:tcPr>
          <w:p>
            <w:r/>
            <w:r>
              <w:rPr>
                <w:rFonts w:ascii="Calibri" w:hAnsi="Calibri"/>
                <w:sz w:val="20"/>
              </w:rPr>
              <w:t>Implement Redis caching for PrintMaster and site configuration</w:t>
            </w:r>
          </w:p>
        </w:tc>
        <w:tc>
          <w:tcPr>
            <w:tcW w:type="dxa" w:w="1440"/>
          </w:tcPr>
          <w:p>
            <w:r/>
            <w:r>
              <w:rPr>
                <w:rFonts w:ascii="Calibri" w:hAnsi="Calibri"/>
                <w:sz w:val="20"/>
              </w:rPr>
              <w:t>Performance — addresses PERF-001 and PERF-004</w:t>
            </w:r>
          </w:p>
        </w:tc>
        <w:tc>
          <w:tcPr>
            <w:tcW w:type="dxa" w:w="1440"/>
          </w:tcPr>
          <w:p>
            <w:r/>
            <w:r>
              <w:rPr>
                <w:rFonts w:ascii="Calibri" w:hAnsi="Calibri"/>
                <w:sz w:val="20"/>
              </w:rPr>
              <w:t>Section 16</w:t>
            </w:r>
          </w:p>
        </w:tc>
      </w:tr>
      <w:tr>
        <w:tc>
          <w:tcPr>
            <w:tcW w:type="dxa" w:w="1440"/>
            <w:shd w:fill="F2F2F2" w:val="clear"/>
          </w:tcPr>
          <w:p>
            <w:r/>
            <w:r>
              <w:rPr>
                <w:rFonts w:ascii="Calibri" w:hAnsi="Calibri"/>
                <w:sz w:val="20"/>
              </w:rPr>
              <w:t>REC-005</w:t>
            </w:r>
          </w:p>
        </w:tc>
        <w:tc>
          <w:tcPr>
            <w:tcW w:type="dxa" w:w="1440"/>
            <w:shd w:fill="F2F2F2" w:val="clear"/>
          </w:tcPr>
          <w:p>
            <w:r/>
            <w:r>
              <w:rPr>
                <w:rFonts w:ascii="Calibri" w:hAnsi="Calibri"/>
                <w:sz w:val="20"/>
              </w:rPr>
              <w:t>1–3 months</w:t>
            </w:r>
          </w:p>
        </w:tc>
        <w:tc>
          <w:tcPr>
            <w:tcW w:type="dxa" w:w="1440"/>
            <w:shd w:fill="F2F2F2" w:val="clear"/>
          </w:tcPr>
          <w:p>
            <w:r/>
            <w:r>
              <w:rPr>
                <w:rFonts w:ascii="Calibri" w:hAnsi="Calibri"/>
                <w:sz w:val="20"/>
              </w:rPr>
              <w:t>High</w:t>
            </w:r>
          </w:p>
        </w:tc>
        <w:tc>
          <w:tcPr>
            <w:tcW w:type="dxa" w:w="1440"/>
            <w:shd w:fill="F2F2F2" w:val="clear"/>
          </w:tcPr>
          <w:p>
            <w:r/>
            <w:r>
              <w:rPr>
                <w:rFonts w:ascii="Calibri" w:hAnsi="Calibri"/>
                <w:sz w:val="20"/>
              </w:rPr>
              <w:t>Replace N+1 query patterns with eager loading across batch queries</w:t>
            </w:r>
          </w:p>
        </w:tc>
        <w:tc>
          <w:tcPr>
            <w:tcW w:type="dxa" w:w="1440"/>
            <w:shd w:fill="F2F2F2" w:val="clear"/>
          </w:tcPr>
          <w:p>
            <w:r/>
            <w:r>
              <w:rPr>
                <w:rFonts w:ascii="Calibri" w:hAnsi="Calibri"/>
                <w:sz w:val="20"/>
              </w:rPr>
              <w:t>Performance — addresses PERF-002</w:t>
            </w:r>
          </w:p>
        </w:tc>
        <w:tc>
          <w:tcPr>
            <w:tcW w:type="dxa" w:w="1440"/>
            <w:shd w:fill="F2F2F2" w:val="clear"/>
          </w:tcPr>
          <w:p>
            <w:r/>
            <w:r>
              <w:rPr>
                <w:rFonts w:ascii="Calibri" w:hAnsi="Calibri"/>
                <w:sz w:val="20"/>
              </w:rPr>
              <w:t>Section 16</w:t>
            </w:r>
          </w:p>
        </w:tc>
      </w:tr>
      <w:tr>
        <w:tc>
          <w:tcPr>
            <w:tcW w:type="dxa" w:w="1440"/>
          </w:tcPr>
          <w:p>
            <w:r/>
            <w:r>
              <w:rPr>
                <w:rFonts w:ascii="Calibri" w:hAnsi="Calibri"/>
                <w:sz w:val="20"/>
              </w:rPr>
              <w:t>REC-006</w:t>
            </w:r>
          </w:p>
        </w:tc>
        <w:tc>
          <w:tcPr>
            <w:tcW w:type="dxa" w:w="1440"/>
          </w:tcPr>
          <w:p>
            <w:r/>
            <w:r>
              <w:rPr>
                <w:rFonts w:ascii="Calibri" w:hAnsi="Calibri"/>
                <w:sz w:val="20"/>
              </w:rPr>
              <w:t>1–3 months</w:t>
            </w:r>
          </w:p>
        </w:tc>
        <w:tc>
          <w:tcPr>
            <w:tcW w:type="dxa" w:w="1440"/>
          </w:tcPr>
          <w:p>
            <w:r/>
            <w:r>
              <w:rPr>
                <w:rFonts w:ascii="Calibri" w:hAnsi="Calibri"/>
                <w:sz w:val="20"/>
              </w:rPr>
              <w:t>Medium</w:t>
            </w:r>
          </w:p>
        </w:tc>
        <w:tc>
          <w:tcPr>
            <w:tcW w:type="dxa" w:w="1440"/>
          </w:tcPr>
          <w:p>
            <w:r/>
            <w:r>
              <w:rPr>
                <w:rFonts w:ascii="Calibri" w:hAnsi="Calibri"/>
                <w:sz w:val="20"/>
              </w:rPr>
              <w:t>Increase unit and integration test coverage to a minimum of 80%</w:t>
            </w:r>
          </w:p>
        </w:tc>
        <w:tc>
          <w:tcPr>
            <w:tcW w:type="dxa" w:w="1440"/>
          </w:tcPr>
          <w:p>
            <w:r/>
            <w:r>
              <w:rPr>
                <w:rFonts w:ascii="Calibri" w:hAnsi="Calibri"/>
                <w:sz w:val="20"/>
              </w:rPr>
              <w:t>Quality — reduces regression risk</w:t>
            </w:r>
          </w:p>
        </w:tc>
        <w:tc>
          <w:tcPr>
            <w:tcW w:type="dxa" w:w="1440"/>
          </w:tcPr>
          <w:p>
            <w:r/>
            <w:r>
              <w:rPr>
                <w:rFonts w:ascii="Calibri" w:hAnsi="Calibri"/>
                <w:sz w:val="20"/>
              </w:rPr>
              <w:t>Section 17</w:t>
            </w:r>
          </w:p>
        </w:tc>
      </w:tr>
      <w:tr>
        <w:tc>
          <w:tcPr>
            <w:tcW w:type="dxa" w:w="1440"/>
            <w:shd w:fill="F2F2F2" w:val="clear"/>
          </w:tcPr>
          <w:p>
            <w:r/>
            <w:r>
              <w:rPr>
                <w:rFonts w:ascii="Calibri" w:hAnsi="Calibri"/>
                <w:sz w:val="20"/>
              </w:rPr>
              <w:t>REC-007</w:t>
            </w:r>
          </w:p>
        </w:tc>
        <w:tc>
          <w:tcPr>
            <w:tcW w:type="dxa" w:w="1440"/>
            <w:shd w:fill="F2F2F2" w:val="clear"/>
          </w:tcPr>
          <w:p>
            <w:r/>
            <w:r>
              <w:rPr>
                <w:rFonts w:ascii="Calibri" w:hAnsi="Calibri"/>
                <w:sz w:val="20"/>
              </w:rPr>
              <w:t>1–3 months</w:t>
            </w:r>
          </w:p>
        </w:tc>
        <w:tc>
          <w:tcPr>
            <w:tcW w:type="dxa" w:w="1440"/>
            <w:shd w:fill="F2F2F2" w:val="clear"/>
          </w:tcPr>
          <w:p>
            <w:r/>
            <w:r>
              <w:rPr>
                <w:rFonts w:ascii="Calibri" w:hAnsi="Calibri"/>
                <w:sz w:val="20"/>
              </w:rPr>
              <w:t>Medium</w:t>
            </w:r>
          </w:p>
        </w:tc>
        <w:tc>
          <w:tcPr>
            <w:tcW w:type="dxa" w:w="1440"/>
            <w:shd w:fill="F2F2F2" w:val="clear"/>
          </w:tcPr>
          <w:p>
            <w:r/>
            <w:r>
              <w:rPr>
                <w:rFonts w:ascii="Calibri" w:hAnsi="Calibri"/>
                <w:sz w:val="20"/>
              </w:rPr>
              <w:t>Add unique index on LT_Number column in LabelTracking table</w:t>
            </w:r>
          </w:p>
        </w:tc>
        <w:tc>
          <w:tcPr>
            <w:tcW w:type="dxa" w:w="1440"/>
            <w:shd w:fill="F2F2F2" w:val="clear"/>
          </w:tcPr>
          <w:p>
            <w:r/>
            <w:r>
              <w:rPr>
                <w:rFonts w:ascii="Calibri" w:hAnsi="Calibri"/>
                <w:sz w:val="20"/>
              </w:rPr>
              <w:t>Performance and data integrity — addresses PERF-003</w:t>
            </w:r>
          </w:p>
        </w:tc>
        <w:tc>
          <w:tcPr>
            <w:tcW w:type="dxa" w:w="1440"/>
            <w:shd w:fill="F2F2F2" w:val="clear"/>
          </w:tcPr>
          <w:p>
            <w:r/>
            <w:r>
              <w:rPr>
                <w:rFonts w:ascii="Calibri" w:hAnsi="Calibri"/>
                <w:sz w:val="20"/>
              </w:rPr>
              <w:t>Section 16</w:t>
            </w:r>
          </w:p>
        </w:tc>
      </w:tr>
      <w:tr>
        <w:tc>
          <w:tcPr>
            <w:tcW w:type="dxa" w:w="1440"/>
          </w:tcPr>
          <w:p>
            <w:r/>
            <w:r>
              <w:rPr>
                <w:rFonts w:ascii="Calibri" w:hAnsi="Calibri"/>
                <w:sz w:val="20"/>
              </w:rPr>
              <w:t>REC-008</w:t>
            </w:r>
          </w:p>
        </w:tc>
        <w:tc>
          <w:tcPr>
            <w:tcW w:type="dxa" w:w="1440"/>
          </w:tcPr>
          <w:p>
            <w:r/>
            <w:r>
              <w:rPr>
                <w:rFonts w:ascii="Calibri" w:hAnsi="Calibri"/>
                <w:sz w:val="20"/>
              </w:rPr>
              <w:t>3–6 months</w:t>
            </w:r>
          </w:p>
        </w:tc>
        <w:tc>
          <w:tcPr>
            <w:tcW w:type="dxa" w:w="1440"/>
          </w:tcPr>
          <w:p>
            <w:r/>
            <w:r>
              <w:rPr>
                <w:rFonts w:ascii="Calibri" w:hAnsi="Calibri"/>
                <w:sz w:val="20"/>
              </w:rPr>
              <w:t>Medium</w:t>
            </w:r>
          </w:p>
        </w:tc>
        <w:tc>
          <w:tcPr>
            <w:tcW w:type="dxa" w:w="1440"/>
          </w:tcPr>
          <w:p>
            <w:r/>
            <w:r>
              <w:rPr>
                <w:rFonts w:ascii="Calibri" w:hAnsi="Calibri"/>
                <w:sz w:val="20"/>
              </w:rPr>
              <w:t>Decompose CreateLTService God class into focused, single-responsibility services</w:t>
            </w:r>
          </w:p>
        </w:tc>
        <w:tc>
          <w:tcPr>
            <w:tcW w:type="dxa" w:w="1440"/>
          </w:tcPr>
          <w:p>
            <w:r/>
            <w:r>
              <w:rPr>
                <w:rFonts w:ascii="Calibri" w:hAnsi="Calibri"/>
                <w:sz w:val="20"/>
              </w:rPr>
              <w:t>Maintainability — addresses TD-001</w:t>
            </w:r>
          </w:p>
        </w:tc>
        <w:tc>
          <w:tcPr>
            <w:tcW w:type="dxa" w:w="1440"/>
          </w:tcPr>
          <w:p>
            <w:r/>
            <w:r>
              <w:rPr>
                <w:rFonts w:ascii="Calibri" w:hAnsi="Calibri"/>
                <w:sz w:val="20"/>
              </w:rPr>
              <w:t>Section 17</w:t>
            </w:r>
          </w:p>
        </w:tc>
      </w:tr>
      <w:tr>
        <w:tc>
          <w:tcPr>
            <w:tcW w:type="dxa" w:w="1440"/>
            <w:shd w:fill="F2F2F2" w:val="clear"/>
          </w:tcPr>
          <w:p>
            <w:r/>
            <w:r>
              <w:rPr>
                <w:rFonts w:ascii="Calibri" w:hAnsi="Calibri"/>
                <w:sz w:val="20"/>
              </w:rPr>
              <w:t>REC-009</w:t>
            </w:r>
          </w:p>
        </w:tc>
        <w:tc>
          <w:tcPr>
            <w:tcW w:type="dxa" w:w="1440"/>
            <w:shd w:fill="F2F2F2" w:val="clear"/>
          </w:tcPr>
          <w:p>
            <w:r/>
            <w:r>
              <w:rPr>
                <w:rFonts w:ascii="Calibri" w:hAnsi="Calibri"/>
                <w:sz w:val="20"/>
              </w:rPr>
              <w:t>3–6 months</w:t>
            </w:r>
          </w:p>
        </w:tc>
        <w:tc>
          <w:tcPr>
            <w:tcW w:type="dxa" w:w="1440"/>
            <w:shd w:fill="F2F2F2" w:val="clear"/>
          </w:tcPr>
          <w:p>
            <w:r/>
            <w:r>
              <w:rPr>
                <w:rFonts w:ascii="Calibri" w:hAnsi="Calibri"/>
                <w:sz w:val="20"/>
              </w:rPr>
              <w:t>Medium</w:t>
            </w:r>
          </w:p>
        </w:tc>
        <w:tc>
          <w:tcPr>
            <w:tcW w:type="dxa" w:w="1440"/>
            <w:shd w:fill="F2F2F2" w:val="clear"/>
          </w:tcPr>
          <w:p>
            <w:r/>
            <w:r>
              <w:rPr>
                <w:rFonts w:ascii="Calibri" w:hAnsi="Calibri"/>
                <w:sz w:val="20"/>
              </w:rPr>
              <w:t>Introduce distributed tracing with correlation ID propagation across all services</w:t>
            </w:r>
          </w:p>
        </w:tc>
        <w:tc>
          <w:tcPr>
            <w:tcW w:type="dxa" w:w="1440"/>
            <w:shd w:fill="F2F2F2" w:val="clear"/>
          </w:tcPr>
          <w:p>
            <w:r/>
            <w:r>
              <w:rPr>
                <w:rFonts w:ascii="Calibri" w:hAnsi="Calibri"/>
                <w:sz w:val="20"/>
              </w:rPr>
              <w:t>Observability — addresses monitoring gaps</w:t>
            </w:r>
          </w:p>
        </w:tc>
        <w:tc>
          <w:tcPr>
            <w:tcW w:type="dxa" w:w="1440"/>
            <w:shd w:fill="F2F2F2" w:val="clear"/>
          </w:tcPr>
          <w:p>
            <w:r/>
            <w:r>
              <w:rPr>
                <w:rFonts w:ascii="Calibri" w:hAnsi="Calibri"/>
                <w:sz w:val="20"/>
              </w:rPr>
              <w:t>Section 18</w:t>
            </w:r>
          </w:p>
        </w:tc>
      </w:tr>
      <w:tr>
        <w:tc>
          <w:tcPr>
            <w:tcW w:type="dxa" w:w="1440"/>
          </w:tcPr>
          <w:p>
            <w:r/>
            <w:r>
              <w:rPr>
                <w:rFonts w:ascii="Calibri" w:hAnsi="Calibri"/>
                <w:sz w:val="20"/>
              </w:rPr>
              <w:t>REC-010</w:t>
            </w:r>
          </w:p>
        </w:tc>
        <w:tc>
          <w:tcPr>
            <w:tcW w:type="dxa" w:w="1440"/>
          </w:tcPr>
          <w:p>
            <w:r/>
            <w:r>
              <w:rPr>
                <w:rFonts w:ascii="Calibri" w:hAnsi="Calibri"/>
                <w:sz w:val="20"/>
              </w:rPr>
              <w:t>3–6 months</w:t>
            </w:r>
          </w:p>
        </w:tc>
        <w:tc>
          <w:tcPr>
            <w:tcW w:type="dxa" w:w="1440"/>
          </w:tcPr>
          <w:p>
            <w:r/>
            <w:r>
              <w:rPr>
                <w:rFonts w:ascii="Calibri" w:hAnsi="Calibri"/>
                <w:sz w:val="20"/>
              </w:rPr>
              <w:t>Medium</w:t>
            </w:r>
          </w:p>
        </w:tc>
        <w:tc>
          <w:tcPr>
            <w:tcW w:type="dxa" w:w="1440"/>
          </w:tcPr>
          <w:p>
            <w:r/>
            <w:r>
              <w:rPr>
                <w:rFonts w:ascii="Calibri" w:hAnsi="Calibri"/>
                <w:sz w:val="20"/>
              </w:rPr>
              <w:t>Implement optimistic concurrency on Batch table to resolve lock contention</w:t>
            </w:r>
          </w:p>
        </w:tc>
        <w:tc>
          <w:tcPr>
            <w:tcW w:type="dxa" w:w="1440"/>
          </w:tcPr>
          <w:p>
            <w:r/>
            <w:r>
              <w:rPr>
                <w:rFonts w:ascii="Calibri" w:hAnsi="Calibri"/>
                <w:sz w:val="20"/>
              </w:rPr>
              <w:t>Performance — addresses PERF-005</w:t>
            </w:r>
          </w:p>
        </w:tc>
        <w:tc>
          <w:tcPr>
            <w:tcW w:type="dxa" w:w="1440"/>
          </w:tcPr>
          <w:p>
            <w:r/>
            <w:r>
              <w:rPr>
                <w:rFonts w:ascii="Calibri" w:hAnsi="Calibri"/>
                <w:sz w:val="20"/>
              </w:rPr>
              <w:t>Section 16</w:t>
            </w:r>
          </w:p>
        </w:tc>
      </w:tr>
      <w:tr>
        <w:tc>
          <w:tcPr>
            <w:tcW w:type="dxa" w:w="1440"/>
            <w:shd w:fill="F2F2F2" w:val="clear"/>
          </w:tcPr>
          <w:p>
            <w:r/>
            <w:r>
              <w:rPr>
                <w:rFonts w:ascii="Calibri" w:hAnsi="Calibri"/>
                <w:sz w:val="20"/>
              </w:rPr>
              <w:t>REC-011</w:t>
            </w:r>
          </w:p>
        </w:tc>
        <w:tc>
          <w:tcPr>
            <w:tcW w:type="dxa" w:w="1440"/>
            <w:shd w:fill="F2F2F2" w:val="clear"/>
          </w:tcPr>
          <w:p>
            <w:r/>
            <w:r>
              <w:rPr>
                <w:rFonts w:ascii="Calibri" w:hAnsi="Calibri"/>
                <w:sz w:val="20"/>
              </w:rPr>
              <w:t>6–12 months</w:t>
            </w:r>
          </w:p>
        </w:tc>
        <w:tc>
          <w:tcPr>
            <w:tcW w:type="dxa" w:w="1440"/>
            <w:shd w:fill="F2F2F2" w:val="clear"/>
          </w:tcPr>
          <w:p>
            <w:r/>
            <w:r>
              <w:rPr>
                <w:rFonts w:ascii="Calibri" w:hAnsi="Calibri"/>
                <w:sz w:val="20"/>
              </w:rPr>
              <w:t>Low</w:t>
            </w:r>
          </w:p>
        </w:tc>
        <w:tc>
          <w:tcPr>
            <w:tcW w:type="dxa" w:w="1440"/>
            <w:shd w:fill="F2F2F2" w:val="clear"/>
          </w:tcPr>
          <w:p>
            <w:r/>
            <w:r>
              <w:rPr>
                <w:rFonts w:ascii="Calibri" w:hAnsi="Calibri"/>
                <w:sz w:val="20"/>
              </w:rPr>
              <w:t>Evaluate extraction of LT module into an independently deployable service</w:t>
            </w:r>
          </w:p>
        </w:tc>
        <w:tc>
          <w:tcPr>
            <w:tcW w:type="dxa" w:w="1440"/>
            <w:shd w:fill="F2F2F2" w:val="clear"/>
          </w:tcPr>
          <w:p>
            <w:r/>
            <w:r>
              <w:rPr>
                <w:rFonts w:ascii="Calibri" w:hAnsi="Calibri"/>
                <w:sz w:val="20"/>
              </w:rPr>
              <w:t>Scalability — enables independent scaling of high-throughput LT creation path</w:t>
            </w:r>
          </w:p>
        </w:tc>
        <w:tc>
          <w:tcPr>
            <w:tcW w:type="dxa" w:w="1440"/>
            <w:shd w:fill="F2F2F2" w:val="clear"/>
          </w:tcPr>
          <w:p>
            <w:r/>
            <w:r>
              <w:rPr>
                <w:rFonts w:ascii="Calibri" w:hAnsi="Calibri"/>
                <w:sz w:val="20"/>
              </w:rPr>
              <w:t>Section 18</w:t>
            </w:r>
          </w:p>
        </w:tc>
      </w:tr>
      <w:tr>
        <w:tc>
          <w:tcPr>
            <w:tcW w:type="dxa" w:w="1440"/>
          </w:tcPr>
          <w:p>
            <w:r/>
            <w:r>
              <w:rPr>
                <w:rFonts w:ascii="Calibri" w:hAnsi="Calibri"/>
                <w:sz w:val="20"/>
              </w:rPr>
              <w:t>REC-012</w:t>
            </w:r>
          </w:p>
        </w:tc>
        <w:tc>
          <w:tcPr>
            <w:tcW w:type="dxa" w:w="1440"/>
          </w:tcPr>
          <w:p>
            <w:r/>
            <w:r>
              <w:rPr>
                <w:rFonts w:ascii="Calibri" w:hAnsi="Calibri"/>
                <w:sz w:val="20"/>
              </w:rPr>
              <w:t>6–12 months</w:t>
            </w:r>
          </w:p>
        </w:tc>
        <w:tc>
          <w:tcPr>
            <w:tcW w:type="dxa" w:w="1440"/>
          </w:tcPr>
          <w:p>
            <w:r/>
            <w:r>
              <w:rPr>
                <w:rFonts w:ascii="Calibri" w:hAnsi="Calibri"/>
                <w:sz w:val="20"/>
              </w:rPr>
              <w:t>Low</w:t>
            </w:r>
          </w:p>
        </w:tc>
        <w:tc>
          <w:tcPr>
            <w:tcW w:type="dxa" w:w="1440"/>
          </w:tcPr>
          <w:p>
            <w:r/>
            <w:r>
              <w:rPr>
                <w:rFonts w:ascii="Calibri" w:hAnsi="Calibri"/>
                <w:sz w:val="20"/>
              </w:rPr>
              <w:t>Mature CI/CD pipeline with automated security scanning and quality gates</w:t>
            </w:r>
          </w:p>
        </w:tc>
        <w:tc>
          <w:tcPr>
            <w:tcW w:type="dxa" w:w="1440"/>
          </w:tcPr>
          <w:p>
            <w:r/>
            <w:r>
              <w:rPr>
                <w:rFonts w:ascii="Calibri" w:hAnsi="Calibri"/>
                <w:sz w:val="20"/>
              </w:rPr>
              <w:t>Quality and Security — reduces deployment risk</w:t>
            </w:r>
          </w:p>
        </w:tc>
        <w:tc>
          <w:tcPr>
            <w:tcW w:type="dxa" w:w="1440"/>
          </w:tcPr>
          <w:p>
            <w:r/>
            <w:r>
              <w:rPr>
                <w:rFonts w:ascii="Calibri" w:hAnsi="Calibri"/>
                <w:sz w:val="20"/>
              </w:rPr>
              <w:t>Section 15</w:t>
            </w:r>
          </w:p>
        </w:tc>
      </w:tr>
    </w:tbl>
    <w:p>
      <w:r>
        <w:br w:type="page"/>
      </w:r>
    </w:p>
    <w:p>
      <w:pPr>
        <w:pStyle w:val="Heading1"/>
      </w:pPr>
      <w:r>
        <w:t>6. Output Format Instructions</w:t>
      </w:r>
    </w:p>
    <w:p>
      <w:r>
        <w:rPr>
          <w:rFonts w:ascii="Calibri" w:hAnsi="Calibri"/>
          <w:sz w:val="22"/>
        </w:rPr>
        <w:t>The following instructions must be appended to the master prompt to ensure the AI produces output in the correct format for team consumption. These rules govern document structure, diagram format, table usage, and evidence standards.</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Generate the final document with these top-level sections:</w:t>
            </w:r>
          </w:p>
          <w:p>
            <w:pPr>
              <w:spacing w:before="20" w:after="20"/>
            </w:pPr>
            <w:r>
              <w:rPr>
                <w:rFonts w:ascii="Courier New" w:hAnsi="Courier New"/>
                <w:color w:val="1A1A1A"/>
                <w:sz w:val="18"/>
              </w:rPr>
            </w:r>
          </w:p>
          <w:p>
            <w:pPr>
              <w:spacing w:before="20" w:after="20"/>
            </w:pPr>
            <w:r>
              <w:rPr>
                <w:rFonts w:ascii="Courier New" w:hAnsi="Courier New"/>
                <w:color w:val="1A1A1A"/>
                <w:sz w:val="18"/>
              </w:rPr>
              <w:t>1. Executive Summary</w:t>
            </w:r>
          </w:p>
          <w:p>
            <w:pPr>
              <w:spacing w:before="20" w:after="20"/>
            </w:pPr>
            <w:r>
              <w:rPr>
                <w:rFonts w:ascii="Courier New" w:hAnsi="Courier New"/>
                <w:color w:val="1A1A1A"/>
                <w:sz w:val="18"/>
              </w:rPr>
              <w:t>2. High Level Design (HLD) — with Mermaid diagrams</w:t>
            </w:r>
          </w:p>
          <w:p>
            <w:pPr>
              <w:spacing w:before="20" w:after="20"/>
            </w:pPr>
            <w:r>
              <w:rPr>
                <w:rFonts w:ascii="Courier New" w:hAnsi="Courier New"/>
                <w:color w:val="1A1A1A"/>
                <w:sz w:val="18"/>
              </w:rPr>
              <w:t>3. Low Level Design (LLD) — with dependency diagrams</w:t>
            </w:r>
          </w:p>
          <w:p>
            <w:pPr>
              <w:spacing w:before="20" w:after="20"/>
            </w:pPr>
            <w:r>
              <w:rPr>
                <w:rFonts w:ascii="Courier New" w:hAnsi="Courier New"/>
                <w:color w:val="1A1A1A"/>
                <w:sz w:val="18"/>
              </w:rPr>
              <w:t>4. Database Design — with ER diagram</w:t>
            </w:r>
          </w:p>
          <w:p>
            <w:pPr>
              <w:spacing w:before="20" w:after="20"/>
            </w:pPr>
            <w:r>
              <w:rPr>
                <w:rFonts w:ascii="Courier New" w:hAnsi="Courier New"/>
                <w:color w:val="1A1A1A"/>
                <w:sz w:val="18"/>
              </w:rPr>
              <w:t>5. API Specification — with reference tables</w:t>
            </w:r>
          </w:p>
          <w:p>
            <w:pPr>
              <w:spacing w:before="20" w:after="20"/>
            </w:pPr>
            <w:r>
              <w:rPr>
                <w:rFonts w:ascii="Courier New" w:hAnsi="Courier New"/>
                <w:color w:val="1A1A1A"/>
                <w:sz w:val="18"/>
              </w:rPr>
              <w:t>6. Security Review — with vulnerability register</w:t>
            </w:r>
          </w:p>
          <w:p>
            <w:pPr>
              <w:spacing w:before="20" w:after="20"/>
            </w:pPr>
            <w:r>
              <w:rPr>
                <w:rFonts w:ascii="Courier New" w:hAnsi="Courier New"/>
                <w:color w:val="1A1A1A"/>
                <w:sz w:val="18"/>
              </w:rPr>
              <w:t>7. Integration Analysis — with integration inventory</w:t>
            </w:r>
          </w:p>
          <w:p>
            <w:pPr>
              <w:spacing w:before="20" w:after="20"/>
            </w:pPr>
            <w:r>
              <w:rPr>
                <w:rFonts w:ascii="Courier New" w:hAnsi="Courier New"/>
                <w:color w:val="1A1A1A"/>
                <w:sz w:val="18"/>
              </w:rPr>
              <w:t>8. Deployment Guide — with environment matrix</w:t>
            </w:r>
          </w:p>
          <w:p>
            <w:pPr>
              <w:spacing w:before="20" w:after="20"/>
            </w:pPr>
            <w:r>
              <w:rPr>
                <w:rFonts w:ascii="Courier New" w:hAnsi="Courier New"/>
                <w:color w:val="1A1A1A"/>
                <w:sz w:val="18"/>
              </w:rPr>
              <w:t>9. Technical Debt Assessment — with debt register</w:t>
            </w:r>
          </w:p>
          <w:p>
            <w:pPr>
              <w:spacing w:before="20" w:after="20"/>
            </w:pPr>
            <w:r>
              <w:rPr>
                <w:rFonts w:ascii="Courier New" w:hAnsi="Courier New"/>
                <w:color w:val="1A1A1A"/>
                <w:sz w:val="18"/>
              </w:rPr>
              <w:t>10. Production Readiness Assessment — with scorecard</w:t>
            </w:r>
          </w:p>
          <w:p>
            <w:pPr>
              <w:spacing w:before="20" w:after="20"/>
            </w:pPr>
            <w:r>
              <w:rPr>
                <w:rFonts w:ascii="Courier New" w:hAnsi="Courier New"/>
                <w:color w:val="1A1A1A"/>
                <w:sz w:val="18"/>
              </w:rPr>
              <w:t>11. Recommendations — with prioritized roadmap</w:t>
            </w:r>
          </w:p>
          <w:p>
            <w:pPr>
              <w:spacing w:before="20" w:after="20"/>
            </w:pPr>
            <w:r>
              <w:rPr>
                <w:rFonts w:ascii="Courier New" w:hAnsi="Courier New"/>
                <w:color w:val="1A1A1A"/>
                <w:sz w:val="18"/>
              </w:rPr>
            </w:r>
          </w:p>
          <w:p>
            <w:pPr>
              <w:spacing w:before="20" w:after="20"/>
            </w:pPr>
            <w:r>
              <w:rPr>
                <w:rFonts w:ascii="Courier New" w:hAnsi="Courier New"/>
                <w:color w:val="1A1A1A"/>
                <w:sz w:val="18"/>
              </w:rPr>
              <w:t>Format requirements:</w:t>
            </w:r>
          </w:p>
          <w:p>
            <w:pPr>
              <w:spacing w:before="20" w:after="20"/>
            </w:pPr>
            <w:r>
              <w:rPr>
                <w:rFonts w:ascii="Courier New" w:hAnsi="Courier New"/>
                <w:color w:val="1A1A1A"/>
                <w:sz w:val="18"/>
              </w:rPr>
              <w:t>- Use professional architecture terminology throughout</w:t>
            </w:r>
          </w:p>
          <w:p>
            <w:pPr>
              <w:spacing w:before="20" w:after="20"/>
            </w:pPr>
            <w:r>
              <w:rPr>
                <w:rFonts w:ascii="Courier New" w:hAnsi="Courier New"/>
                <w:color w:val="1A1A1A"/>
                <w:sz w:val="18"/>
              </w:rPr>
              <w:t>- Use Markdown (.md) format for the entire document</w:t>
            </w:r>
          </w:p>
          <w:p>
            <w:pPr>
              <w:spacing w:before="20" w:after="20"/>
            </w:pPr>
            <w:r>
              <w:rPr>
                <w:rFonts w:ascii="Courier New" w:hAnsi="Courier New"/>
                <w:color w:val="1A1A1A"/>
                <w:sz w:val="18"/>
              </w:rPr>
              <w:t>- Include Mermaid diagrams for all architecture visuals</w:t>
            </w:r>
          </w:p>
          <w:p>
            <w:pPr>
              <w:spacing w:before="20" w:after="20"/>
            </w:pPr>
            <w:r>
              <w:rPr>
                <w:rFonts w:ascii="Courier New" w:hAnsi="Courier New"/>
                <w:color w:val="1A1A1A"/>
                <w:sz w:val="18"/>
              </w:rPr>
              <w:t>- Use tables for all structured data (APIs, risks, packages, environments)</w:t>
            </w:r>
          </w:p>
          <w:p>
            <w:pPr>
              <w:spacing w:before="20" w:after="20"/>
            </w:pPr>
            <w:r>
              <w:rPr>
                <w:rFonts w:ascii="Courier New" w:hAnsi="Courier New"/>
                <w:color w:val="1A1A1A"/>
                <w:sz w:val="18"/>
              </w:rPr>
              <w:t>- Reference source code by file → class → method for every finding</w:t>
            </w:r>
          </w:p>
          <w:p>
            <w:pPr>
              <w:spacing w:before="20" w:after="20"/>
            </w:pPr>
            <w:r>
              <w:rPr>
                <w:rFonts w:ascii="Courier New" w:hAnsi="Courier New"/>
                <w:color w:val="1A1A1A"/>
                <w:sz w:val="18"/>
              </w:rPr>
              <w:t>- Assign risk ratings (Critical / High / Medium / Low) to all identified issues</w:t>
            </w:r>
          </w:p>
          <w:p>
            <w:pPr>
              <w:spacing w:before="20" w:after="20"/>
            </w:pPr>
            <w:r>
              <w:rPr>
                <w:rFonts w:ascii="Courier New" w:hAnsi="Courier New"/>
                <w:color w:val="1A1A1A"/>
                <w:sz w:val="18"/>
              </w:rPr>
              <w:t>- All findings must be evidence-based — no assumptions permitted</w:t>
            </w:r>
          </w:p>
          <w:p>
            <w:pPr>
              <w:spacing w:before="20" w:after="20"/>
            </w:pPr>
            <w:r>
              <w:rPr>
                <w:rFonts w:ascii="Courier New" w:hAnsi="Courier New"/>
                <w:color w:val="1A1A1A"/>
                <w:sz w:val="18"/>
              </w:rPr>
              <w:t>- Mark any item that cannot be confirmed from source code as: [UNCONFIRMED — requires code review]</w:t>
            </w:r>
          </w:p>
        </w:tc>
      </w:tr>
    </w:tbl>
    <w:p>
      <w:pPr>
        <w:spacing w:after="120"/>
      </w:pPr>
    </w:p>
    <w:p>
      <w:r>
        <w:br w:type="page"/>
      </w:r>
    </w:p>
    <w:p>
      <w:pPr>
        <w:pStyle w:val="Heading1"/>
      </w:pPr>
      <w:r>
        <w:t>7. Markdown Viewing and Rendering Tools</w:t>
      </w:r>
    </w:p>
    <w:p>
      <w:r>
        <w:rPr>
          <w:rFonts w:ascii="Calibri" w:hAnsi="Calibri"/>
          <w:sz w:val="22"/>
        </w:rPr>
        <w:t xml:space="preserve">The generated document is delivered in clean </w:t>
      </w:r>
      <w:r>
        <w:rPr>
          <w:rFonts w:ascii="Courier New" w:hAnsi="Courier New"/>
          <w:sz w:val="20"/>
        </w:rPr>
        <w:t>.md</w:t>
      </w:r>
      <w:r>
        <w:rPr>
          <w:rFonts w:ascii="Calibri" w:hAnsi="Calibri"/>
          <w:sz w:val="22"/>
        </w:rPr>
        <w:t xml:space="preserve"> format. The table below lists recommended tools for viewing, editing, and sharing the output, including Mermaid diagram rendering support for each tool.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5B6" w:val="clear"/>
          </w:tcPr>
          <w:p>
            <w:r>
              <w:rPr>
                <w:b/>
              </w:rPr>
            </w:r>
            <w:r>
              <w:rPr>
                <w:rFonts w:ascii="Calibri" w:hAnsi="Calibri"/>
                <w:b/>
                <w:color w:val="FFFFFF"/>
                <w:sz w:val="20"/>
              </w:rPr>
              <w:t>Tool</w:t>
            </w:r>
          </w:p>
        </w:tc>
        <w:tc>
          <w:tcPr>
            <w:tcW w:type="dxa" w:w="2160"/>
            <w:shd w:fill="2E75B6" w:val="clear"/>
          </w:tcPr>
          <w:p>
            <w:r>
              <w:rPr>
                <w:b/>
              </w:rPr>
            </w:r>
            <w:r>
              <w:rPr>
                <w:rFonts w:ascii="Calibri" w:hAnsi="Calibri"/>
                <w:b/>
                <w:color w:val="FFFFFF"/>
                <w:sz w:val="20"/>
              </w:rPr>
              <w:t>How to Open .md File</w:t>
            </w:r>
          </w:p>
        </w:tc>
        <w:tc>
          <w:tcPr>
            <w:tcW w:type="dxa" w:w="2160"/>
            <w:shd w:fill="2E75B6" w:val="clear"/>
          </w:tcPr>
          <w:p>
            <w:r>
              <w:rPr>
                <w:b/>
              </w:rPr>
            </w:r>
            <w:r>
              <w:rPr>
                <w:rFonts w:ascii="Calibri" w:hAnsi="Calibri"/>
                <w:b/>
                <w:color w:val="FFFFFF"/>
                <w:sz w:val="20"/>
              </w:rPr>
              <w:t>Mermaid Diagram Support</w:t>
            </w:r>
          </w:p>
        </w:tc>
        <w:tc>
          <w:tcPr>
            <w:tcW w:type="dxa" w:w="2160"/>
            <w:shd w:fill="2E75B6" w:val="clear"/>
          </w:tcPr>
          <w:p>
            <w:r>
              <w:rPr>
                <w:b/>
              </w:rPr>
            </w:r>
            <w:r>
              <w:rPr>
                <w:rFonts w:ascii="Calibri" w:hAnsi="Calibri"/>
                <w:b/>
                <w:color w:val="FFFFFF"/>
                <w:sz w:val="20"/>
              </w:rPr>
              <w:t>Best Used For</w:t>
            </w:r>
          </w:p>
        </w:tc>
      </w:tr>
      <w:tr>
        <w:tc>
          <w:tcPr>
            <w:tcW w:type="dxa" w:w="2160"/>
            <w:shd w:fill="F2F2F2" w:val="clear"/>
          </w:tcPr>
          <w:p>
            <w:r/>
            <w:r>
              <w:rPr>
                <w:rFonts w:ascii="Calibri" w:hAnsi="Calibri"/>
                <w:sz w:val="20"/>
              </w:rPr>
              <w:t>VS Code</w:t>
            </w:r>
          </w:p>
        </w:tc>
        <w:tc>
          <w:tcPr>
            <w:tcW w:type="dxa" w:w="2160"/>
            <w:shd w:fill="F2F2F2" w:val="clear"/>
          </w:tcPr>
          <w:p>
            <w:r/>
            <w:r>
              <w:rPr>
                <w:rFonts w:ascii="Calibri" w:hAnsi="Calibri"/>
                <w:sz w:val="20"/>
              </w:rPr>
              <w:t>Open file, press Ctrl+Shift+V for preview</w:t>
            </w:r>
          </w:p>
        </w:tc>
        <w:tc>
          <w:tcPr>
            <w:tcW w:type="dxa" w:w="2160"/>
            <w:shd w:fill="F2F2F2" w:val="clear"/>
          </w:tcPr>
          <w:p>
            <w:r/>
            <w:r>
              <w:rPr>
                <w:rFonts w:ascii="Calibri" w:hAnsi="Calibri"/>
                <w:sz w:val="20"/>
              </w:rPr>
              <w:t>Yes — requires Markdown Preview Mermaid Support extension</w:t>
            </w:r>
          </w:p>
        </w:tc>
        <w:tc>
          <w:tcPr>
            <w:tcW w:type="dxa" w:w="2160"/>
            <w:shd w:fill="F2F2F2" w:val="clear"/>
          </w:tcPr>
          <w:p>
            <w:r/>
            <w:r>
              <w:rPr>
                <w:rFonts w:ascii="Calibri" w:hAnsi="Calibri"/>
                <w:sz w:val="20"/>
              </w:rPr>
              <w:t>Local development and editing</w:t>
            </w:r>
          </w:p>
        </w:tc>
      </w:tr>
      <w:tr>
        <w:tc>
          <w:tcPr>
            <w:tcW w:type="dxa" w:w="2160"/>
          </w:tcPr>
          <w:p>
            <w:r/>
            <w:r>
              <w:rPr>
                <w:rFonts w:ascii="Calibri" w:hAnsi="Calibri"/>
                <w:sz w:val="20"/>
              </w:rPr>
              <w:t>GitHub / GitLab</w:t>
            </w:r>
          </w:p>
        </w:tc>
        <w:tc>
          <w:tcPr>
            <w:tcW w:type="dxa" w:w="2160"/>
          </w:tcPr>
          <w:p>
            <w:r/>
            <w:r>
              <w:rPr>
                <w:rFonts w:ascii="Calibri" w:hAnsi="Calibri"/>
                <w:sz w:val="20"/>
              </w:rPr>
              <w:t>Upload file to repository and view in browser</w:t>
            </w:r>
          </w:p>
        </w:tc>
        <w:tc>
          <w:tcPr>
            <w:tcW w:type="dxa" w:w="2160"/>
          </w:tcPr>
          <w:p>
            <w:r/>
            <w:r>
              <w:rPr>
                <w:rFonts w:ascii="Calibri" w:hAnsi="Calibri"/>
                <w:sz w:val="20"/>
              </w:rPr>
              <w:t>Yes — native rendering</w:t>
            </w:r>
          </w:p>
        </w:tc>
        <w:tc>
          <w:tcPr>
            <w:tcW w:type="dxa" w:w="2160"/>
          </w:tcPr>
          <w:p>
            <w:r/>
            <w:r>
              <w:rPr>
                <w:rFonts w:ascii="Calibri" w:hAnsi="Calibri"/>
                <w:sz w:val="20"/>
              </w:rPr>
              <w:t>Team sharing and version control</w:t>
            </w:r>
          </w:p>
        </w:tc>
      </w:tr>
      <w:tr>
        <w:tc>
          <w:tcPr>
            <w:tcW w:type="dxa" w:w="2160"/>
            <w:shd w:fill="F2F2F2" w:val="clear"/>
          </w:tcPr>
          <w:p>
            <w:r/>
            <w:r>
              <w:rPr>
                <w:rFonts w:ascii="Calibri" w:hAnsi="Calibri"/>
                <w:sz w:val="20"/>
              </w:rPr>
              <w:t>Mermaid Live Editor</w:t>
            </w:r>
          </w:p>
        </w:tc>
        <w:tc>
          <w:tcPr>
            <w:tcW w:type="dxa" w:w="2160"/>
            <w:shd w:fill="F2F2F2" w:val="clear"/>
          </w:tcPr>
          <w:p>
            <w:r/>
            <w:r>
              <w:rPr>
                <w:rFonts w:ascii="Calibri" w:hAnsi="Calibri"/>
                <w:sz w:val="20"/>
              </w:rPr>
              <w:t>Paste diagram code at mermaid.live</w:t>
            </w:r>
          </w:p>
        </w:tc>
        <w:tc>
          <w:tcPr>
            <w:tcW w:type="dxa" w:w="2160"/>
            <w:shd w:fill="F2F2F2" w:val="clear"/>
          </w:tcPr>
          <w:p>
            <w:r/>
            <w:r>
              <w:rPr>
                <w:rFonts w:ascii="Calibri" w:hAnsi="Calibri"/>
                <w:sz w:val="20"/>
              </w:rPr>
              <w:t>Yes — diagrams only</w:t>
            </w:r>
          </w:p>
        </w:tc>
        <w:tc>
          <w:tcPr>
            <w:tcW w:type="dxa" w:w="2160"/>
            <w:shd w:fill="F2F2F2" w:val="clear"/>
          </w:tcPr>
          <w:p>
            <w:r/>
            <w:r>
              <w:rPr>
                <w:rFonts w:ascii="Calibri" w:hAnsi="Calibri"/>
                <w:sz w:val="20"/>
              </w:rPr>
              <w:t>Iterating on individual diagrams</w:t>
            </w:r>
          </w:p>
        </w:tc>
      </w:tr>
      <w:tr>
        <w:tc>
          <w:tcPr>
            <w:tcW w:type="dxa" w:w="2160"/>
          </w:tcPr>
          <w:p>
            <w:r/>
            <w:r>
              <w:rPr>
                <w:rFonts w:ascii="Calibri" w:hAnsi="Calibri"/>
                <w:sz w:val="20"/>
              </w:rPr>
              <w:t>Typora</w:t>
            </w:r>
          </w:p>
        </w:tc>
        <w:tc>
          <w:tcPr>
            <w:tcW w:type="dxa" w:w="2160"/>
          </w:tcPr>
          <w:p>
            <w:r/>
            <w:r>
              <w:rPr>
                <w:rFonts w:ascii="Calibri" w:hAnsi="Calibri"/>
                <w:sz w:val="20"/>
              </w:rPr>
              <w:t>Open .md file directly</w:t>
            </w:r>
          </w:p>
        </w:tc>
        <w:tc>
          <w:tcPr>
            <w:tcW w:type="dxa" w:w="2160"/>
          </w:tcPr>
          <w:p>
            <w:r/>
            <w:r>
              <w:rPr>
                <w:rFonts w:ascii="Calibri" w:hAnsi="Calibri"/>
                <w:sz w:val="20"/>
              </w:rPr>
              <w:t>Yes — inline live preview</w:t>
            </w:r>
          </w:p>
        </w:tc>
        <w:tc>
          <w:tcPr>
            <w:tcW w:type="dxa" w:w="2160"/>
          </w:tcPr>
          <w:p>
            <w:r/>
            <w:r>
              <w:rPr>
                <w:rFonts w:ascii="Calibri" w:hAnsi="Calibri"/>
                <w:sz w:val="20"/>
              </w:rPr>
              <w:t>Writing and reviewing full documents</w:t>
            </w:r>
          </w:p>
        </w:tc>
      </w:tr>
      <w:tr>
        <w:tc>
          <w:tcPr>
            <w:tcW w:type="dxa" w:w="2160"/>
            <w:shd w:fill="F2F2F2" w:val="clear"/>
          </w:tcPr>
          <w:p>
            <w:r/>
            <w:r>
              <w:rPr>
                <w:rFonts w:ascii="Calibri" w:hAnsi="Calibri"/>
                <w:sz w:val="20"/>
              </w:rPr>
              <w:t>Obsidian</w:t>
            </w:r>
          </w:p>
        </w:tc>
        <w:tc>
          <w:tcPr>
            <w:tcW w:type="dxa" w:w="2160"/>
            <w:shd w:fill="F2F2F2" w:val="clear"/>
          </w:tcPr>
          <w:p>
            <w:r/>
            <w:r>
              <w:rPr>
                <w:rFonts w:ascii="Calibri" w:hAnsi="Calibri"/>
                <w:sz w:val="20"/>
              </w:rPr>
              <w:t>Import as a note into vault</w:t>
            </w:r>
          </w:p>
        </w:tc>
        <w:tc>
          <w:tcPr>
            <w:tcW w:type="dxa" w:w="2160"/>
            <w:shd w:fill="F2F2F2" w:val="clear"/>
          </w:tcPr>
          <w:p>
            <w:r/>
            <w:r>
              <w:rPr>
                <w:rFonts w:ascii="Calibri" w:hAnsi="Calibri"/>
                <w:sz w:val="20"/>
              </w:rPr>
              <w:t>Yes — with Mermaid plugin enabled</w:t>
            </w:r>
          </w:p>
        </w:tc>
        <w:tc>
          <w:tcPr>
            <w:tcW w:type="dxa" w:w="2160"/>
            <w:shd w:fill="F2F2F2" w:val="clear"/>
          </w:tcPr>
          <w:p>
            <w:r/>
            <w:r>
              <w:rPr>
                <w:rFonts w:ascii="Calibri" w:hAnsi="Calibri"/>
                <w:sz w:val="20"/>
              </w:rPr>
              <w:t>Knowledge base and long-term documentation storage</w:t>
            </w:r>
          </w:p>
        </w:tc>
      </w:tr>
      <w:tr>
        <w:tc>
          <w:tcPr>
            <w:tcW w:type="dxa" w:w="2160"/>
          </w:tcPr>
          <w:p>
            <w:r/>
            <w:r>
              <w:rPr>
                <w:rFonts w:ascii="Calibri" w:hAnsi="Calibri"/>
                <w:sz w:val="20"/>
              </w:rPr>
              <w:t>Dillinger.io</w:t>
            </w:r>
          </w:p>
        </w:tc>
        <w:tc>
          <w:tcPr>
            <w:tcW w:type="dxa" w:w="2160"/>
          </w:tcPr>
          <w:p>
            <w:r/>
            <w:r>
              <w:rPr>
                <w:rFonts w:ascii="Calibri" w:hAnsi="Calibri"/>
                <w:sz w:val="20"/>
              </w:rPr>
              <w:t>Paste content into online editor</w:t>
            </w:r>
          </w:p>
        </w:tc>
        <w:tc>
          <w:tcPr>
            <w:tcW w:type="dxa" w:w="2160"/>
          </w:tcPr>
          <w:p>
            <w:r/>
            <w:r>
              <w:rPr>
                <w:rFonts w:ascii="Calibri" w:hAnsi="Calibri"/>
                <w:sz w:val="20"/>
              </w:rPr>
              <w:t>Partial — limited Mermaid support</w:t>
            </w:r>
          </w:p>
        </w:tc>
        <w:tc>
          <w:tcPr>
            <w:tcW w:type="dxa" w:w="2160"/>
          </w:tcPr>
          <w:p>
            <w:r/>
            <w:r>
              <w:rPr>
                <w:rFonts w:ascii="Calibri" w:hAnsi="Calibri"/>
                <w:sz w:val="20"/>
              </w:rPr>
              <w:t>Quick online preview without local tooling</w:t>
            </w:r>
          </w:p>
        </w:tc>
      </w:tr>
      <w:tr>
        <w:tc>
          <w:tcPr>
            <w:tcW w:type="dxa" w:w="2160"/>
            <w:shd w:fill="F2F2F2" w:val="clear"/>
          </w:tcPr>
          <w:p>
            <w:r/>
            <w:r>
              <w:rPr>
                <w:rFonts w:ascii="Calibri" w:hAnsi="Calibri"/>
                <w:sz w:val="20"/>
              </w:rPr>
              <w:t>Azure DevOps Wiki</w:t>
            </w:r>
          </w:p>
        </w:tc>
        <w:tc>
          <w:tcPr>
            <w:tcW w:type="dxa" w:w="2160"/>
            <w:shd w:fill="F2F2F2" w:val="clear"/>
          </w:tcPr>
          <w:p>
            <w:r/>
            <w:r>
              <w:rPr>
                <w:rFonts w:ascii="Calibri" w:hAnsi="Calibri"/>
                <w:sz w:val="20"/>
              </w:rPr>
              <w:t>Upload or create wiki page</w:t>
            </w:r>
          </w:p>
        </w:tc>
        <w:tc>
          <w:tcPr>
            <w:tcW w:type="dxa" w:w="2160"/>
            <w:shd w:fill="F2F2F2" w:val="clear"/>
          </w:tcPr>
          <w:p>
            <w:r/>
            <w:r>
              <w:rPr>
                <w:rFonts w:ascii="Calibri" w:hAnsi="Calibri"/>
                <w:sz w:val="20"/>
              </w:rPr>
              <w:t>Yes — native rendering</w:t>
            </w:r>
          </w:p>
        </w:tc>
        <w:tc>
          <w:tcPr>
            <w:tcW w:type="dxa" w:w="2160"/>
            <w:shd w:fill="F2F2F2" w:val="clear"/>
          </w:tcPr>
          <w:p>
            <w:r/>
            <w:r>
              <w:rPr>
                <w:rFonts w:ascii="Calibri" w:hAnsi="Calibri"/>
                <w:sz w:val="20"/>
              </w:rPr>
              <w:t>Team wikis and project documentation portals</w:t>
            </w:r>
          </w:p>
        </w:tc>
      </w:tr>
      <w:tr>
        <w:tc>
          <w:tcPr>
            <w:tcW w:type="dxa" w:w="2160"/>
          </w:tcPr>
          <w:p>
            <w:r/>
            <w:r>
              <w:rPr>
                <w:rFonts w:ascii="Calibri" w:hAnsi="Calibri"/>
                <w:sz w:val="20"/>
              </w:rPr>
              <w:t>Confluence</w:t>
            </w:r>
          </w:p>
        </w:tc>
        <w:tc>
          <w:tcPr>
            <w:tcW w:type="dxa" w:w="2160"/>
          </w:tcPr>
          <w:p>
            <w:r/>
            <w:r>
              <w:rPr>
                <w:rFonts w:ascii="Calibri" w:hAnsi="Calibri"/>
                <w:sz w:val="20"/>
              </w:rPr>
              <w:t>Use Markdown macro or import</w:t>
            </w:r>
          </w:p>
        </w:tc>
        <w:tc>
          <w:tcPr>
            <w:tcW w:type="dxa" w:w="2160"/>
          </w:tcPr>
          <w:p>
            <w:r/>
            <w:r>
              <w:rPr>
                <w:rFonts w:ascii="Calibri" w:hAnsi="Calibri"/>
                <w:sz w:val="20"/>
              </w:rPr>
              <w:t>Partial — requires Mermaid plugin</w:t>
            </w:r>
          </w:p>
        </w:tc>
        <w:tc>
          <w:tcPr>
            <w:tcW w:type="dxa" w:w="2160"/>
          </w:tcPr>
          <w:p>
            <w:r/>
            <w:r>
              <w:rPr>
                <w:rFonts w:ascii="Calibri" w:hAnsi="Calibri"/>
                <w:sz w:val="20"/>
              </w:rPr>
              <w:t>Enterprise documentation management</w:t>
            </w:r>
          </w:p>
        </w:tc>
      </w:tr>
    </w:tbl>
    <w:tbl>
      <w:tblPr>
        <w:tblW w:type="auto" w:w="0"/>
        <w:tblLook w:firstColumn="1" w:firstRow="1" w:lastColumn="0" w:lastRow="0" w:noHBand="0" w:noVBand="1" w:val="04A0"/>
      </w:tblPr>
      <w:tblGrid>
        <w:gridCol w:w="8640"/>
      </w:tblGrid>
      <w:tr>
        <w:tc>
          <w:tcPr>
            <w:tcW w:type="dxa" w:w="8640"/>
            <w:shd w:fill="E3EFF8" w:val="clear"/>
            <w:tcBorders>
              <w:top w:val="none"/>
              <w:left w:val="single" w:sz="24" w:color="0066CC"/>
              <w:bottom w:val="none"/>
              <w:right w:val="none"/>
            </w:tcBorders>
          </w:tcPr>
          <w:p>
            <w:pPr>
              <w:spacing w:before="80" w:after="40"/>
            </w:pPr>
            <w:r/>
            <w:r>
              <w:rPr>
                <w:rFonts w:ascii="Calibri" w:hAnsi="Calibri"/>
                <w:b/>
                <w:color w:val="0066CC"/>
                <w:sz w:val="20"/>
              </w:rPr>
              <w:t>ℹ NOTE</w:t>
            </w:r>
          </w:p>
          <w:p>
            <w:pPr>
              <w:spacing w:before="40" w:after="80"/>
            </w:pPr>
            <w:r>
              <w:rPr>
                <w:rFonts w:ascii="Calibri" w:hAnsi="Calibri"/>
                <w:sz w:val="20"/>
              </w:rPr>
              <w:t xml:space="preserve">For the richest rendering experience including full Mermaid diagram support, GitHub or GitLab are recommended as the primary sharing platforms. Simply commit the generated </w:t>
            </w:r>
            <w:r>
              <w:rPr>
                <w:rFonts w:ascii="Courier New" w:hAnsi="Courier New"/>
                <w:sz w:val="18"/>
              </w:rPr>
              <w:t>.md</w:t>
            </w:r>
            <w:r>
              <w:rPr>
                <w:rFonts w:ascii="Calibri" w:hAnsi="Calibri"/>
                <w:sz w:val="20"/>
              </w:rPr>
              <w:t xml:space="preserve"> file to your repository and view it in the browser.</w:t>
            </w:r>
          </w:p>
        </w:tc>
      </w:tr>
    </w:tbl>
    <w:p>
      <w:pPr>
        <w:spacing w:after="80"/>
      </w:pPr>
    </w:p>
    <w:p>
      <w:r>
        <w:br w:type="page"/>
      </w:r>
    </w:p>
    <w:p>
      <w:pPr>
        <w:pStyle w:val="Heading1"/>
      </w:pPr>
      <w:r>
        <w:t>8. Governance and Maintenance</w:t>
      </w:r>
    </w:p>
    <w:p>
      <w:pPr>
        <w:pStyle w:val="Heading2"/>
      </w:pPr>
      <w:r>
        <w:t>8.1 Document Ownership</w:t>
      </w:r>
    </w:p>
    <w:p>
      <w:r>
        <w:rPr>
          <w:rFonts w:ascii="Calibri" w:hAnsi="Calibri"/>
          <w:sz w:val="22"/>
        </w:rPr>
        <w:t xml:space="preserve">This prompt guide is owned and maintained by the </w:t>
      </w:r>
      <w:r>
        <w:rPr>
          <w:rFonts w:ascii="Calibri" w:hAnsi="Calibri"/>
          <w:b/>
          <w:sz w:val="22"/>
        </w:rPr>
        <w:t>DMS India team</w:t>
      </w:r>
      <w:r>
        <w:rPr>
          <w:rFonts w:ascii="Calibri" w:hAnsi="Calibri"/>
          <w:sz w:val="22"/>
        </w:rPr>
        <w:t xml:space="preserve">. The designated maintainer is </w:t>
      </w:r>
      <w:r>
        <w:rPr>
          <w:rFonts w:ascii="Calibri" w:hAnsi="Calibri"/>
          <w:b/>
          <w:sz w:val="22"/>
        </w:rPr>
        <w:t>Raghavendra H R (Analyst, Enterprise Systems)</w:t>
      </w:r>
      <w:r>
        <w:rPr>
          <w:rFonts w:ascii="Calibri" w:hAnsi="Calibri"/>
          <w:sz w:val="22"/>
        </w:rPr>
        <w:t>. All proposed changes to the master prompt, section templates, or diagram standards should be submitted to the maintainer for review before being merged into the canonical version of this guide.</w:t>
      </w:r>
    </w:p>
    <w:p>
      <w:pPr>
        <w:pStyle w:val="Heading2"/>
      </w:pPr>
      <w:r>
        <w:t>8.2 When to Re-Run the Master Prompt</w:t>
      </w:r>
    </w:p>
    <w:p>
      <w:r>
        <w:rPr>
          <w:rFonts w:ascii="Calibri" w:hAnsi="Calibri"/>
          <w:sz w:val="22"/>
        </w:rPr>
        <w:t>The master prompt should be re-executed against the repository whenever any of the following conditions are met:</w:t>
      </w:r>
    </w:p>
    <w:p>
      <w:pPr>
        <w:pStyle w:val="ListBullet"/>
      </w:pPr>
      <w:r>
        <w:rPr>
          <w:rFonts w:ascii="Calibri" w:hAnsi="Calibri"/>
          <w:sz w:val="22"/>
        </w:rPr>
        <w:t>A major feature or module is added to the CLPS application</w:t>
      </w:r>
    </w:p>
    <w:p>
      <w:pPr>
        <w:pStyle w:val="ListBullet"/>
      </w:pPr>
      <w:r>
        <w:rPr>
          <w:rFonts w:ascii="Calibri" w:hAnsi="Calibri"/>
          <w:sz w:val="22"/>
        </w:rPr>
        <w:t>A significant architectural change is made (new service layer, new database, new integration)</w:t>
      </w:r>
    </w:p>
    <w:p>
      <w:pPr>
        <w:pStyle w:val="ListBullet"/>
      </w:pPr>
      <w:r>
        <w:rPr>
          <w:rFonts w:ascii="Calibri" w:hAnsi="Calibri"/>
          <w:sz w:val="22"/>
        </w:rPr>
        <w:t>A security audit or penetration test is scheduled and up-to-date documentation is required</w:t>
      </w:r>
    </w:p>
    <w:p>
      <w:pPr>
        <w:pStyle w:val="ListBullet"/>
      </w:pPr>
      <w:r>
        <w:rPr>
          <w:rFonts w:ascii="Calibri" w:hAnsi="Calibri"/>
          <w:sz w:val="22"/>
        </w:rPr>
        <w:t>A new team member joins and requires a comprehensive system orientation document</w:t>
      </w:r>
    </w:p>
    <w:p>
      <w:pPr>
        <w:pStyle w:val="ListBullet"/>
      </w:pPr>
      <w:r>
        <w:rPr>
          <w:rFonts w:ascii="Calibri" w:hAnsi="Calibri"/>
          <w:sz w:val="22"/>
        </w:rPr>
        <w:t>A production incident reveals a gap in the existing documentation</w:t>
      </w:r>
    </w:p>
    <w:p>
      <w:pPr>
        <w:pStyle w:val="ListBullet"/>
      </w:pPr>
      <w:r>
        <w:rPr>
          <w:rFonts w:ascii="Calibri" w:hAnsi="Calibri"/>
          <w:sz w:val="22"/>
        </w:rPr>
        <w:t>A quarterly architecture review is due</w:t>
      </w:r>
    </w:p>
    <w:p>
      <w:pPr>
        <w:pStyle w:val="Heading2"/>
      </w:pPr>
      <w:r>
        <w:t>8.3 Version Control for Generated Documents</w:t>
      </w:r>
    </w:p>
    <w:p>
      <w:r>
        <w:rPr>
          <w:rFonts w:ascii="Calibri" w:hAnsi="Calibri"/>
          <w:sz w:val="22"/>
        </w:rPr>
        <w:t xml:space="preserve">Every generated document should be committed to the repository under a </w:t>
      </w:r>
      <w:r>
        <w:rPr>
          <w:rFonts w:ascii="Courier New" w:hAnsi="Courier New"/>
          <w:sz w:val="20"/>
        </w:rPr>
        <w:t>/docs</w:t>
      </w:r>
      <w:r>
        <w:rPr>
          <w:rFonts w:ascii="Calibri" w:hAnsi="Calibri"/>
          <w:sz w:val="22"/>
        </w:rPr>
        <w:t xml:space="preserve"> folder with a versioned filename following the convention </w:t>
      </w:r>
      <w:r>
        <w:rPr>
          <w:rFonts w:ascii="Courier New" w:hAnsi="Courier New"/>
          <w:sz w:val="20"/>
        </w:rPr>
        <w:t>CLPS-TechDoc-v{major}.{minor}-{YYYY-MM-DD}.md</w:t>
      </w:r>
      <w:r>
        <w:rPr>
          <w:rFonts w:ascii="Calibri" w:hAnsi="Calibri"/>
          <w:sz w:val="22"/>
        </w:rPr>
        <w:t>. This ensures the team always has a traceable history of the system's architectural state at any point in time.</w:t>
      </w:r>
    </w:p>
    <w:tbl>
      <w:tblPr>
        <w:tblStyle w:val="TableGrid"/>
        <w:tblW w:type="auto" w:w="0"/>
        <w:tblLook w:firstColumn="1" w:firstRow="1" w:lastColumn="0" w:lastRow="0" w:noHBand="0" w:noVBand="1" w:val="04A0"/>
      </w:tblPr>
      <w:tblGrid>
        <w:gridCol w:w="8640"/>
      </w:tblGrid>
      <w:tr>
        <w:tc>
          <w:tcPr>
            <w:tcW w:type="dxa" w:w="8640"/>
            <w:shd w:fill="F3F4F5" w:val="clear"/>
            <w:tcBorders>
              <w:top w:val="single" w:sz="4" w:color="CCCCCC"/>
              <w:left w:val="single" w:sz="4" w:color="CCCCCC"/>
              <w:bottom w:val="single" w:sz="4" w:color="CCCCCC"/>
              <w:right w:val="single" w:sz="4" w:color="CCCCCC"/>
            </w:tcBorders>
          </w:tcPr>
          <w:p>
            <w:pPr>
              <w:spacing w:before="20" w:after="20"/>
            </w:pPr>
            <w:r/>
            <w:r>
              <w:rPr>
                <w:rFonts w:ascii="Courier New" w:hAnsi="Courier New"/>
                <w:color w:val="1A1A1A"/>
                <w:sz w:val="18"/>
              </w:rPr>
              <w:t>/docs</w:t>
            </w:r>
          </w:p>
          <w:p>
            <w:pPr>
              <w:spacing w:before="20" w:after="20"/>
            </w:pPr>
            <w:r>
              <w:rPr>
                <w:rFonts w:ascii="Courier New" w:hAnsi="Courier New"/>
                <w:color w:val="1A1A1A"/>
                <w:sz w:val="18"/>
              </w:rPr>
              <w:t xml:space="preserve">  /architecture</w:t>
            </w:r>
          </w:p>
          <w:p>
            <w:pPr>
              <w:spacing w:before="20" w:after="20"/>
            </w:pPr>
            <w:r>
              <w:rPr>
                <w:rFonts w:ascii="Courier New" w:hAnsi="Courier New"/>
                <w:color w:val="1A1A1A"/>
                <w:sz w:val="18"/>
              </w:rPr>
              <w:t xml:space="preserve">    CLPS-TechDoc-v1.0-2025-01-15.md</w:t>
            </w:r>
          </w:p>
          <w:p>
            <w:pPr>
              <w:spacing w:before="20" w:after="20"/>
            </w:pPr>
            <w:r>
              <w:rPr>
                <w:rFonts w:ascii="Courier New" w:hAnsi="Courier New"/>
                <w:color w:val="1A1A1A"/>
                <w:sz w:val="18"/>
              </w:rPr>
              <w:t xml:space="preserve">    CLPS-TechDoc-v1.1-2025-04-02.md</w:t>
            </w:r>
          </w:p>
          <w:p>
            <w:pPr>
              <w:spacing w:before="20" w:after="20"/>
            </w:pPr>
            <w:r>
              <w:rPr>
                <w:rFonts w:ascii="Courier New" w:hAnsi="Courier New"/>
                <w:color w:val="1A1A1A"/>
                <w:sz w:val="18"/>
              </w:rPr>
              <w:t xml:space="preserve">  /security</w:t>
            </w:r>
          </w:p>
          <w:p>
            <w:pPr>
              <w:spacing w:before="20" w:after="20"/>
            </w:pPr>
            <w:r>
              <w:rPr>
                <w:rFonts w:ascii="Courier New" w:hAnsi="Courier New"/>
                <w:color w:val="1A1A1A"/>
                <w:sz w:val="18"/>
              </w:rPr>
              <w:t xml:space="preserve">    CLPS-SecurityReview-v1.0-2025-03-10.md</w:t>
            </w:r>
          </w:p>
          <w:p>
            <w:pPr>
              <w:spacing w:before="20" w:after="20"/>
            </w:pPr>
            <w:r>
              <w:rPr>
                <w:rFonts w:ascii="Courier New" w:hAnsi="Courier New"/>
                <w:color w:val="1A1A1A"/>
                <w:sz w:val="18"/>
              </w:rPr>
              <w:t xml:space="preserve">  /api</w:t>
            </w:r>
          </w:p>
          <w:p>
            <w:pPr>
              <w:spacing w:before="20" w:after="20"/>
            </w:pPr>
            <w:r>
              <w:rPr>
                <w:rFonts w:ascii="Courier New" w:hAnsi="Courier New"/>
                <w:color w:val="1A1A1A"/>
                <w:sz w:val="18"/>
              </w:rPr>
              <w:t xml:space="preserve">    CLPS-APISpec-v1.0-2025-01-15.md</w:t>
            </w:r>
          </w:p>
          <w:p>
            <w:pPr>
              <w:spacing w:before="20" w:after="20"/>
            </w:pPr>
            <w:r>
              <w:rPr>
                <w:rFonts w:ascii="Courier New" w:hAnsi="Courier New"/>
                <w:color w:val="1A1A1A"/>
                <w:sz w:val="18"/>
              </w:rPr>
              <w:t xml:space="preserve">  /database</w:t>
            </w:r>
          </w:p>
          <w:p>
            <w:pPr>
              <w:spacing w:before="20" w:after="20"/>
            </w:pPr>
            <w:r>
              <w:rPr>
                <w:rFonts w:ascii="Courier New" w:hAnsi="Courier New"/>
                <w:color w:val="1A1A1A"/>
                <w:sz w:val="18"/>
              </w:rPr>
              <w:t xml:space="preserve">    CLPS-DBDesign-v1.0-2025-01-15.md</w:t>
            </w:r>
          </w:p>
        </w:tc>
      </w:tr>
    </w:tbl>
    <w:p>
      <w:pPr>
        <w:spacing w:after="120"/>
      </w:pPr>
    </w:p>
    <w:p>
      <w:pPr>
        <w:pStyle w:val="Heading2"/>
      </w:pPr>
      <w:r>
        <w:t>8.4 Version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5B6" w:val="clear"/>
          </w:tcPr>
          <w:p>
            <w:r>
              <w:rPr>
                <w:b/>
              </w:rPr>
            </w:r>
            <w:r>
              <w:rPr>
                <w:rFonts w:ascii="Calibri" w:hAnsi="Calibri"/>
                <w:b/>
                <w:color w:val="FFFFFF"/>
                <w:sz w:val="20"/>
              </w:rPr>
              <w:t>Version</w:t>
            </w:r>
          </w:p>
        </w:tc>
        <w:tc>
          <w:tcPr>
            <w:tcW w:type="dxa" w:w="2160"/>
            <w:shd w:fill="2E75B6" w:val="clear"/>
          </w:tcPr>
          <w:p>
            <w:r>
              <w:rPr>
                <w:b/>
              </w:rPr>
            </w:r>
            <w:r>
              <w:rPr>
                <w:rFonts w:ascii="Calibri" w:hAnsi="Calibri"/>
                <w:b/>
                <w:color w:val="FFFFFF"/>
                <w:sz w:val="20"/>
              </w:rPr>
              <w:t>Date</w:t>
            </w:r>
          </w:p>
        </w:tc>
        <w:tc>
          <w:tcPr>
            <w:tcW w:type="dxa" w:w="2160"/>
            <w:shd w:fill="2E75B6" w:val="clear"/>
          </w:tcPr>
          <w:p>
            <w:r>
              <w:rPr>
                <w:b/>
              </w:rPr>
            </w:r>
            <w:r>
              <w:rPr>
                <w:rFonts w:ascii="Calibri" w:hAnsi="Calibri"/>
                <w:b/>
                <w:color w:val="FFFFFF"/>
                <w:sz w:val="20"/>
              </w:rPr>
              <w:t>Author</w:t>
            </w:r>
          </w:p>
        </w:tc>
        <w:tc>
          <w:tcPr>
            <w:tcW w:type="dxa" w:w="2160"/>
            <w:shd w:fill="2E75B6" w:val="clear"/>
          </w:tcPr>
          <w:p>
            <w:r>
              <w:rPr>
                <w:b/>
              </w:rPr>
            </w:r>
            <w:r>
              <w:rPr>
                <w:rFonts w:ascii="Calibri" w:hAnsi="Calibri"/>
                <w:b/>
                <w:color w:val="FFFFFF"/>
                <w:sz w:val="20"/>
              </w:rPr>
              <w:t>Changes Made</w:t>
            </w:r>
          </w:p>
        </w:tc>
      </w:tr>
      <w:tr>
        <w:tc>
          <w:tcPr>
            <w:tcW w:type="dxa" w:w="2160"/>
            <w:shd w:fill="F2F2F2" w:val="clear"/>
          </w:tcPr>
          <w:p>
            <w:r/>
            <w:r>
              <w:rPr>
                <w:rFonts w:ascii="Calibri" w:hAnsi="Calibri"/>
                <w:sz w:val="20"/>
              </w:rPr>
              <w:t>v1.0</w:t>
            </w:r>
          </w:p>
        </w:tc>
        <w:tc>
          <w:tcPr>
            <w:tcW w:type="dxa" w:w="2160"/>
            <w:shd w:fill="F2F2F2" w:val="clear"/>
          </w:tcPr>
          <w:p>
            <w:r/>
            <w:r>
              <w:rPr>
                <w:rFonts w:ascii="Calibri" w:hAnsi="Calibri"/>
                <w:sz w:val="20"/>
              </w:rPr>
              <w:t>2025</w:t>
            </w:r>
          </w:p>
        </w:tc>
        <w:tc>
          <w:tcPr>
            <w:tcW w:type="dxa" w:w="2160"/>
            <w:shd w:fill="F2F2F2" w:val="clear"/>
          </w:tcPr>
          <w:p>
            <w:r/>
            <w:r>
              <w:rPr>
                <w:rFonts w:ascii="Calibri" w:hAnsi="Calibri"/>
                <w:sz w:val="20"/>
              </w:rPr>
              <w:t>Raghavendra H R</w:t>
            </w:r>
          </w:p>
        </w:tc>
        <w:tc>
          <w:tcPr>
            <w:tcW w:type="dxa" w:w="2160"/>
            <w:shd w:fill="F2F2F2" w:val="clear"/>
          </w:tcPr>
          <w:p>
            <w:r/>
            <w:r>
              <w:rPr>
                <w:rFonts w:ascii="Calibri" w:hAnsi="Calibri"/>
                <w:sz w:val="20"/>
              </w:rPr>
              <w:t>Initial prompt template created and published to DMS India team</w:t>
            </w:r>
          </w:p>
        </w:tc>
      </w:tr>
    </w:tbl>
    <w:p>
      <w:r>
        <w:br w:type="page"/>
      </w:r>
    </w:p>
    <w:p>
      <w:pPr>
        <w:pStyle w:val="Heading1"/>
      </w:pPr>
      <w:r>
        <w:t>9. Frequently Asked Questions</w:t>
      </w:r>
    </w:p>
    <w:p>
      <w:pPr>
        <w:pStyle w:val="Heading2"/>
      </w:pPr>
      <w:r>
        <w:t>9.1 Can this prompt be used for systems other than CLPS?</w:t>
      </w:r>
    </w:p>
    <w:p>
      <w:r>
        <w:rPr>
          <w:rFonts w:ascii="Calibri" w:hAnsi="Calibri"/>
          <w:sz w:val="22"/>
        </w:rPr>
        <w:t xml:space="preserve">Yes. The master prompt is designed to be adaptable. Replace the CLPS-specific context in the </w:t>
      </w:r>
      <w:r>
        <w:rPr>
          <w:rFonts w:ascii="Calibri" w:hAnsi="Calibri"/>
          <w:b/>
          <w:sz w:val="22"/>
        </w:rPr>
        <w:t>System Context Block</w:t>
      </w:r>
      <w:r>
        <w:rPr>
          <w:rFonts w:ascii="Calibri" w:hAnsi="Calibri"/>
          <w:sz w:val="22"/>
        </w:rPr>
        <w:t xml:space="preserve"> (Section 4.1) with the relevant domain terminology for your target system. The 19-section structure, diagram templates, and output format instructions are system-agnostic and apply to any enterprise .NET application.</w:t>
      </w:r>
    </w:p>
    <w:p>
      <w:pPr>
        <w:pStyle w:val="Heading2"/>
      </w:pPr>
      <w:r>
        <w:t>9.2 What if the AI cannot access the repository directly?</w:t>
      </w:r>
    </w:p>
    <w:p>
      <w:r>
        <w:rPr>
          <w:rFonts w:ascii="Calibri" w:hAnsi="Calibri"/>
          <w:sz w:val="22"/>
        </w:rPr>
        <w:t xml:space="preserve">If your AI assistant does not support direct repository access, paste the most critical source files inline into the chat session in the following priority order: </w:t>
      </w:r>
      <w:r>
        <w:rPr>
          <w:rFonts w:ascii="Courier New" w:hAnsi="Courier New"/>
          <w:sz w:val="20"/>
        </w:rPr>
        <w:t>Program.cs</w:t>
      </w:r>
      <w:r>
        <w:rPr>
          <w:rFonts w:ascii="Calibri" w:hAnsi="Calibri"/>
          <w:sz w:val="22"/>
        </w:rPr>
        <w:t xml:space="preserve">, all controller files, all service files, all repository files, </w:t>
      </w:r>
      <w:r>
        <w:rPr>
          <w:rFonts w:ascii="Courier New" w:hAnsi="Courier New"/>
          <w:sz w:val="20"/>
        </w:rPr>
        <w:t>appsettings.json</w:t>
      </w:r>
      <w:r>
        <w:rPr>
          <w:rFonts w:ascii="Calibri" w:hAnsi="Calibri"/>
          <w:sz w:val="22"/>
        </w:rPr>
        <w:t xml:space="preserve">, and the EF Core </w:t>
      </w:r>
      <w:r>
        <w:rPr>
          <w:rFonts w:ascii="Courier New" w:hAnsi="Courier New"/>
          <w:sz w:val="20"/>
        </w:rPr>
        <w:t>DbContext</w:t>
      </w:r>
      <w:r>
        <w:rPr>
          <w:rFonts w:ascii="Calibri" w:hAnsi="Calibri"/>
          <w:sz w:val="22"/>
        </w:rPr>
        <w:t>. While this approach is more manual, it will still produce high-quality output for the sections that depend on those files.</w:t>
      </w:r>
    </w:p>
    <w:p>
      <w:pPr>
        <w:pStyle w:val="Heading2"/>
      </w:pPr>
      <w:r>
        <w:t>9.3 How long does the generated document typically run?</w:t>
      </w:r>
    </w:p>
    <w:p>
      <w:r>
        <w:rPr>
          <w:rFonts w:ascii="Calibri" w:hAnsi="Calibri"/>
          <w:sz w:val="22"/>
        </w:rPr>
        <w:t xml:space="preserve">For a medium-complexity CLPS application with 10–20 controllers, 20–40 services, and a database of 30–60 tables, the generated document typically runs between </w:t>
      </w:r>
      <w:r>
        <w:rPr>
          <w:rFonts w:ascii="Calibri" w:hAnsi="Calibri"/>
          <w:b/>
          <w:sz w:val="22"/>
        </w:rPr>
        <w:t>8,000 and 15,000 words</w:t>
      </w:r>
      <w:r>
        <w:rPr>
          <w:rFonts w:ascii="Calibri" w:hAnsi="Calibri"/>
          <w:sz w:val="22"/>
        </w:rPr>
        <w:t xml:space="preserve"> across all 19 sections, including diagrams and tables. Larger systems with extensive integration landscapes or complex deployment topologies may produce documents exceeding 20,000 words.</w:t>
      </w:r>
    </w:p>
    <w:p>
      <w:pPr>
        <w:pStyle w:val="Heading2"/>
      </w:pPr>
      <w:r>
        <w:t>9.4 Should the generated document be reviewed before sharing?</w:t>
      </w:r>
    </w:p>
    <w:p>
      <w:r>
        <w:rPr>
          <w:rFonts w:ascii="Calibri" w:hAnsi="Calibri"/>
          <w:sz w:val="22"/>
        </w:rPr>
        <w:t xml:space="preserve">Yes, always. While the prompt enforces evidence-based findings and prohibits assumptions, the generated document should be reviewed by at least one team member with direct knowledge of the system before being shared with stakeholders. Pay particular attention to the </w:t>
      </w:r>
      <w:r>
        <w:rPr>
          <w:rFonts w:ascii="Calibri" w:hAnsi="Calibri"/>
          <w:b/>
          <w:sz w:val="22"/>
        </w:rPr>
        <w:t>Security Vulnerability Register</w:t>
      </w:r>
      <w:r>
        <w:rPr>
          <w:rFonts w:ascii="Calibri" w:hAnsi="Calibri"/>
          <w:sz w:val="22"/>
        </w:rPr>
        <w:t xml:space="preserve"> (Section 10) and the </w:t>
      </w:r>
      <w:r>
        <w:rPr>
          <w:rFonts w:ascii="Calibri" w:hAnsi="Calibri"/>
          <w:b/>
          <w:sz w:val="22"/>
        </w:rPr>
        <w:t>Production Readiness Scorecard</w:t>
      </w:r>
      <w:r>
        <w:rPr>
          <w:rFonts w:ascii="Calibri" w:hAnsi="Calibri"/>
          <w:sz w:val="22"/>
        </w:rPr>
        <w:t xml:space="preserve"> (Section 18), as these sections carry the highest risk if inaccuracies are present.</w:t>
      </w:r>
    </w:p>
    <w:tbl>
      <w:tblPr>
        <w:tblW w:type="auto" w:w="0"/>
        <w:tblLook w:firstColumn="1" w:firstRow="1" w:lastColumn="0" w:lastRow="0" w:noHBand="0" w:noVBand="1" w:val="04A0"/>
      </w:tblPr>
      <w:tblGrid>
        <w:gridCol w:w="8640"/>
      </w:tblGrid>
      <w:tr>
        <w:tc>
          <w:tcPr>
            <w:tcW w:type="dxa" w:w="8640"/>
            <w:shd w:fill="FFF3CD" w:val="clear"/>
            <w:tcBorders>
              <w:top w:val="none"/>
              <w:left w:val="single" w:sz="24" w:color="FF6B35"/>
              <w:bottom w:val="none"/>
              <w:right w:val="none"/>
            </w:tcBorders>
          </w:tcPr>
          <w:p>
            <w:pPr>
              <w:spacing w:before="80" w:after="40"/>
            </w:pPr>
            <w:r/>
            <w:r>
              <w:rPr>
                <w:rFonts w:ascii="Calibri" w:hAnsi="Calibri"/>
                <w:b/>
                <w:color w:val="C05000"/>
                <w:sz w:val="20"/>
              </w:rPr>
              <w:t>⚠ WARNING</w:t>
            </w:r>
          </w:p>
          <w:p>
            <w:pPr>
              <w:spacing w:before="40" w:after="80"/>
            </w:pPr>
            <w:r>
              <w:rPr>
                <w:rFonts w:ascii="Calibri" w:hAnsi="Calibri"/>
                <w:sz w:val="20"/>
              </w:rPr>
              <w:t>Never share the generated Security Review section externally (outside your organisation) without first redacting specific vulnerability details, file paths, and class names. This information could be exploited if it reaches unintended recipients.</w:t>
            </w:r>
          </w:p>
        </w:tc>
      </w:tr>
    </w:tbl>
    <w:p>
      <w:pPr>
        <w:spacing w:after="80"/>
      </w:pPr>
    </w:p>
    <w:p>
      <w:pPr>
        <w:pStyle w:val="Heading2"/>
      </w:pPr>
      <w:r>
        <w:t>9.5 Can individual sections be regenerated without re-running the full prompt?</w:t>
      </w:r>
    </w:p>
    <w:p>
      <w:r>
        <w:rPr>
          <w:rFonts w:ascii="Calibri" w:hAnsi="Calibri"/>
          <w:sz w:val="22"/>
        </w:rPr>
        <w:t xml:space="preserve">Yes. Refer to the </w:t>
      </w:r>
      <w:r>
        <w:rPr>
          <w:rFonts w:ascii="Calibri" w:hAnsi="Calibri"/>
          <w:b/>
          <w:sz w:val="22"/>
        </w:rPr>
        <w:t>Quick Reference Card</w:t>
      </w:r>
      <w:r>
        <w:rPr>
          <w:rFonts w:ascii="Calibri" w:hAnsi="Calibri"/>
          <w:sz w:val="22"/>
        </w:rPr>
        <w:t xml:space="preserve"> in Section 3 of this guide. Each section of the master prompt is self-contained and can be extracted and run independently. For example, if only the API documentation needs to be refreshed after a new endpoint is added, run Section 8 of the master prompt in isolation with the updated controller files attached.</w:t>
      </w:r>
    </w:p>
    <w:p>
      <w:r>
        <w:br w:type="page"/>
      </w:r>
    </w:p>
    <w:p>
      <w:pPr>
        <w:pStyle w:val="Heading1"/>
      </w:pPr>
      <w:r>
        <w:t>10. End of Guide</w:t>
      </w:r>
    </w:p>
    <w:tbl>
      <w:tblPr>
        <w:tblW w:type="auto" w:w="0"/>
        <w:tblLook w:firstColumn="1" w:firstRow="1" w:lastColumn="0" w:lastRow="0" w:noHBand="0" w:noVBand="1" w:val="04A0"/>
      </w:tblPr>
      <w:tblGrid>
        <w:gridCol w:w="8640"/>
      </w:tblGrid>
      <w:tr>
        <w:tc>
          <w:tcPr>
            <w:tcW w:type="dxa" w:w="8640"/>
            <w:shd w:fill="E3EFF8" w:val="clear"/>
            <w:tcBorders>
              <w:top w:val="none"/>
              <w:left w:val="single" w:sz="24" w:color="0066CC"/>
              <w:bottom w:val="none"/>
              <w:right w:val="none"/>
            </w:tcBorders>
          </w:tcPr>
          <w:p>
            <w:pPr>
              <w:spacing w:before="80" w:after="40"/>
            </w:pPr>
            <w:r/>
            <w:r>
              <w:rPr>
                <w:rFonts w:ascii="Calibri" w:hAnsi="Calibri"/>
                <w:b/>
                <w:color w:val="0066CC"/>
                <w:sz w:val="20"/>
              </w:rPr>
              <w:t>ℹ NOTE</w:t>
            </w:r>
          </w:p>
          <w:p>
            <w:pPr>
              <w:spacing w:before="40" w:after="80"/>
            </w:pPr>
            <w:r>
              <w:rPr>
                <w:rFonts w:ascii="Calibri" w:hAnsi="Calibri"/>
                <w:sz w:val="20"/>
              </w:rPr>
              <w:t>This prompt guide is maintained by the DMS India team. For updates, corrections, or improvements, contact Raghavendra H R (Analyst, Enterprise Systems). When submitting a proposed change, include the section number, the current text, the proposed replacement text, and the rationale for the change.</w:t>
            </w:r>
          </w:p>
        </w:tc>
      </w:tr>
    </w:tbl>
    <w:p>
      <w:pPr>
        <w:spacing w:after="80"/>
      </w:pPr>
    </w:p>
    <w:p/>
    <w:p>
      <w:pPr>
        <w:pStyle w:val="Heading1"/>
      </w:pPr>
      <w:r>
        <w:t>Data Visualizations</w:t>
      </w:r>
    </w:p>
    <w:p>
      <w:r>
        <w:drawing>
          <wp:inline xmlns:a="http://schemas.openxmlformats.org/drawingml/2006/main" xmlns:pic="http://schemas.openxmlformats.org/drawingml/2006/picture">
            <wp:extent cx="5486400" cy="3272782"/>
            <wp:docPr id="1" name="Picture 1"/>
            <wp:cNvGraphicFramePr>
              <a:graphicFrameLocks noChangeAspect="1"/>
            </wp:cNvGraphicFramePr>
            <a:graphic>
              <a:graphicData uri="http://schemas.openxmlformats.org/drawingml/2006/picture">
                <pic:pic>
                  <pic:nvPicPr>
                    <pic:cNvPr id="0" name="tmpyz8zn11f.png"/>
                    <pic:cNvPicPr/>
                  </pic:nvPicPr>
                  <pic:blipFill>
                    <a:blip r:embed="rId13"/>
                    <a:stretch>
                      <a:fillRect/>
                    </a:stretch>
                  </pic:blipFill>
                  <pic:spPr>
                    <a:xfrm>
                      <a:off x="0" y="0"/>
                      <a:ext cx="5486400" cy="3272782"/>
                    </a:xfrm>
                    <a:prstGeom prst="rect"/>
                  </pic:spPr>
                </pic:pic>
              </a:graphicData>
            </a:graphic>
          </wp:inline>
        </w:drawing>
      </w:r>
    </w:p>
    <w:p/>
    <w:p>
      <w:r>
        <w:drawing>
          <wp:inline xmlns:a="http://schemas.openxmlformats.org/drawingml/2006/main" xmlns:pic="http://schemas.openxmlformats.org/drawingml/2006/picture">
            <wp:extent cx="5486400" cy="3272782"/>
            <wp:docPr id="2" name="Picture 2"/>
            <wp:cNvGraphicFramePr>
              <a:graphicFrameLocks noChangeAspect="1"/>
            </wp:cNvGraphicFramePr>
            <a:graphic>
              <a:graphicData uri="http://schemas.openxmlformats.org/drawingml/2006/picture">
                <pic:pic>
                  <pic:nvPicPr>
                    <pic:cNvPr id="0" name="tmp8o_3stej.png"/>
                    <pic:cNvPicPr/>
                  </pic:nvPicPr>
                  <pic:blipFill>
                    <a:blip r:embed="rId14"/>
                    <a:stretch>
                      <a:fillRect/>
                    </a:stretch>
                  </pic:blipFill>
                  <pic:spPr>
                    <a:xfrm>
                      <a:off x="0" y="0"/>
                      <a:ext cx="5486400" cy="3272782"/>
                    </a:xfrm>
                    <a:prstGeom prst="rect"/>
                  </pic:spPr>
                </pic:pic>
              </a:graphicData>
            </a:graphic>
          </wp:inline>
        </w:drawing>
      </w:r>
    </w:p>
    <w:p/>
    <w:p>
      <w:r>
        <w:drawing>
          <wp:inline xmlns:a="http://schemas.openxmlformats.org/drawingml/2006/main" xmlns:pic="http://schemas.openxmlformats.org/drawingml/2006/picture">
            <wp:extent cx="5486400" cy="5690308"/>
            <wp:docPr id="3" name="Picture 3"/>
            <wp:cNvGraphicFramePr>
              <a:graphicFrameLocks noChangeAspect="1"/>
            </wp:cNvGraphicFramePr>
            <a:graphic>
              <a:graphicData uri="http://schemas.openxmlformats.org/drawingml/2006/picture">
                <pic:pic>
                  <pic:nvPicPr>
                    <pic:cNvPr id="0" name="tmp0w6tp_z9.png"/>
                    <pic:cNvPicPr/>
                  </pic:nvPicPr>
                  <pic:blipFill>
                    <a:blip r:embed="rId15"/>
                    <a:stretch>
                      <a:fillRect/>
                    </a:stretch>
                  </pic:blipFill>
                  <pic:spPr>
                    <a:xfrm>
                      <a:off x="0" y="0"/>
                      <a:ext cx="5486400" cy="5690308"/>
                    </a:xfrm>
                    <a:prstGeom prst="rect"/>
                  </pic:spPr>
                </pic:pic>
              </a:graphicData>
            </a:graphic>
          </wp:inline>
        </w:drawing>
      </w:r>
    </w:p>
    <w:p/>
    <w:p>
      <w:r>
        <w:drawing>
          <wp:inline xmlns:a="http://schemas.openxmlformats.org/drawingml/2006/main" xmlns:pic="http://schemas.openxmlformats.org/drawingml/2006/picture">
            <wp:extent cx="5486400" cy="3272782"/>
            <wp:docPr id="4" name="Picture 4"/>
            <wp:cNvGraphicFramePr>
              <a:graphicFrameLocks noChangeAspect="1"/>
            </wp:cNvGraphicFramePr>
            <a:graphic>
              <a:graphicData uri="http://schemas.openxmlformats.org/drawingml/2006/picture">
                <pic:pic>
                  <pic:nvPicPr>
                    <pic:cNvPr id="0" name="tmpp16n8l9v.png"/>
                    <pic:cNvPicPr/>
                  </pic:nvPicPr>
                  <pic:blipFill>
                    <a:blip r:embed="rId16"/>
                    <a:stretch>
                      <a:fillRect/>
                    </a:stretch>
                  </pic:blipFill>
                  <pic:spPr>
                    <a:xfrm>
                      <a:off x="0" y="0"/>
                      <a:ext cx="5486400" cy="3272782"/>
                    </a:xfrm>
                    <a:prstGeom prst="rect"/>
                  </pic:spPr>
                </pic:pic>
              </a:graphicData>
            </a:graphic>
          </wp:inline>
        </w:drawing>
      </w:r>
    </w:p>
    <w:p/>
    <w:p>
      <w:r>
        <w:br w:type="page"/>
      </w:r>
    </w:p>
    <w:p>
      <w:pPr>
        <w:pStyle w:val="Heading1"/>
      </w:pPr>
      <w:r>
        <w:t>References</w:t>
      </w:r>
    </w:p>
    <w:p>
      <w:pPr>
        <w:spacing w:before="80" w:after="80"/>
      </w:pPr>
      <w:r>
        <w:rPr>
          <w:rFonts w:ascii="Calibri" w:hAnsi="Calibri"/>
          <w:b/>
          <w:color w:val="1F4E79"/>
          <w:sz w:val="20"/>
        </w:rPr>
        <w:t xml:space="preserve">[1]  </w:t>
      </w:r>
      <w:r>
        <w:rPr>
          <w:rFonts w:ascii="Calibri" w:hAnsi="Calibri"/>
          <w:b/>
          <w:sz w:val="20"/>
        </w:rPr>
        <w:t>Microsoft ASP.NET Core Documentation</w:t>
      </w:r>
      <w:r>
        <w:rPr>
          <w:sz w:val="18"/>
        </w:rPr>
        <w:t xml:space="preserve">  —  </w:t>
      </w:r>
      <w:hyperlink w:history="1" r:id="rId17">
        <w:r>
          <w:rPr>
            <w:rFonts w:ascii="Calibri" w:hAnsi="Calibri"/>
            <w:sz w:val="18"/>
            <w:color w:val="0563C1"/>
            <w:u w:val="single"/>
          </w:rPr>
          <w:t xml:space="preserve">https://learn.microsoft.com/en-us/aspnet/core/</w:t>
        </w:r>
      </w:hyperlink>
    </w:p>
    <w:p>
      <w:pPr>
        <w:spacing w:before="20" w:after="80"/>
        <w:ind w:left="720"/>
      </w:pPr>
      <w:r>
        <w:rPr>
          <w:rFonts w:ascii="Calibri" w:hAnsi="Calibri"/>
          <w:i/>
          <w:color w:val="808080"/>
          <w:sz w:val="18"/>
        </w:rPr>
        <w:t>Official Microsoft documentation for ASP.NET Core — referenced for controller, middleware, and DI patterns described in the prompt</w:t>
      </w:r>
    </w:p>
    <w:p>
      <w:pPr>
        <w:spacing w:before="80" w:after="80"/>
      </w:pPr>
      <w:r>
        <w:rPr>
          <w:rFonts w:ascii="Calibri" w:hAnsi="Calibri"/>
          <w:b/>
          <w:color w:val="1F4E79"/>
          <w:sz w:val="20"/>
        </w:rPr>
        <w:t xml:space="preserve">[2]  </w:t>
      </w:r>
      <w:r>
        <w:rPr>
          <w:rFonts w:ascii="Calibri" w:hAnsi="Calibri"/>
          <w:b/>
          <w:sz w:val="20"/>
        </w:rPr>
        <w:t>Entity Framework Core Documentation</w:t>
      </w:r>
      <w:r>
        <w:rPr>
          <w:sz w:val="18"/>
        </w:rPr>
        <w:t xml:space="preserve">  —  </w:t>
      </w:r>
      <w:hyperlink w:history="1" r:id="rId18">
        <w:r>
          <w:rPr>
            <w:rFonts w:ascii="Calibri" w:hAnsi="Calibri"/>
            <w:sz w:val="18"/>
            <w:color w:val="0563C1"/>
            <w:u w:val="single"/>
          </w:rPr>
          <w:t xml:space="preserve">https://learn.microsoft.com/en-us/ef/core/</w:t>
        </w:r>
      </w:hyperlink>
    </w:p>
    <w:p>
      <w:pPr>
        <w:spacing w:before="20" w:after="80"/>
        <w:ind w:left="720"/>
      </w:pPr>
      <w:r>
        <w:rPr>
          <w:rFonts w:ascii="Calibri" w:hAnsi="Calibri"/>
          <w:i/>
          <w:color w:val="808080"/>
          <w:sz w:val="18"/>
        </w:rPr>
        <w:t>Official Microsoft EF Core documentation — referenced for DbContext, migrations, and query patterns described in Sections 7 and 16</w:t>
      </w:r>
    </w:p>
    <w:p>
      <w:pPr>
        <w:spacing w:before="80" w:after="80"/>
      </w:pPr>
      <w:r>
        <w:rPr>
          <w:rFonts w:ascii="Calibri" w:hAnsi="Calibri"/>
          <w:b/>
          <w:color w:val="1F4E79"/>
          <w:sz w:val="20"/>
        </w:rPr>
        <w:t xml:space="preserve">[3]  </w:t>
      </w:r>
      <w:r>
        <w:rPr>
          <w:rFonts w:ascii="Calibri" w:hAnsi="Calibri"/>
          <w:b/>
          <w:sz w:val="20"/>
        </w:rPr>
        <w:t>Mermaid Diagram Syntax Reference</w:t>
      </w:r>
      <w:r>
        <w:rPr>
          <w:sz w:val="18"/>
        </w:rPr>
        <w:t xml:space="preserve">  —  </w:t>
      </w:r>
      <w:hyperlink w:history="1" r:id="rId19">
        <w:r>
          <w:rPr>
            <w:rFonts w:ascii="Calibri" w:hAnsi="Calibri"/>
            <w:sz w:val="18"/>
            <w:color w:val="0563C1"/>
            <w:u w:val="single"/>
          </w:rPr>
          <w:t xml:space="preserve">https://mermaid.js.org/intro/</w:t>
        </w:r>
      </w:hyperlink>
    </w:p>
    <w:p>
      <w:pPr>
        <w:spacing w:before="20" w:after="80"/>
        <w:ind w:left="720"/>
      </w:pPr>
      <w:r>
        <w:rPr>
          <w:rFonts w:ascii="Calibri" w:hAnsi="Calibri"/>
          <w:i/>
          <w:color w:val="808080"/>
          <w:sz w:val="18"/>
        </w:rPr>
        <w:t>Official Mermaid documentation — referenced for all diagram syntax templates included in Sections 3, 7, 13, and 14</w:t>
      </w:r>
    </w:p>
    <w:p>
      <w:pPr>
        <w:spacing w:before="80" w:after="80"/>
      </w:pPr>
      <w:r>
        <w:rPr>
          <w:rFonts w:ascii="Calibri" w:hAnsi="Calibri"/>
          <w:b/>
          <w:color w:val="1F4E79"/>
          <w:sz w:val="20"/>
        </w:rPr>
        <w:t xml:space="preserve">[4]  </w:t>
      </w:r>
      <w:r>
        <w:rPr>
          <w:rFonts w:ascii="Calibri" w:hAnsi="Calibri"/>
          <w:b/>
          <w:sz w:val="20"/>
        </w:rPr>
        <w:t>Serilog Structured Logging for .NET</w:t>
      </w:r>
      <w:r>
        <w:rPr>
          <w:sz w:val="18"/>
        </w:rPr>
        <w:t xml:space="preserve">  —  </w:t>
      </w:r>
      <w:hyperlink w:history="1" r:id="rId20">
        <w:r>
          <w:rPr>
            <w:rFonts w:ascii="Calibri" w:hAnsi="Calibri"/>
            <w:sz w:val="18"/>
            <w:color w:val="0563C1"/>
            <w:u w:val="single"/>
          </w:rPr>
          <w:t xml:space="preserve">https://serilog.net/</w:t>
        </w:r>
      </w:hyperlink>
    </w:p>
    <w:p>
      <w:pPr>
        <w:spacing w:before="20" w:after="80"/>
        <w:ind w:left="720"/>
      </w:pPr>
      <w:r>
        <w:rPr>
          <w:rFonts w:ascii="Calibri" w:hAnsi="Calibri"/>
          <w:i/>
          <w:color w:val="808080"/>
          <w:sz w:val="18"/>
        </w:rPr>
        <w:t>Official Serilog documentation — referenced for logging framework guidance in Section 12</w:t>
      </w:r>
    </w:p>
    <w:p>
      <w:pPr>
        <w:spacing w:before="80" w:after="80"/>
      </w:pPr>
      <w:r>
        <w:rPr>
          <w:rFonts w:ascii="Calibri" w:hAnsi="Calibri"/>
          <w:b/>
          <w:color w:val="1F4E79"/>
          <w:sz w:val="20"/>
        </w:rPr>
        <w:t xml:space="preserve">[5]  </w:t>
      </w:r>
      <w:r>
        <w:rPr>
          <w:rFonts w:ascii="Calibri" w:hAnsi="Calibri"/>
          <w:b/>
          <w:sz w:val="20"/>
        </w:rPr>
        <w:t>FluentValidation Documentation</w:t>
      </w:r>
      <w:r>
        <w:rPr>
          <w:sz w:val="18"/>
        </w:rPr>
        <w:t xml:space="preserve">  —  </w:t>
      </w:r>
      <w:hyperlink w:history="1" r:id="rId21">
        <w:r>
          <w:rPr>
            <w:rFonts w:ascii="Calibri" w:hAnsi="Calibri"/>
            <w:sz w:val="18"/>
            <w:color w:val="0563C1"/>
            <w:u w:val="single"/>
          </w:rPr>
          <w:t xml:space="preserve">https://docs.fluentvalidation.net/</w:t>
        </w:r>
      </w:hyperlink>
    </w:p>
    <w:p>
      <w:pPr>
        <w:spacing w:before="20" w:after="80"/>
        <w:ind w:left="720"/>
      </w:pPr>
      <w:r>
        <w:rPr>
          <w:rFonts w:ascii="Calibri" w:hAnsi="Calibri"/>
          <w:i/>
          <w:color w:val="808080"/>
          <w:sz w:val="18"/>
        </w:rPr>
        <w:t>Official FluentValidation documentation — referenced for validation patterns described in Sections 6 and 9</w:t>
      </w:r>
    </w:p>
    <w:p>
      <w:pPr>
        <w:spacing w:before="80" w:after="80"/>
      </w:pPr>
      <w:r>
        <w:rPr>
          <w:rFonts w:ascii="Calibri" w:hAnsi="Calibri"/>
          <w:b/>
          <w:color w:val="1F4E79"/>
          <w:sz w:val="20"/>
        </w:rPr>
        <w:t xml:space="preserve">[6]  </w:t>
      </w:r>
      <w:r>
        <w:rPr>
          <w:rFonts w:ascii="Calibri" w:hAnsi="Calibri"/>
          <w:b/>
          <w:sz w:val="20"/>
        </w:rPr>
        <w:t>Polly Resilience and Transient Fault Handling</w:t>
      </w:r>
      <w:r>
        <w:rPr>
          <w:sz w:val="18"/>
        </w:rPr>
        <w:t xml:space="preserve">  —  </w:t>
      </w:r>
      <w:hyperlink w:history="1" r:id="rId22">
        <w:r>
          <w:rPr>
            <w:rFonts w:ascii="Calibri" w:hAnsi="Calibri"/>
            <w:sz w:val="18"/>
            <w:color w:val="0563C1"/>
            <w:u w:val="single"/>
          </w:rPr>
          <w:t xml:space="preserve">https://github.com/App-vNext/Polly</w:t>
        </w:r>
      </w:hyperlink>
    </w:p>
    <w:p>
      <w:pPr>
        <w:spacing w:before="20" w:after="80"/>
        <w:ind w:left="720"/>
      </w:pPr>
      <w:r>
        <w:rPr>
          <w:rFonts w:ascii="Calibri" w:hAnsi="Calibri"/>
          <w:i/>
          <w:color w:val="808080"/>
          <w:sz w:val="18"/>
        </w:rPr>
        <w:t>Official Polly GitHub repository — referenced for retry and circuit breaker patterns in Sections 11 and 12</w:t>
      </w:r>
    </w:p>
    <w:p>
      <w:pPr>
        <w:spacing w:before="80" w:after="80"/>
      </w:pPr>
      <w:r>
        <w:rPr>
          <w:rFonts w:ascii="Calibri" w:hAnsi="Calibri"/>
          <w:b/>
          <w:color w:val="1F4E79"/>
          <w:sz w:val="20"/>
        </w:rPr>
        <w:t xml:space="preserve">[7]  </w:t>
      </w:r>
      <w:r>
        <w:rPr>
          <w:rFonts w:ascii="Calibri" w:hAnsi="Calibri"/>
          <w:b/>
          <w:sz w:val="20"/>
        </w:rPr>
        <w:t>Azure Key Vault Documentation</w:t>
      </w:r>
      <w:r>
        <w:rPr>
          <w:sz w:val="18"/>
        </w:rPr>
        <w:t xml:space="preserve">  —  </w:t>
      </w:r>
      <w:hyperlink w:history="1" r:id="rId23">
        <w:r>
          <w:rPr>
            <w:rFonts w:ascii="Calibri" w:hAnsi="Calibri"/>
            <w:sz w:val="18"/>
            <w:color w:val="0563C1"/>
            <w:u w:val="single"/>
          </w:rPr>
          <w:t xml:space="preserve">https://learn.microsoft.com/en-us/azure/key-vault/</w:t>
        </w:r>
      </w:hyperlink>
    </w:p>
    <w:p>
      <w:pPr>
        <w:spacing w:before="20" w:after="80"/>
        <w:ind w:left="720"/>
      </w:pPr>
      <w:r>
        <w:rPr>
          <w:rFonts w:ascii="Calibri" w:hAnsi="Calibri"/>
          <w:i/>
          <w:color w:val="808080"/>
          <w:sz w:val="18"/>
        </w:rPr>
        <w:t>Official Microsoft Azure Key Vault documentation — referenced for secrets management recommendations in Section 10</w:t>
      </w:r>
    </w:p>
    <w:p>
      <w:pPr>
        <w:spacing w:before="80" w:after="80"/>
      </w:pPr>
      <w:r>
        <w:rPr>
          <w:rFonts w:ascii="Calibri" w:hAnsi="Calibri"/>
          <w:b/>
          <w:color w:val="1F4E79"/>
          <w:sz w:val="20"/>
        </w:rPr>
        <w:t xml:space="preserve">[8]  </w:t>
      </w:r>
      <w:r>
        <w:rPr>
          <w:rFonts w:ascii="Calibri" w:hAnsi="Calibri"/>
          <w:b/>
          <w:sz w:val="20"/>
        </w:rPr>
        <w:t>OWASP Top Ten Security Risks</w:t>
      </w:r>
      <w:r>
        <w:rPr>
          <w:sz w:val="18"/>
        </w:rPr>
        <w:t xml:space="preserve">  —  </w:t>
      </w:r>
      <w:hyperlink w:history="1" r:id="rId24">
        <w:r>
          <w:rPr>
            <w:rFonts w:ascii="Calibri" w:hAnsi="Calibri"/>
            <w:sz w:val="18"/>
            <w:color w:val="0563C1"/>
            <w:u w:val="single"/>
          </w:rPr>
          <w:t xml:space="preserve">https://owasp.org/www-project-top-ten/</w:t>
        </w:r>
      </w:hyperlink>
    </w:p>
    <w:p>
      <w:pPr>
        <w:spacing w:before="20" w:after="80"/>
        <w:ind w:left="720"/>
      </w:pPr>
      <w:r>
        <w:rPr>
          <w:rFonts w:ascii="Calibri" w:hAnsi="Calibri"/>
          <w:i/>
          <w:color w:val="808080"/>
          <w:sz w:val="18"/>
        </w:rPr>
        <w:t>OWASP foundation — referenced as the basis for security vulnerability classification and severity ratings in Section 10</w:t>
      </w:r>
    </w:p>
    <w:p>
      <w:pPr>
        <w:spacing w:before="80" w:after="80"/>
      </w:pPr>
      <w:r>
        <w:rPr>
          <w:rFonts w:ascii="Calibri" w:hAnsi="Calibri"/>
          <w:b/>
          <w:color w:val="1F4E79"/>
          <w:sz w:val="20"/>
        </w:rPr>
        <w:t xml:space="preserve">[9]  </w:t>
      </w:r>
      <w:r>
        <w:rPr>
          <w:rFonts w:ascii="Calibri" w:hAnsi="Calibri"/>
          <w:b/>
          <w:sz w:val="20"/>
        </w:rPr>
        <w:t>Microsoft Azure Kubernetes Service (AKS) Documentation</w:t>
      </w:r>
      <w:r>
        <w:rPr>
          <w:sz w:val="18"/>
        </w:rPr>
        <w:t xml:space="preserve">  —  </w:t>
      </w:r>
      <w:hyperlink w:history="1" r:id="rId25">
        <w:r>
          <w:rPr>
            <w:rFonts w:ascii="Calibri" w:hAnsi="Calibri"/>
            <w:sz w:val="18"/>
            <w:color w:val="0563C1"/>
            <w:u w:val="single"/>
          </w:rPr>
          <w:t xml:space="preserve">https://learn.microsoft.com/en-us/azure/aks/</w:t>
        </w:r>
      </w:hyperlink>
    </w:p>
    <w:p>
      <w:pPr>
        <w:spacing w:before="20" w:after="80"/>
        <w:ind w:left="720"/>
      </w:pPr>
      <w:r>
        <w:rPr>
          <w:rFonts w:ascii="Calibri" w:hAnsi="Calibri"/>
          <w:i/>
          <w:color w:val="808080"/>
          <w:sz w:val="18"/>
        </w:rPr>
        <w:t>Official Microsoft AKS documentation — referenced for Kubernetes deployment architecture guidance in Section 15</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1F4E79"/>
      </w:pBdr>
      <w:tabs>
        <w:tab w:val="right" w:pos="8640"/>
      </w:tabs>
    </w:pPr>
    <w:r>
      <w:rPr>
        <w:rFonts w:ascii="Calibri" w:hAnsi="Calibri"/>
        <w:color w:val="808080"/>
        <w:sz w:val="16"/>
      </w:rPr>
      <w:t>TE Internal Use Only  |  Generated by TELme</w:t>
    </w:r>
    <w:r>
      <w:rPr>
        <w:sz w:val="16"/>
      </w:rPr>
      <w:tab/>
    </w:r>
    <w:r>
      <w:rPr>
        <w:rFonts w:ascii="Calibri" w:hAnsi="Calibri"/>
        <w:color w:val="808080"/>
        <w:sz w:val="16"/>
      </w:rPr>
      <w:t xml:space="preserve">Page </w:t>
    </w:r>
    <w:r>
      <w:rPr>
        <w:rFonts w:ascii="Calibri" w:hAnsi="Calibri"/>
        <w:color w:val="808080"/>
        <w:sz w:val="16"/>
      </w:rPr>
      <w:fldChar w:fldCharType="begin"/>
      <w:instrText xml:space="preserve"> PAGE </w:instrText>
      <w:fldChar w:fldCharType="end"/>
    </w:r>
    <w:r>
      <w:rPr>
        <w:rFonts w:ascii="Calibri" w:hAnsi="Calibri"/>
        <w:color w:val="808080"/>
        <w:sz w:val="16"/>
      </w:rPr>
      <w:t xml:space="preserve"> of </w:t>
    </w:r>
    <w:r>
      <w:rPr>
        <w:rFonts w:ascii="Calibri" w:hAnsi="Calibri"/>
        <w:color w:val="808080"/>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1F4E79"/>
      </w:pBdr>
    </w:pPr>
    <w:r>
      <w:rPr>
        <w:rFonts w:ascii="Calibri" w:hAnsi="Calibri"/>
        <w:i/>
        <w:color w:val="808080"/>
        <w:sz w:val="16"/>
      </w:rPr>
      <w:t>CLPS Enterprise Technical Documentation Prompt — Clean .md Reference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print"/>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val="0"/>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Theme="majorHAnsi" w:eastAsiaTheme="majorEastAsia" w:hAnsiTheme="majorHAnsi" w:cstheme="majorBidi" w:ascii="Calibri" w:hAnsi="Calibri"/>
      <w:b/>
      <w:i/>
      <w:color w:val="2E75B6"/>
      <w:sz w:val="20"/>
    </w:rPr>
  </w:style>
  <w:style w:type="paragraph" w:styleId="Heading6">
    <w:name w:val="heading 6"/>
    <w:basedOn w:val="Normal"/>
    <w:next w:val="Normal"/>
    <w:link w:val="Heading6Char"/>
    <w:uiPriority w:val="9"/>
    <w:semiHidden/>
    <w:unhideWhenUsed/>
    <w:qFormat/>
    <w:rsid w:val="00FC693F"/>
    <w:pPr>
      <w:keepNext/>
      <w:keepLines/>
      <w:spacing w:before="120" w:after="40"/>
      <w:outlineLvl w:val="5"/>
    </w:pPr>
    <w:rPr>
      <w:rFonts w:asciiTheme="majorHAnsi" w:eastAsiaTheme="majorEastAsia" w:hAnsiTheme="majorHAnsi" w:cstheme="majorBidi" w:ascii="Calibri" w:hAnsi="Calibri"/>
      <w:b w:val="0"/>
      <w:i/>
      <w:iCs/>
      <w:color w:val="505050"/>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40" w:after="40"/>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40" w:after="40"/>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learn.microsoft.com/en-us/aspnet/core/" TargetMode="External"/><Relationship Id="rId18" Type="http://schemas.openxmlformats.org/officeDocument/2006/relationships/hyperlink" Target="https://learn.microsoft.com/en-us/ef/core/" TargetMode="External"/><Relationship Id="rId19" Type="http://schemas.openxmlformats.org/officeDocument/2006/relationships/hyperlink" Target="https://mermaid.js.org/intro/" TargetMode="External"/><Relationship Id="rId20" Type="http://schemas.openxmlformats.org/officeDocument/2006/relationships/hyperlink" Target="https://serilog.net/" TargetMode="External"/><Relationship Id="rId21" Type="http://schemas.openxmlformats.org/officeDocument/2006/relationships/hyperlink" Target="https://docs.fluentvalidation.net/" TargetMode="External"/><Relationship Id="rId22" Type="http://schemas.openxmlformats.org/officeDocument/2006/relationships/hyperlink" Target="https://github.com/App-vNext/Polly" TargetMode="External"/><Relationship Id="rId23" Type="http://schemas.openxmlformats.org/officeDocument/2006/relationships/hyperlink" Target="https://learn.microsoft.com/en-us/azure/key-vault/" TargetMode="External"/><Relationship Id="rId24" Type="http://schemas.openxmlformats.org/officeDocument/2006/relationships/hyperlink" Target="https://owasp.org/www-project-top-ten/" TargetMode="External"/><Relationship Id="rId25" Type="http://schemas.openxmlformats.org/officeDocument/2006/relationships/hyperlink" Target="https://learn.microsoft.com/en-us/azure/a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