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7133"/>
        <w:tblGridChange w:id="0">
          <w:tblGrid>
            <w:gridCol w:w="3397"/>
            <w:gridCol w:w="7133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Team Shark</w:t>
            </w:r>
          </w:p>
        </w:tc>
      </w:tr>
      <w:tr>
        <w:trPr>
          <w:trHeight w:val="27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229"/>
              </w:tabs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Kelsey Day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229"/>
              </w:tabs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229"/>
              </w:tabs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Mohit Rajesh Desai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229"/>
              </w:tabs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Raymond Hawkins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Raghavendran Muthusamy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Data source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[ Link of data set]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hyperlink r:id="rId5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563c1"/>
                  <w:sz w:val="28"/>
                  <w:szCs w:val="28"/>
                  <w:u w:val="single"/>
                  <w:rtl w:val="0"/>
                </w:rPr>
                <w:t xml:space="preserve">http://archive.ics.uci.edu/ml/machine-learning-databases/wine-quality/winequality-white.csv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The owner of the data is “Center for Machine Learning &amp; Intelligent Systems” of University of California at Irwine and the author of the data is Paulo Cortez of University of Minho located in Guimarães, Portugal.</w:t>
            </w:r>
          </w:p>
        </w:tc>
      </w:tr>
      <w:tr>
        <w:trPr>
          <w:trHeight w:val="13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Data Description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The data obtained talks about the chemical properties of north Portuguese white wine called “Vinho Verde”.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No. of Observations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4898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No. of Attributes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11 + output variable</w:t>
              <w:tab/>
              <w:t xml:space="preserve">( total 12 )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Quality</w:t>
            </w:r>
          </w:p>
        </w:tc>
      </w:tr>
      <w:tr>
        <w:trPr>
          <w:trHeight w:val="260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Project Objective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The project’s objective is to model white wine quality based on chemical properties, which form the attributes in the given data set. Thus linking quality/human taste to chemical properties helps wine makers make a thoughtful decision with regards to wine production and helps them determine the price expected on their produced wine.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Techniques to apply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59" w:lineRule="auto"/>
              <w:ind w:left="720" w:hanging="360"/>
              <w:contextualSpacing w:val="1"/>
              <w:jc w:val="both"/>
              <w:rPr>
                <w:rFonts w:ascii="Quattrocento Sans" w:cs="Quattrocento Sans" w:eastAsia="Quattrocento Sans" w:hAnsi="Quattrocento Sans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Multiple Linear Regression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59" w:lineRule="auto"/>
              <w:ind w:left="720" w:hanging="360"/>
              <w:contextualSpacing w:val="1"/>
              <w:jc w:val="both"/>
              <w:rPr>
                <w:rFonts w:ascii="Quattrocento Sans" w:cs="Quattrocento Sans" w:eastAsia="Quattrocento Sans" w:hAnsi="Quattrocento Sans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28"/>
                <w:szCs w:val="28"/>
                <w:rtl w:val="0"/>
              </w:rPr>
              <w:t xml:space="preserve">Regression Tree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chive.ics.uci.edu/ml/machine-learning-databases/wine-quality/winequality-white.csv" TargetMode="External"/><Relationship Id="rId6" Type="http://schemas.openxmlformats.org/officeDocument/2006/relationships/hyperlink" Target="http://archive.ics.uci.edu/ml/machine-learning-databases/wine-quality/winequality-white.csv" TargetMode="External"/><Relationship Id="rId7" Type="http://schemas.openxmlformats.org/officeDocument/2006/relationships/hyperlink" Target="http://archive.ics.uci.edu/ml/machine-learning-databases/wine-quality/winequality-white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