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http://www.sthda.com/english/articles/37-model-selection-essentials-in-r/153-penalized-regression-essentials-ridge-lasso-elastic-net/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http://www.sthda.com/english/articles/37-model-selection-essentials-in-r/155-best-subsets-regression-essentials-in-r/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http://www.sthda.com/english/articles/38-regression-model-validation/157-cross-validation-essentials-in-r/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http://www.sthda.com/english/articles/37-model-selection-essentials-in-r/152-principal-component-and-partial-least-squares-regression-essentials/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hda.com/english/articles/37-model-selection-essentials-in-r/152-principal-component-and-partial-least-squares-regression-essential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hda.com/english/articles/37-model-selection-essentials-in-r/153-penalized-regression-essentials-ridge-lasso-elastic-net/" TargetMode="External"/><Relationship Id="rId7" Type="http://schemas.openxmlformats.org/officeDocument/2006/relationships/hyperlink" Target="http://www.sthda.com/english/articles/37-model-selection-essentials-in-r/155-best-subsets-regression-essentials-in-r/" TargetMode="External"/><Relationship Id="rId8" Type="http://schemas.openxmlformats.org/officeDocument/2006/relationships/hyperlink" Target="http://www.sthda.com/english/articles/38-regression-model-validation/157-cross-validation-essential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