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3A5C"/>
          <w:sz w:val="48"/>
          <w:szCs w:val="48"/>
        </w:rPr>
        <w:t xml:space="preserve">Technical Deployment Architecture</w:t>
      </w:r>
    </w:p>
    <w:p>
      <w:pPr>
        <w:spacing w:after="100"/>
        <w:jc w:val="center"/>
      </w:pPr>
      <w:r>
        <w:rPr>
          <w:color w:val="2E5E8C"/>
          <w:sz w:val="36"/>
          <w:szCs w:val="36"/>
        </w:rPr>
        <w:t xml:space="preserve">Pometry / Raphtory on AWS EC2</w:t>
      </w:r>
    </w:p>
    <w:p>
      <w:pPr>
        <w:spacing w:after="200"/>
        <w:jc w:val="center"/>
      </w:pPr>
      <w:r>
        <w:rPr>
          <w:color w:val="666666"/>
          <w:sz w:val="28"/>
          <w:szCs w:val="28"/>
        </w:rPr>
        <w:t xml:space="preserve">Phase 1: 500M Nodes → Phase 2: 1.5B Nodes</w:t>
      </w:r>
    </w:p>
    <w:p>
      <w:pPr>
        <w:jc w:val="center"/>
      </w:pPr>
      <w:r>
        <w:rPr>
          <w:color w:val="888888"/>
          <w:sz w:val="22"/>
          <w:szCs w:val="22"/>
        </w:rPr>
        <w:t xml:space="preserve">On-Disk Mode • 15-Level Hierarchy • Databricks CDC</w:t>
      </w:r>
    </w:p>
    <w:p>
      <w:pPr>
        <w:pBdr>
          <w:bottom w:val="single" w:color="2E5E8C" w:sz="6" w:space="8"/>
        </w:pBdr>
        <w:spacing w:before="200"/>
        <w:jc w:val="center"/>
      </w:pPr>
    </w:p>
    <w:p>
      <w:pPr>
        <w:spacing w:before="300"/>
        <w:jc w:val="center"/>
      </w:pPr>
      <w:r>
        <w:rPr>
          <w:b/>
          <w:bCs/>
          <w:color w:val="CC0000"/>
          <w:sz w:val="22"/>
          <w:szCs w:val="22"/>
        </w:rPr>
        <w:t xml:space="preserve">April 2026 • DRAFT</w:t>
      </w:r>
    </w:p>
    <w:p>
      <w:pPr>
        <w:sectPr>
          <w:pgSz w:w="12240" w:h="15840" w:orient="portrait"/>
          <w:pgMar w:top="1440" w:right="1440" w:bottom="1440" w:left="1440" w:header="708" w:footer="708" w:gutter="0"/>
          <w:pgNumType/>
          <w:docGrid w:linePitch="360"/>
        </w:sectPr>
      </w:pPr>
    </w:p>
    <w:p>
      <w:pPr>
        <w:pStyle w:val="Heading1"/>
        <w:spacing w:after="200" w:before="300"/>
      </w:pPr>
      <w:r>
        <w:t xml:space="preserve">1. Executive Summary</w:t>
      </w:r>
    </w:p>
    <w:p>
      <w:pPr>
        <w:spacing w:after="120"/>
      </w:pPr>
      <w:r>
        <w:t xml:space="preserve">This document describes the deployment architecture for </w:t>
      </w:r>
      <w:r>
        <w:rPr>
          <w:b/>
          <w:bCs/>
        </w:rPr>
        <w:t xml:space="preserve">Pometry (Raphtory)</w:t>
      </w:r>
      <w:r>
        <w:t xml:space="preserve"> on AWS EC2 in a phased rollout: </w:t>
      </w:r>
      <w:r>
        <w:rPr>
          <w:b/>
          <w:bCs/>
        </w:rPr>
        <w:t xml:space="preserve">Phase 1 at 500M nodes</w:t>
      </w:r>
      <w:r>
        <w:t xml:space="preserve"> scaling to </w:t>
      </w:r>
      <w:r>
        <w:rPr>
          <w:b/>
          <w:bCs/>
        </w:rPr>
        <w:t xml:space="preserve">Phase 2 at 1.5B nodes</w:t>
      </w:r>
      <w:r>
        <w:t xml:space="preserve">. The graph models a financial services domain with Organizations (60%), Bankers (10%), and Clients (30%), with Organisation nodes forming </w:t>
      </w:r>
      <w:r>
        <w:rPr>
          <w:b/>
          <w:bCs/>
        </w:rPr>
        <w:t xml:space="preserve">15-level deep hierarchies</w:t>
      </w:r>
      <w:r>
        <w:t xml:space="preserve">. Pometry’s on-disk subscription mode reduces costs by ~89% versus in-memory.</w:t>
      </w:r>
    </w:p>
    <w:p>
      <w:pPr>
        <w:pStyle w:val="Heading1"/>
        <w:spacing w:after="200" w:before="300"/>
      </w:pPr>
      <w:r>
        <w:t xml:space="preserve">2. Phased Rollout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1 (500M)</w:t>
            </w:r>
          </w:p>
        </w:tc>
        <w:tc>
          <w:tcPr>
            <w:tcW w:type="dxa" w:w="31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2 (1.5B)</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Node count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500M (300M Org, 50M Banker, 150M Client)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1.5B (900M Org, 150M Banker, 450M Client)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Estimated edges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~2.55B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~7.65B</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On-disk footprint (Parquet)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~770 GB</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TB</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Instance 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i4i.16xlarge (64 vCPU, 512 GiB, 15 TB NVMe)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i4i.metal (128 vCPU, 1 TiB, 30 TB NVMe)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cost (on-demand)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~$10,600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~$20,200</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cost (1yr RI)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~$14,000</w:t>
            </w:r>
          </w:p>
        </w:tc>
      </w:tr>
    </w:tbl>
    <w:p>
      <w:pPr>
        <w:spacing w:after="120"/>
      </w:pPr>
    </w:p>
    <w:p>
      <w:pPr>
        <w:pStyle w:val="Heading2"/>
        <w:spacing w:after="200" w:before="300"/>
      </w:pPr>
      <w:r>
        <w:t xml:space="preserve">Phase Transition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1 Safe Range</w:t>
            </w:r>
          </w:p>
        </w:tc>
        <w:tc>
          <w:tcPr>
            <w:tcW w:type="dxa" w:w="33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Trigger to Upgrade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node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700M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700M</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NVMe disk usage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10 TB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12 TB</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cache hit ratio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75% sustained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P95 query latency (15-level)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200 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500 ms sustained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Snapshot duration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5 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10 min</w:t>
            </w:r>
          </w:p>
        </w:tc>
      </w:tr>
    </w:tbl>
    <w:p>
      <w:pPr>
        <w:pStyle w:val="Heading1"/>
        <w:spacing w:after="200" w:before="300"/>
      </w:pPr>
      <w:r>
        <w:t xml:space="preserve">3. Graph Data Model &amp; Hierarchy</w:t>
      </w:r>
    </w:p>
    <w:p>
      <w:pPr>
        <w:pStyle w:val="Heading2"/>
        <w:spacing w:after="200" w:before="300"/>
      </w:pPr>
      <w:r>
        <w:t xml:space="preserve">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1000"/>
        <w:gridCol w:w="4360"/>
      </w:tblGrid>
      <w:tr>
        <w:trPr>
          <w:tblHeader/>
        </w:trPr>
        <w:tc>
          <w:tcPr>
            <w:tcW w:type="dxa" w:w="18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12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 of Graph</w:t>
            </w:r>
          </w:p>
        </w:tc>
        <w:tc>
          <w:tcPr>
            <w:tcW w:type="dxa" w:w="1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43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 props (70% string, 25% number, 5% date)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Banker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props (100% string)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450M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props (100% string)</w:t>
            </w:r>
          </w:p>
        </w:tc>
      </w:tr>
    </w:tbl>
    <w:p>
      <w:pPr>
        <w:spacing w:after="120"/>
      </w:pPr>
    </w:p>
    <w:p>
      <w:pPr>
        <w:pStyle w:val="Heading2"/>
        <w:spacing w:after="200" w:before="300"/>
      </w:pPr>
      <w:r>
        <w:t xml:space="preserve">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rPr>
          <w:tblHeader/>
        </w:trPr>
        <w:tc>
          <w:tcPr>
            <w:tcW w:type="dxa" w:w="22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Edge Type</w:t>
            </w:r>
          </w:p>
        </w:tc>
        <w:tc>
          <w:tcPr>
            <w:tcW w:type="dxa" w:w="32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21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2</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PARENT_OF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Organisation hierarchy (15 levels)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Banker → Organisation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~2.4B</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CLIENT_OF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 Organisation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~3.6B</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Banker → Client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~750M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~2.55B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~7.65B</w:t>
            </w:r>
          </w:p>
        </w:tc>
      </w:tr>
    </w:tbl>
    <w:p>
      <w:pPr>
        <w:pStyle w:val="Heading2"/>
        <w:spacing w:after="200" w:before="300"/>
      </w:pPr>
      <w:r>
        <w:t xml:space="preserve">15-Level Organisation Hierarchy</w:t>
      </w:r>
    </w:p>
    <w:p>
      <w:pPr>
        <w:spacing w:after="120"/>
      </w:pPr>
      <w:r>
        <w:t xml:space="preserve">Organisation nodes form parent-child chains up to 15 levels deep (HoldCo → SubGroup → Regional → Branch → … → leaf SPV).</w:t>
      </w:r>
    </w:p>
    <w:p>
      <w:pPr>
        <w:pStyle w:val="ListParagraph"/>
        <w:numPr>
          <w:ilvl w:val="0"/>
          <w:numId w:val="2"/>
        </w:numPr>
        <w:spacing w:after="80"/>
      </w:pPr>
      <w:r>
        <w:rPr>
          <w:b/>
          <w:bCs/>
        </w:rPr>
        <w:t xml:space="preserve">UBO lookup (upward): </w:t>
      </w:r>
      <w:r>
        <w:t xml:space="preserve">15 hops from leaf to root. Sub-millisecond hot, &lt;200ms cold. Only 15 nodes touched.</w:t>
      </w:r>
    </w:p>
    <w:p>
      <w:pPr>
        <w:pStyle w:val="ListParagraph"/>
        <w:numPr>
          <w:ilvl w:val="0"/>
          <w:numId w:val="2"/>
        </w:numPr>
        <w:spacing w:after="80"/>
      </w:pPr>
      <w:r>
        <w:rPr>
          <w:b/>
          <w:bCs/>
        </w:rPr>
        <w:t xml:space="preserve">All subsidiaries (downward): </w:t>
      </w:r>
      <w:r>
        <w:t xml:space="preserve">Fan-out from HoldCo can touch millions. Requires optimisation.</w:t>
      </w:r>
    </w:p>
    <w:p>
      <w:pPr>
        <w:pStyle w:val="ListParagraph"/>
        <w:numPr>
          <w:ilvl w:val="0"/>
          <w:numId w:val="2"/>
        </w:numPr>
        <w:spacing w:after="80"/>
      </w:pPr>
      <w:r>
        <w:rPr>
          <w:b/>
          <w:bCs/>
        </w:rPr>
        <w:t xml:space="preserve">Recommendation: materialised ancestor chains. </w:t>
      </w:r>
      <w:r>
        <w:t xml:space="preserve">Store full path as property on each Org node. “Find all entities under EMEA” becomes a prefix filter instead of 15-hop traversal.</w:t>
      </w:r>
    </w:p>
    <w:p>
      <w:pPr>
        <w:pStyle w:val="ListParagraph"/>
        <w:numPr>
          <w:ilvl w:val="0"/>
          <w:numId w:val="2"/>
        </w:numPr>
        <w:spacing w:after="80"/>
      </w:pPr>
      <w:r>
        <w:rPr>
          <w:b/>
          <w:bCs/>
        </w:rPr>
        <w:t xml:space="preserve">Temporal queries: </w:t>
      </w:r>
      <w:r>
        <w:t xml:space="preserve">Pometry natively supports “who owned this entity in March 2024?” via temporal windowing.</w:t>
      </w:r>
    </w:p>
    <w:p>
      <w:r>
        <w:br w:type="page"/>
      </w:r>
    </w:p>
    <w:p>
      <w:pPr>
        <w:pStyle w:val="Heading1"/>
        <w:spacing w:after="200" w:before="300"/>
      </w:pPr>
      <w:r>
        <w:t xml:space="preserve">4. Capacity Planning &amp; Sizing</w:t>
      </w:r>
    </w:p>
    <w:p>
      <w:pPr>
        <w:pStyle w:val="Heading2"/>
        <w:spacing w:after="200" w:before="300"/>
      </w:pPr>
      <w:r>
        <w:t xml:space="preserve">Per-Node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Organisation</w:t>
            </w:r>
          </w:p>
        </w:tc>
        <w:tc>
          <w:tcPr>
            <w:tcW w:type="dxa" w:w="22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Banker</w:t>
            </w:r>
          </w:p>
        </w:tc>
        <w:tc>
          <w:tcPr>
            <w:tcW w:type="dxa" w:w="21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Client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 overhead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 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72 B</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Properties per node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~1,400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~560 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~560 B</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Temporal history (medium)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~6,000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~2,400 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~2,400 B</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per node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 KB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KB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KB</w:t>
            </w:r>
          </w:p>
        </w:tc>
      </w:tr>
    </w:tbl>
    <w:p>
      <w:pPr>
        <w:spacing w:after="120"/>
      </w:pPr>
    </w:p>
    <w:p>
      <w:pPr>
        <w:pStyle w:val="Heading2"/>
        <w:spacing w:after="200" w:before="300"/>
      </w:pPr>
      <w:r>
        <w:t xml:space="preserve">Phase Storage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1 (500M)</w:t>
            </w:r>
          </w:p>
        </w:tc>
        <w:tc>
          <w:tcPr>
            <w:tcW w:type="dxa" w:w="30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2 (1.5B)</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Node storage (uncompressed)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 TB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 TB</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Edge storage (48 B/edge)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~122 GB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~367 GB</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Edge temporal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 GB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 GB</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uncompressed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 TB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~6.7 TB</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Parquet on-disk (~65% compression)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~770 GB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TB</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Hot working set (~15% in RAM)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~330 GB</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 GB</w:t>
            </w:r>
          </w:p>
        </w:tc>
      </w:tr>
    </w:tbl>
    <w:p>
      <w:r>
        <w:br w:type="page"/>
      </w:r>
    </w:p>
    <w:p>
      <w:pPr>
        <w:pStyle w:val="Heading1"/>
        <w:spacing w:after="200" w:before="300"/>
      </w:pPr>
      <w:r>
        <w:t xml:space="preserve">5. Cost Summary</w:t>
      </w:r>
    </w:p>
    <w:p>
      <w:pPr>
        <w:pStyle w:val="Heading2"/>
        <w:spacing w:after="200" w:before="300"/>
      </w:pPr>
      <w:r>
        <w:t xml:space="preserve">Phase 1 (500M Nodes) —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8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Pometry 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i4i.16xlarge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Pometry standby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i4i.16xlarge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MSK cluster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kafka.m5.xlarge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service (ECS)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Fargate tasks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EBS io2 volumes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2 TB @ 8K IOPS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S3 + networking +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TB S3, NLBs, CloudWatch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(on-demand)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~$10,600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(1yr RI/SP)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~$7,500</w:t>
            </w:r>
          </w:p>
        </w:tc>
      </w:tr>
    </w:tbl>
    <w:p>
      <w:pPr>
        <w:spacing w:after="200"/>
      </w:pPr>
    </w:p>
    <w:p>
      <w:pPr>
        <w:pStyle w:val="Heading2"/>
        <w:spacing w:after="200" w:before="300"/>
      </w:pPr>
      <w:r>
        <w:t xml:space="preserve">Phase 2 (1.5B Nodes) —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8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Pometry 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i4i.metal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Pometry standby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i4i.metal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MSK cluster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kafka.m5.2xlarge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 service (ECS)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 Fargate tasks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EBS io2 volumes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4 TB @ 16K IOPS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S3 + networking +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TB S3, NLBs, CloudWatch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(on-demand)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~$20,200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(1yr RI/SP)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~$14,000</w:t>
            </w:r>
          </w:p>
        </w:tc>
      </w:tr>
    </w:tbl>
    <w:p>
      <w:pPr>
        <w:spacing w:after="200"/>
      </w:pPr>
    </w:p>
    <w:p>
      <w:pPr>
        <w:pStyle w:val="Heading2"/>
        <w:spacing w:after="200" w:before="300"/>
      </w:pPr>
      <w:r>
        <w:t xml:space="preserve">On-Disk vs In-Memory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2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1 Monthly</w:t>
            </w:r>
          </w:p>
        </w:tc>
        <w:tc>
          <w:tcPr>
            <w:tcW w:type="dxa" w:w="22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Phase 2 Monthly</w:t>
            </w:r>
          </w:p>
        </w:tc>
        <w:tc>
          <w:tcPr>
            <w:tcW w:type="dxa" w:w="19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Savings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In-memory (u7i-12tb pair)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~$185,000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Baseline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On-disk (this architecture)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~$10,600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~$20,200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On-disk with 1yr RI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~$14,000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~92%</w:t>
            </w:r>
          </w:p>
        </w:tc>
      </w:tr>
    </w:tbl>
    <w:p>
      <w:pPr>
        <w:spacing w:after="120"/>
      </w:pPr>
      <w:r>
        <w:rPr>
          <w:i/>
          <w:iCs/>
        </w:rPr>
        <w:t xml:space="preserve">Costs exclude Pometry subscription fees and Databricks costs.</w:t>
      </w:r>
    </w:p>
    <w:p>
      <w:r>
        <w:br w:type="page"/>
      </w:r>
    </w:p>
    <w:p>
      <w:pPr>
        <w:pStyle w:val="Heading1"/>
        <w:spacing w:after="200" w:before="300"/>
      </w:pPr>
      <w:r>
        <w:t xml:space="preserve">6. Architecture Layers</w:t>
      </w:r>
    </w:p>
    <w:p>
      <w:pPr>
        <w:spacing w:after="120"/>
      </w:pPr>
      <w:r>
        <w:t xml:space="preserve">The architecture is identical for both phases — only the Pometry instance size changes. All other layers scale horizontally.</w:t>
      </w:r>
    </w:p>
    <w:p>
      <w:pPr>
        <w:pStyle w:val="Heading2"/>
        <w:spacing w:after="200" w:before="300"/>
      </w:pPr>
      <w:r>
        <w:t xml:space="preserve">Layer 1: Databricks Event Source</w:t>
      </w:r>
    </w:p>
    <w:p>
      <w:pPr>
        <w:spacing w:after="120"/>
      </w:pPr>
      <w:r>
        <w:t xml:space="preserve">Delta Live Tables with CDC detect changes. Events mapped to ADD_NODE, ADD_EDGE, UPDATE_PROPERTIES, DELETE_EDGE, and REPARENT types. Delivered to MSK via Structured Streaming with exactly-once semantics.</w:t>
      </w:r>
    </w:p>
    <w:p>
      <w:pPr>
        <w:pStyle w:val="Heading2"/>
        <w:spacing w:after="200" w:before="300"/>
      </w:pPr>
      <w:r>
        <w:t xml:space="preserve">Layer 2: Event Bus (Amazon MSK)</w:t>
      </w:r>
    </w:p>
    <w:p>
      <w:pPr>
        <w:spacing w:after="120"/>
      </w:pPr>
      <w:r>
        <w:t xml:space="preserve">3-broker Kafka cluster (Phase 1: m5.xlarge, Phase 2: m5.2xlarge). Topics: graph.nodes, graph.edges, graph.hierarchy, graph.deletes. Partitioned by </w:t>
      </w:r>
      <w:r>
        <w:rPr>
          <w:b/>
          <w:bCs/>
        </w:rPr>
        <w:t xml:space="preserve">hash(entity_id)</w:t>
      </w:r>
      <w:r>
        <w:t xml:space="preserve"> for ordered per-entity processing. 7-day retention for replay.</w:t>
      </w:r>
    </w:p>
    <w:p>
      <w:pPr>
        <w:pStyle w:val="Heading2"/>
        <w:spacing w:after="200" w:before="300"/>
      </w:pPr>
      <w:r>
        <w:t xml:space="preserve">Layer 3: Graph Event Service</w:t>
      </w:r>
    </w:p>
    <w:p>
      <w:pPr>
        <w:spacing w:after="120"/>
      </w:pPr>
      <w:r>
        <w:t xml:space="preserve">Stateless ECS Fargate consumers (3 in Phase 1, 3–6 in Phase 2). Batch 500–1,000 mutations per GraphQL call. Dedicated hierarchy processor recomputes ancestor chains on REPARENT events. Circuit breaker with exponential backoff. Auto-scaling on Kafka consumer lag.</w:t>
      </w:r>
    </w:p>
    <w:p>
      <w:pPr>
        <w:pStyle w:val="Heading2"/>
        <w:spacing w:after="200" w:before="300"/>
      </w:pPr>
      <w:r>
        <w:t xml:space="preserve">Layer 4: Pometry Graph Engine (On-Disk)</w:t>
      </w:r>
    </w:p>
    <w:p>
      <w:pPr>
        <w:spacing w:after="120"/>
      </w:pPr>
      <w:r>
        <w:t xml:space="preserve">Active/passive failover across 2 AZs. Primary handles all traffic via internal NLB. Standby replays WAL from S3, stays within 1–2 min of primary. </w:t>
      </w:r>
      <w:r>
        <w:rPr>
          <w:b/>
          <w:bCs/>
        </w:rPr>
        <w:t xml:space="preserve">RTO: 3–5 min. RPO: 30s–2 min.</w:t>
      </w:r>
      <w:r>
        <w:t xml:space="preserve"> NVMe is ephemeral — continuous WAL to S3 + incremental Parquet snapshots every 10 min. EBS backup for fast local restore.</w:t>
      </w:r>
    </w:p>
    <w:p>
      <w:pPr>
        <w:pStyle w:val="Heading2"/>
        <w:spacing w:after="200" w:before="300"/>
      </w:pPr>
      <w:r>
        <w:t xml:space="preserve">Layer 5: Query &amp; Application Services</w:t>
      </w:r>
    </w:p>
    <w:p>
      <w:pPr>
        <w:spacing w:after="120"/>
      </w:pPr>
      <w:r>
        <w:t xml:space="preserve">Pometry UI (graph explorer + timeline), GraphRAG service (LLM + temporal context), Alerts engine (temporal pattern detection → SNS → PagerDuty), Custom API Gateway (auth, rate limiting, caching). All consume via internal NLB, decoupled from failover.</w:t>
      </w:r>
    </w:p>
    <w:p>
      <w:pPr>
        <w:pStyle w:val="Heading2"/>
        <w:spacing w:after="200" w:before="300"/>
      </w:pPr>
      <w:r>
        <w:t xml:space="preserve">Layer 6: Operations &amp; Observability</w:t>
      </w:r>
    </w:p>
    <w:p>
      <w:pPr>
        <w:spacing w:after="120"/>
      </w:pPr>
      <w:r>
        <w:t xml:space="preserve">CloudWatch dashboard monitoring: Pometry health, instance memory %, NVMe usage %, page cache hit ratio, Kafka consumer lag, snapshot age, WAL upload lag, 15-level traversal P95, hierarchy recompute duration. Alarms feed into failover Lambda and PagerDuty.</w:t>
      </w:r>
    </w:p>
    <w:p>
      <w:r>
        <w:br w:type="page"/>
      </w:r>
    </w:p>
    <w:p>
      <w:pPr>
        <w:pStyle w:val="Heading1"/>
        <w:spacing w:after="200" w:before="300"/>
      </w:pPr>
      <w:r>
        <w:t xml:space="preserve">7. Security</w:t>
      </w:r>
    </w:p>
    <w:p>
      <w:pPr>
        <w:pStyle w:val="ListParagraph"/>
        <w:numPr>
          <w:ilvl w:val="0"/>
          <w:numId w:val="2"/>
        </w:numPr>
        <w:spacing w:after="80"/>
      </w:pPr>
      <w:r>
        <w:rPr>
          <w:b/>
          <w:bCs/>
        </w:rPr>
        <w:t xml:space="preserve">Network: </w:t>
      </w:r>
      <w:r>
        <w:t xml:space="preserve">Private subnets, no public IP. Internal NLB + VPC endpoints.</w:t>
      </w:r>
    </w:p>
    <w:p>
      <w:pPr>
        <w:pStyle w:val="ListParagraph"/>
        <w:numPr>
          <w:ilvl w:val="0"/>
          <w:numId w:val="2"/>
        </w:numPr>
        <w:spacing w:after="80"/>
      </w:pPr>
      <w:r>
        <w:rPr>
          <w:b/>
          <w:bCs/>
        </w:rPr>
        <w:t xml:space="preserve">Encryption at rest: </w:t>
      </w:r>
      <w:r>
        <w:t xml:space="preserve">EBS with KMS. S3 with SSE-KMS. NVMe hardware-encrypted (Nitro).</w:t>
      </w:r>
    </w:p>
    <w:p>
      <w:pPr>
        <w:pStyle w:val="ListParagraph"/>
        <w:numPr>
          <w:ilvl w:val="0"/>
          <w:numId w:val="2"/>
        </w:numPr>
        <w:spacing w:after="80"/>
      </w:pPr>
      <w:r>
        <w:rPr>
          <w:b/>
          <w:bCs/>
        </w:rPr>
        <w:t xml:space="preserve">Encryption in transit: </w:t>
      </w:r>
      <w:r>
        <w:t xml:space="preserve">TLS at ALB. Internal TLS where supported.</w:t>
      </w:r>
    </w:p>
    <w:p>
      <w:pPr>
        <w:pStyle w:val="ListParagraph"/>
        <w:numPr>
          <w:ilvl w:val="0"/>
          <w:numId w:val="2"/>
        </w:numPr>
        <w:spacing w:after="80"/>
      </w:pPr>
      <w:r>
        <w:rPr>
          <w:b/>
          <w:bCs/>
        </w:rPr>
        <w:t xml:space="preserve">IAM: </w:t>
      </w:r>
      <w:r>
        <w:t xml:space="preserve">Least-privilege per component.</w:t>
      </w:r>
    </w:p>
    <w:p>
      <w:pPr>
        <w:pStyle w:val="ListParagraph"/>
        <w:numPr>
          <w:ilvl w:val="0"/>
          <w:numId w:val="2"/>
        </w:numPr>
        <w:spacing w:after="80"/>
      </w:pPr>
      <w:r>
        <w:rPr>
          <w:b/>
          <w:bCs/>
        </w:rPr>
        <w:t xml:space="preserve">Connectivity: </w:t>
      </w:r>
      <w:r>
        <w:t xml:space="preserve">Databricks via VPC peering / PrivateLink.</w:t>
      </w:r>
    </w:p>
    <w:p>
      <w:pPr>
        <w:pStyle w:val="ListParagraph"/>
        <w:numPr>
          <w:ilvl w:val="0"/>
          <w:numId w:val="2"/>
        </w:numPr>
        <w:spacing w:after="80"/>
      </w:pPr>
      <w:r>
        <w:rPr>
          <w:b/>
          <w:bCs/>
        </w:rPr>
        <w:t xml:space="preserve">Secrets: </w:t>
      </w:r>
      <w:r>
        <w:t xml:space="preserve">AWS Secrets Manager, rotated on schedule.</w:t>
      </w:r>
    </w:p>
    <w:p>
      <w:pPr>
        <w:pStyle w:val="Heading1"/>
        <w:spacing w:after="200" w:before="300"/>
      </w:pPr>
      <w: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860"/>
            <w:tcBorders>
              <w:top w:val="single" w:color="CCCCCC" w:sz="1"/>
              <w:left w:val="single" w:color="CCCCCC" w:sz="1"/>
              <w:bottom w:val="single" w:color="CCCCCC" w:sz="1"/>
              <w:right w:val="single" w:color="CCCCCC"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NVMe data loss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Continuous WAL + snapshots to S3. EBS backup.</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Failover &gt; 5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Warm standby + WAL replay. Validated runbook.</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outgrown early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transition trigger metrics with alarms.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15-level fan-out explosion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Materialised ancestor chains. Prefix filters.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Hierarchy recompute cascade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Async processing. Rate limit at &gt;100K nodes.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Kafka lag spikes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Auto-scaling. DLQ. 5-min lag alert.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Cold data performance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 cache hit ratio. Tune OS. Upgrade if needed.</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CDC schema 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registry + compatibility. DLQ.</w:t>
            </w:r>
          </w:p>
        </w:tc>
      </w:tr>
    </w:tbl>
    <w:p>
      <w:pPr>
        <w:pStyle w:val="Heading1"/>
        <w:spacing w:after="200" w:before="300"/>
      </w:pPr>
      <w:r>
        <w:t xml:space="preserve">9. Next Steps</w:t>
      </w:r>
    </w:p>
    <w:p>
      <w:pPr>
        <w:pStyle w:val="ListParagraph"/>
        <w:numPr>
          <w:ilvl w:val="0"/>
          <w:numId w:val="2"/>
        </w:numPr>
        <w:spacing w:after="80"/>
      </w:pPr>
      <w:r>
        <w:t xml:space="preserve">1. </w:t>
      </w:r>
      <w:r>
        <w:rPr>
          <w:b/>
          <w:bCs/>
        </w:rPr>
        <w:t xml:space="preserve">Profile graph data: </w:t>
      </w:r>
      <w:r>
        <w:t xml:space="preserve">Load 10M-node subset. Measure bytes-per-node.</w:t>
      </w:r>
    </w:p>
    <w:p>
      <w:pPr>
        <w:pStyle w:val="ListParagraph"/>
        <w:numPr>
          <w:ilvl w:val="0"/>
          <w:numId w:val="2"/>
        </w:numPr>
        <w:spacing w:after="80"/>
      </w:pPr>
      <w:r>
        <w:t xml:space="preserve">2. </w:t>
      </w:r>
      <w:r>
        <w:rPr>
          <w:b/>
          <w:bCs/>
        </w:rPr>
        <w:t xml:space="preserve">Engage Pometry: </w:t>
      </w:r>
      <w:r>
        <w:t xml:space="preserve">Confirm on-disk details, i4i compatibility, ancestor materialisation.</w:t>
      </w:r>
    </w:p>
    <w:p>
      <w:pPr>
        <w:pStyle w:val="ListParagraph"/>
        <w:numPr>
          <w:ilvl w:val="0"/>
          <w:numId w:val="2"/>
        </w:numPr>
        <w:spacing w:after="80"/>
      </w:pPr>
      <w:r>
        <w:t xml:space="preserve">3. </w:t>
      </w:r>
      <w:r>
        <w:rPr>
          <w:b/>
          <w:bCs/>
        </w:rPr>
        <w:t xml:space="preserve">Prototype event service: </w:t>
      </w:r>
      <w:r>
        <w:t xml:space="preserve">Minimal consumer reading MSK, writing to test Raphtory.</w:t>
      </w:r>
    </w:p>
    <w:p>
      <w:pPr>
        <w:pStyle w:val="ListParagraph"/>
        <w:numPr>
          <w:ilvl w:val="0"/>
          <w:numId w:val="2"/>
        </w:numPr>
        <w:spacing w:after="80"/>
      </w:pPr>
      <w:r>
        <w:t xml:space="preserve">4. </w:t>
      </w:r>
      <w:r>
        <w:rPr>
          <w:b/>
          <w:bCs/>
        </w:rPr>
        <w:t xml:space="preserve">Load test Phase 1: </w:t>
      </w:r>
      <w:r>
        <w:t xml:space="preserve">500M nodes on i4i.16xlarge. Validate storage, latency, snapshots.</w:t>
      </w:r>
    </w:p>
    <w:p>
      <w:pPr>
        <w:pStyle w:val="ListParagraph"/>
        <w:numPr>
          <w:ilvl w:val="0"/>
          <w:numId w:val="2"/>
        </w:numPr>
        <w:spacing w:after="80"/>
      </w:pPr>
      <w:r>
        <w:t xml:space="preserve">5. </w:t>
      </w:r>
      <w:r>
        <w:rPr>
          <w:b/>
          <w:bCs/>
        </w:rPr>
        <w:t xml:space="preserve">Failover drill: </w:t>
      </w:r>
      <w:r>
        <w:t xml:space="preserve">Kill primary, measure RTO/RPO.</w:t>
      </w:r>
    </w:p>
    <w:p>
      <w:pPr>
        <w:pStyle w:val="ListParagraph"/>
        <w:numPr>
          <w:ilvl w:val="0"/>
          <w:numId w:val="2"/>
        </w:numPr>
        <w:spacing w:after="80"/>
      </w:pPr>
      <w:r>
        <w:t xml:space="preserve">6. </w:t>
      </w:r>
      <w:r>
        <w:rPr>
          <w:b/>
          <w:bCs/>
        </w:rPr>
        <w:t xml:space="preserve">Phase 2 dashboard: </w:t>
      </w:r>
      <w:r>
        <w:t xml:space="preserve">CloudWatch with 5 transition metrics + alarms.</w:t>
      </w:r>
    </w:p>
    <w:p>
      <w:pPr>
        <w:pStyle w:val="ListParagraph"/>
        <w:numPr>
          <w:ilvl w:val="0"/>
          <w:numId w:val="2"/>
        </w:numPr>
        <w:spacing w:after="80"/>
      </w:pPr>
      <w:r>
        <w:t xml:space="preserve">7. </w:t>
      </w:r>
      <w:r>
        <w:rPr>
          <w:b/>
          <w:bCs/>
        </w:rPr>
        <w:t xml:space="preserve">Cost optimisation: </w:t>
      </w:r>
      <w:r>
        <w:t xml:space="preserve">Evaluate 1yr RI for Phase 1 pair once validated.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8C" w:sz="4" w:space="4"/>
      </w:pBdr>
    </w:pPr>
    <w:r>
      <w:rPr>
        <w:rFonts w:ascii="Arial" w:cs="Arial" w:eastAsia="Arial" w:hAnsi="Arial"/>
        <w:color w:val="999999"/>
        <w:sz w:val="18"/>
        <w:szCs w:val="18"/>
      </w:rPr>
      <w:t xml:space="preserve">Pometry AWS Architecture — Phase 1 / Phase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E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2026-04-16T22:15:19.114Z</dcterms:created>
  <dcterms:modified xsi:type="dcterms:W3CDTF">2026-04-16T22:15:19.115Z</dcterms:modified>
</cp:coreProperties>
</file>

<file path=docProps/custom.xml><?xml version="1.0" encoding="utf-8"?>
<Properties xmlns="http://schemas.openxmlformats.org/officeDocument/2006/custom-properties" xmlns:vt="http://schemas.openxmlformats.org/officeDocument/2006/docPropsVTypes"/>
</file>