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sz w:val="40"/>
        </w:rPr>
        <w:t>Data Guide  —  v1.0</w:t>
      </w:r>
    </w:p>
    <w:p>
      <w:pPr>
        <w:jc w:val="center"/>
      </w:pPr>
      <w:r>
        <w:rPr>
          <w:sz w:val="24"/>
        </w:rPr>
        <w:t>2D/3D Fluoroscopy Registration Pipeline</w:t>
        <w:br/>
        <w:t>October 2026</w:t>
      </w:r>
    </w:p>
    <w:p/>
    <w:p>
      <w:pPr>
        <w:pStyle w:val="Heading1"/>
      </w:pPr>
      <w:r>
        <w:rPr>
          <w:color w:val="1F3864"/>
          <w:sz w:val="28"/>
        </w:rPr>
        <w:t>1.  Overview</w:t>
      </w:r>
    </w:p>
    <w:p>
      <w:pPr>
        <w:spacing w:after="80"/>
      </w:pPr>
      <w:r>
        <w:rPr>
          <w:b w:val="0"/>
          <w:i w:val="0"/>
          <w:sz w:val="21"/>
        </w:rPr>
        <w:t>This document explains what data is needed to run each test in the pipeline, where to download it, how to organise it, and what format it must be in. The pipeline itself does NOT come with patient data. All public datasets referenced here are freely available for research use.</w:t>
      </w:r>
    </w:p>
    <w:p>
      <w:pPr>
        <w:pBdr>
          <w:bottom w:val="single" w:sz="6" w:space="1" w:color="1F3864"/>
        </w:pBdr>
      </w:pPr>
    </w:p>
    <w:p>
      <w:pPr>
        <w:pStyle w:val="Heading1"/>
      </w:pPr>
      <w:r>
        <w:rPr>
          <w:color w:val="1F3864"/>
          <w:sz w:val="28"/>
        </w:rPr>
        <w:t>2.  DeepFluoro Dataset  —  Required for 4.3 mm Pelvis Test</w:t>
      </w:r>
    </w:p>
    <w:p>
      <w:pPr>
        <w:pStyle w:val="Heading2"/>
      </w:pPr>
      <w:r>
        <w:rPr>
          <w:color w:val="2E74B5"/>
          <w:sz w:val="24"/>
        </w:rPr>
        <w:t>2.1  What it is</w:t>
      </w:r>
    </w:p>
    <w:p>
      <w:pPr>
        <w:spacing w:after="80"/>
      </w:pPr>
      <w:r>
        <w:rPr>
          <w:b w:val="0"/>
          <w:i w:val="0"/>
          <w:sz w:val="21"/>
        </w:rPr>
        <w:t>A cadaveric pelvis CT + real intraoperative fluoroscopy dataset. 6 specimens, each with a CT volume and ~80-110 real fluoroscopy projections at different C-arm angles. Ground-truth 2D landmark positions are provided by the original Johns Hopkins researchers.</w:t>
      </w:r>
    </w:p>
    <w:tbl>
      <w:tblPr>
        <w:tblStyle w:val="LightGrid-Accent1"/>
        <w:tblW w:type="auto" w:w="0"/>
        <w:tblLook w:firstColumn="1" w:firstRow="1" w:lastColumn="0" w:lastRow="0" w:noHBand="0" w:noVBand="1" w:val="04A0"/>
      </w:tblPr>
      <w:tblGrid>
        <w:gridCol w:w="4392"/>
        <w:gridCol w:w="4392"/>
      </w:tblGrid>
      <w:tr>
        <w:tc>
          <w:tcPr>
            <w:tcW w:type="dxa" w:w="4392"/>
            <w:shd w:val="clear" w:color="auto" w:fill="1F3864"/>
          </w:tcPr>
          <w:p>
            <w:r>
              <w:rPr>
                <w:b/>
                <w:color w:val="FFFFFF"/>
                <w:sz w:val="19"/>
              </w:rPr>
              <w:t>Property</w:t>
            </w:r>
          </w:p>
        </w:tc>
        <w:tc>
          <w:tcPr>
            <w:tcW w:type="dxa" w:w="4392"/>
            <w:shd w:val="clear" w:color="auto" w:fill="1F3864"/>
          </w:tcPr>
          <w:p>
            <w:r>
              <w:rPr>
                <w:b/>
                <w:color w:val="FFFFFF"/>
                <w:sz w:val="19"/>
              </w:rPr>
              <w:t>Value</w:t>
            </w:r>
          </w:p>
        </w:tc>
      </w:tr>
      <w:tr>
        <w:tc>
          <w:tcPr>
            <w:tcW w:type="dxa" w:w="4392"/>
            <w:shd w:val="clear" w:color="auto" w:fill="EBF3FB"/>
          </w:tcPr>
          <w:p>
            <w:r>
              <w:rPr>
                <w:sz w:val="19"/>
              </w:rPr>
              <w:t>Source</w:t>
            </w:r>
          </w:p>
        </w:tc>
        <w:tc>
          <w:tcPr>
            <w:tcW w:type="dxa" w:w="4392"/>
            <w:shd w:val="clear" w:color="auto" w:fill="EBF3FB"/>
          </w:tcPr>
          <w:p>
            <w:r>
              <w:rPr>
                <w:sz w:val="19"/>
              </w:rPr>
              <w:t>Grupp et al., Johns Hopkins University, IPCAI/IJCARS 2020</w:t>
            </w:r>
          </w:p>
        </w:tc>
      </w:tr>
      <w:tr>
        <w:tc>
          <w:tcPr>
            <w:tcW w:type="dxa" w:w="4392"/>
          </w:tcPr>
          <w:p>
            <w:r>
              <w:rPr>
                <w:sz w:val="19"/>
              </w:rPr>
              <w:t>License</w:t>
            </w:r>
          </w:p>
        </w:tc>
        <w:tc>
          <w:tcPr>
            <w:tcW w:type="dxa" w:w="4392"/>
          </w:tcPr>
          <w:p>
            <w:r>
              <w:rPr>
                <w:sz w:val="19"/>
              </w:rPr>
              <w:t>CC BY-NC 4.0 (free for research, non-commercial)</w:t>
            </w:r>
          </w:p>
        </w:tc>
      </w:tr>
      <w:tr>
        <w:tc>
          <w:tcPr>
            <w:tcW w:type="dxa" w:w="4392"/>
            <w:shd w:val="clear" w:color="auto" w:fill="EBF3FB"/>
          </w:tcPr>
          <w:p>
            <w:r>
              <w:rPr>
                <w:sz w:val="19"/>
              </w:rPr>
              <w:t>Download URL</w:t>
            </w:r>
          </w:p>
        </w:tc>
        <w:tc>
          <w:tcPr>
            <w:tcW w:type="dxa" w:w="4392"/>
            <w:shd w:val="clear" w:color="auto" w:fill="EBF3FB"/>
          </w:tcPr>
          <w:p>
            <w:r>
              <w:rPr>
                <w:sz w:val="19"/>
              </w:rPr>
              <w:t>https://doi.org/10.7281/T1/IFSXNV</w:t>
            </w:r>
          </w:p>
        </w:tc>
      </w:tr>
      <w:tr>
        <w:tc>
          <w:tcPr>
            <w:tcW w:type="dxa" w:w="4392"/>
          </w:tcPr>
          <w:p>
            <w:r>
              <w:rPr>
                <w:sz w:val="19"/>
              </w:rPr>
              <w:t>File</w:t>
            </w:r>
          </w:p>
        </w:tc>
        <w:tc>
          <w:tcPr>
            <w:tcW w:type="dxa" w:w="4392"/>
          </w:tcPr>
          <w:p>
            <w:r>
              <w:rPr>
                <w:sz w:val="19"/>
              </w:rPr>
              <w:t>ipcai_2020_full_res_data.h5  (~2.5 GB HDF5)</w:t>
            </w:r>
          </w:p>
        </w:tc>
      </w:tr>
      <w:tr>
        <w:tc>
          <w:tcPr>
            <w:tcW w:type="dxa" w:w="4392"/>
            <w:shd w:val="clear" w:color="auto" w:fill="EBF3FB"/>
          </w:tcPr>
          <w:p>
            <w:r>
              <w:rPr>
                <w:sz w:val="19"/>
              </w:rPr>
              <w:t>Landmarks</w:t>
            </w:r>
          </w:p>
        </w:tc>
        <w:tc>
          <w:tcPr>
            <w:tcW w:type="dxa" w:w="4392"/>
            <w:shd w:val="clear" w:color="auto" w:fill="EBF3FB"/>
          </w:tcPr>
          <w:p>
            <w:r>
              <w:rPr>
                <w:sz w:val="19"/>
              </w:rPr>
              <w:t>14 bilateral pelvis landmarks (ASIS, FH, GSN, IOF, IPS, MOF, SPS)</w:t>
            </w:r>
          </w:p>
        </w:tc>
      </w:tr>
      <w:tr>
        <w:tc>
          <w:tcPr>
            <w:tcW w:type="dxa" w:w="4392"/>
          </w:tcPr>
          <w:p>
            <w:r>
              <w:rPr>
                <w:sz w:val="19"/>
              </w:rPr>
              <w:t>PCA spread ratio</w:t>
            </w:r>
          </w:p>
        </w:tc>
        <w:tc>
          <w:tcPr>
            <w:tcW w:type="dxa" w:w="4392"/>
          </w:tcPr>
          <w:p>
            <w:r>
              <w:rPr>
                <w:sz w:val="19"/>
              </w:rPr>
              <w:t>0.72 (well-conditioned for PnP — no collinearity problem)</w:t>
            </w:r>
          </w:p>
        </w:tc>
      </w:tr>
    </w:tbl>
    <w:p/>
    <w:p>
      <w:pPr>
        <w:pStyle w:val="Heading2"/>
      </w:pPr>
      <w:r>
        <w:rPr>
          <w:color w:val="2E74B5"/>
          <w:sz w:val="24"/>
        </w:rPr>
        <w:t>2.2  Where to place it</w:t>
      </w:r>
    </w:p>
    <w:p>
      <w:pPr>
        <w:spacing w:after="120"/>
        <w:ind w:left="576"/>
      </w:pPr>
      <w:r>
        <w:rPr>
          <w:rFonts w:ascii="Courier New" w:hAnsi="Courier New"/>
          <w:sz w:val="18"/>
        </w:rPr>
        <w:t>data/</w:t>
        <w:br/>
        <w:t>└── deepfluoro/</w:t>
        <w:br/>
        <w:t xml:space="preserve">    └── ipcai_2020_full_res_data.h5</w:t>
      </w:r>
    </w:p>
    <w:p>
      <w:pPr>
        <w:pStyle w:val="Heading2"/>
      </w:pPr>
      <w:r>
        <w:rPr>
          <w:color w:val="2E74B5"/>
          <w:sz w:val="24"/>
        </w:rPr>
        <w:t>2.3  Run the test</w:t>
      </w:r>
    </w:p>
    <w:p>
      <w:pPr>
        <w:spacing w:after="120"/>
        <w:ind w:left="576"/>
      </w:pPr>
      <w:r>
        <w:rPr>
          <w:rFonts w:ascii="Courier New" w:hAnsi="Courier New"/>
          <w:sz w:val="18"/>
        </w:rPr>
        <w:t>cd pipeline</w:t>
        <w:br/>
        <w:t>python build_drr_bank_deepfluoro.py</w:t>
        <w:br/>
        <w:t>python run_deepfluoro_multiview_test.py</w:t>
        <w:br/>
        <w:t># Expected: PDE = 4.3 mm</w:t>
      </w:r>
    </w:p>
    <w:p>
      <w:pPr>
        <w:pBdr>
          <w:bottom w:val="single" w:sz="6" w:space="1" w:color="1F3864"/>
        </w:pBdr>
      </w:pPr>
    </w:p>
    <w:p>
      <w:pPr>
        <w:pStyle w:val="Heading1"/>
      </w:pPr>
      <w:r>
        <w:rPr>
          <w:color w:val="1F3864"/>
          <w:sz w:val="28"/>
        </w:rPr>
        <w:t>3.  VerSe19 Dataset  —  Required for 0.32 mm Spine Test</w:t>
      </w:r>
    </w:p>
    <w:p>
      <w:pPr>
        <w:pStyle w:val="Heading2"/>
      </w:pPr>
      <w:r>
        <w:rPr>
          <w:color w:val="2E74B5"/>
          <w:sz w:val="24"/>
        </w:rPr>
        <w:t>3.1  What it is</w:t>
      </w:r>
    </w:p>
    <w:p>
      <w:pPr>
        <w:spacing w:after="80"/>
      </w:pPr>
      <w:r>
        <w:rPr>
          <w:b w:val="0"/>
          <w:i w:val="0"/>
          <w:sz w:val="21"/>
        </w:rPr>
        <w:t>A public lumbar spine CT dataset with expert vertebra centroid annotations. We use the sub-verse010 specimen. The registration target is a synthetic DRR (not a real X-ray), which is why the 0.32 mm result is achievable — there is no synthetic-to-real domain gap when both target and bank are synthetic.</w:t>
      </w:r>
    </w:p>
    <w:tbl>
      <w:tblPr>
        <w:tblStyle w:val="LightGrid-Accent1"/>
        <w:tblW w:type="auto" w:w="0"/>
        <w:tblLook w:firstColumn="1" w:firstRow="1" w:lastColumn="0" w:lastRow="0" w:noHBand="0" w:noVBand="1" w:val="04A0"/>
      </w:tblPr>
      <w:tblGrid>
        <w:gridCol w:w="4392"/>
        <w:gridCol w:w="4392"/>
      </w:tblGrid>
      <w:tr>
        <w:tc>
          <w:tcPr>
            <w:tcW w:type="dxa" w:w="4392"/>
            <w:shd w:val="clear" w:color="auto" w:fill="1F3864"/>
          </w:tcPr>
          <w:p>
            <w:r>
              <w:rPr>
                <w:b/>
                <w:color w:val="FFFFFF"/>
                <w:sz w:val="19"/>
              </w:rPr>
              <w:t>Property</w:t>
            </w:r>
          </w:p>
        </w:tc>
        <w:tc>
          <w:tcPr>
            <w:tcW w:type="dxa" w:w="4392"/>
            <w:shd w:val="clear" w:color="auto" w:fill="1F3864"/>
          </w:tcPr>
          <w:p>
            <w:r>
              <w:rPr>
                <w:b/>
                <w:color w:val="FFFFFF"/>
                <w:sz w:val="19"/>
              </w:rPr>
              <w:t>Value</w:t>
            </w:r>
          </w:p>
        </w:tc>
      </w:tr>
      <w:tr>
        <w:tc>
          <w:tcPr>
            <w:tcW w:type="dxa" w:w="4392"/>
            <w:shd w:val="clear" w:color="auto" w:fill="EBF3FB"/>
          </w:tcPr>
          <w:p>
            <w:r>
              <w:rPr>
                <w:sz w:val="19"/>
              </w:rPr>
              <w:t>Source</w:t>
            </w:r>
          </w:p>
        </w:tc>
        <w:tc>
          <w:tcPr>
            <w:tcW w:type="dxa" w:w="4392"/>
            <w:shd w:val="clear" w:color="auto" w:fill="EBF3FB"/>
          </w:tcPr>
          <w:p>
            <w:r>
              <w:rPr>
                <w:sz w:val="19"/>
              </w:rPr>
              <w:t>Sekuboyina et al., VerSe Challenge 2020</w:t>
            </w:r>
          </w:p>
        </w:tc>
      </w:tr>
      <w:tr>
        <w:tc>
          <w:tcPr>
            <w:tcW w:type="dxa" w:w="4392"/>
          </w:tcPr>
          <w:p>
            <w:r>
              <w:rPr>
                <w:sz w:val="19"/>
              </w:rPr>
              <w:t>License</w:t>
            </w:r>
          </w:p>
        </w:tc>
        <w:tc>
          <w:tcPr>
            <w:tcW w:type="dxa" w:w="4392"/>
          </w:tcPr>
          <w:p>
            <w:r>
              <w:rPr>
                <w:sz w:val="19"/>
              </w:rPr>
              <w:t>See https://osf.io/nqjyw/ for terms</w:t>
            </w:r>
          </w:p>
        </w:tc>
      </w:tr>
      <w:tr>
        <w:tc>
          <w:tcPr>
            <w:tcW w:type="dxa" w:w="4392"/>
            <w:shd w:val="clear" w:color="auto" w:fill="EBF3FB"/>
          </w:tcPr>
          <w:p>
            <w:r>
              <w:rPr>
                <w:sz w:val="19"/>
              </w:rPr>
              <w:t>Download URL</w:t>
            </w:r>
          </w:p>
        </w:tc>
        <w:tc>
          <w:tcPr>
            <w:tcW w:type="dxa" w:w="4392"/>
            <w:shd w:val="clear" w:color="auto" w:fill="EBF3FB"/>
          </w:tcPr>
          <w:p>
            <w:r>
              <w:rPr>
                <w:sz w:val="19"/>
              </w:rPr>
              <w:t>https://osf.io/nqjyw/</w:t>
            </w:r>
          </w:p>
        </w:tc>
      </w:tr>
      <w:tr>
        <w:tc>
          <w:tcPr>
            <w:tcW w:type="dxa" w:w="4392"/>
          </w:tcPr>
          <w:p>
            <w:r>
              <w:rPr>
                <w:sz w:val="19"/>
              </w:rPr>
              <w:t>Specimen used</w:t>
            </w:r>
          </w:p>
        </w:tc>
        <w:tc>
          <w:tcPr>
            <w:tcW w:type="dxa" w:w="4392"/>
          </w:tcPr>
          <w:p>
            <w:r>
              <w:rPr>
                <w:sz w:val="19"/>
              </w:rPr>
              <w:t>sub-verse010</w:t>
            </w:r>
          </w:p>
        </w:tc>
      </w:tr>
      <w:tr>
        <w:tc>
          <w:tcPr>
            <w:tcW w:type="dxa" w:w="4392"/>
            <w:shd w:val="clear" w:color="auto" w:fill="EBF3FB"/>
          </w:tcPr>
          <w:p>
            <w:r>
              <w:rPr>
                <w:sz w:val="19"/>
              </w:rPr>
              <w:t>Landmarks</w:t>
            </w:r>
          </w:p>
        </w:tc>
        <w:tc>
          <w:tcPr>
            <w:tcW w:type="dxa" w:w="4392"/>
            <w:shd w:val="clear" w:color="auto" w:fill="EBF3FB"/>
          </w:tcPr>
          <w:p>
            <w:r>
              <w:rPr>
                <w:sz w:val="19"/>
              </w:rPr>
              <w:t>L1, L2, L3, L4, L5 vertebra centroids</w:t>
            </w:r>
          </w:p>
        </w:tc>
      </w:tr>
      <w:tr>
        <w:tc>
          <w:tcPr>
            <w:tcW w:type="dxa" w:w="4392"/>
          </w:tcPr>
          <w:p>
            <w:r>
              <w:rPr>
                <w:sz w:val="19"/>
              </w:rPr>
              <w:t>PCA spread ratio</w:t>
            </w:r>
          </w:p>
        </w:tc>
        <w:tc>
          <w:tcPr>
            <w:tcW w:type="dxa" w:w="4392"/>
          </w:tcPr>
          <w:p>
            <w:r>
              <w:rPr>
                <w:sz w:val="19"/>
              </w:rPr>
              <w:t>0.186 — more collinear than pelvis, but acceptable for synthetic test</w:t>
            </w:r>
          </w:p>
        </w:tc>
      </w:tr>
    </w:tbl>
    <w:p/>
    <w:p>
      <w:pPr>
        <w:pStyle w:val="Heading2"/>
      </w:pPr>
      <w:r>
        <w:rPr>
          <w:color w:val="2E74B5"/>
          <w:sz w:val="24"/>
        </w:rPr>
        <w:t>3.2  Where to place it</w:t>
      </w:r>
    </w:p>
    <w:p>
      <w:pPr>
        <w:spacing w:after="120"/>
        <w:ind w:left="576"/>
      </w:pPr>
      <w:r>
        <w:rPr>
          <w:rFonts w:ascii="Courier New" w:hAnsi="Courier New"/>
          <w:sz w:val="18"/>
        </w:rPr>
        <w:t>data/</w:t>
        <w:br/>
        <w:t>└── verse/</w:t>
        <w:br/>
        <w:t xml:space="preserve">    ├── sub-verse010_ct.nii.gz</w:t>
        <w:br/>
        <w:t xml:space="preserve">    └── sub-verse010_seg-vert_msk.nii.gz</w:t>
      </w:r>
    </w:p>
    <w:p>
      <w:pPr>
        <w:pStyle w:val="Heading2"/>
      </w:pPr>
      <w:r>
        <w:rPr>
          <w:color w:val="2E74B5"/>
          <w:sz w:val="24"/>
        </w:rPr>
        <w:t>3.3  Run the test</w:t>
      </w:r>
    </w:p>
    <w:p>
      <w:pPr>
        <w:spacing w:after="120"/>
        <w:ind w:left="576"/>
      </w:pPr>
      <w:r>
        <w:rPr>
          <w:rFonts w:ascii="Courier New" w:hAnsi="Courier New"/>
          <w:sz w:val="18"/>
        </w:rPr>
        <w:t>cd pipeline</w:t>
        <w:br/>
        <w:t>python run_verse_multiview_test.py</w:t>
        <w:br/>
        <w:t># Expected: Mean PDE = 0.32 mm  (AP=0.52mm, LAT=0.11mm)</w:t>
      </w:r>
    </w:p>
    <w:p>
      <w:pPr>
        <w:pBdr>
          <w:bottom w:val="single" w:sz="6" w:space="1" w:color="1F3864"/>
        </w:pBdr>
      </w:pPr>
    </w:p>
    <w:p>
      <w:pPr>
        <w:pStyle w:val="Heading1"/>
      </w:pPr>
      <w:r>
        <w:rPr>
          <w:color w:val="1F3864"/>
          <w:sz w:val="28"/>
        </w:rPr>
        <w:t>4.  NIMS Real Patient Dataset  —  Required for NIMS Pipeline Test</w:t>
      </w:r>
    </w:p>
    <w:p>
      <w:pPr>
        <w:pStyle w:val="Heading2"/>
      </w:pPr>
      <w:r>
        <w:rPr>
          <w:color w:val="2E74B5"/>
          <w:sz w:val="24"/>
        </w:rPr>
        <w:t>4.1  What is needed</w:t>
      </w:r>
    </w:p>
    <w:tbl>
      <w:tblPr>
        <w:tblStyle w:val="LightGrid-Accent1"/>
        <w:tblW w:type="auto" w:w="0"/>
        <w:tblLook w:firstColumn="1" w:firstRow="1" w:lastColumn="0" w:lastRow="0" w:noHBand="0" w:noVBand="1" w:val="04A0"/>
      </w:tblPr>
      <w:tblGrid>
        <w:gridCol w:w="2928"/>
        <w:gridCol w:w="2928"/>
        <w:gridCol w:w="2928"/>
      </w:tblGrid>
      <w:tr>
        <w:tc>
          <w:tcPr>
            <w:tcW w:type="dxa" w:w="2928"/>
            <w:shd w:val="clear" w:color="auto" w:fill="1F3864"/>
          </w:tcPr>
          <w:p>
            <w:r>
              <w:rPr>
                <w:b/>
                <w:color w:val="FFFFFF"/>
                <w:sz w:val="19"/>
              </w:rPr>
              <w:t>Item</w:t>
            </w:r>
          </w:p>
        </w:tc>
        <w:tc>
          <w:tcPr>
            <w:tcW w:type="dxa" w:w="2928"/>
            <w:shd w:val="clear" w:color="auto" w:fill="1F3864"/>
          </w:tcPr>
          <w:p>
            <w:r>
              <w:rPr>
                <w:b/>
                <w:color w:val="FFFFFF"/>
                <w:sz w:val="19"/>
              </w:rPr>
              <w:t>Format</w:t>
            </w:r>
          </w:p>
        </w:tc>
        <w:tc>
          <w:tcPr>
            <w:tcW w:type="dxa" w:w="2928"/>
            <w:shd w:val="clear" w:color="auto" w:fill="1F3864"/>
          </w:tcPr>
          <w:p>
            <w:r>
              <w:rPr>
                <w:b/>
                <w:color w:val="FFFFFF"/>
                <w:sz w:val="19"/>
              </w:rPr>
              <w:t>Description</w:t>
            </w:r>
          </w:p>
        </w:tc>
      </w:tr>
      <w:tr>
        <w:tc>
          <w:tcPr>
            <w:tcW w:type="dxa" w:w="2928"/>
            <w:shd w:val="clear" w:color="auto" w:fill="EBF3FB"/>
          </w:tcPr>
          <w:p>
            <w:r>
              <w:rPr>
                <w:sz w:val="19"/>
              </w:rPr>
              <w:t>Pre-operative CT</w:t>
            </w:r>
          </w:p>
        </w:tc>
        <w:tc>
          <w:tcPr>
            <w:tcW w:type="dxa" w:w="2928"/>
            <w:shd w:val="clear" w:color="auto" w:fill="EBF3FB"/>
          </w:tcPr>
          <w:p>
            <w:r>
              <w:rPr>
                <w:sz w:val="19"/>
              </w:rPr>
              <w:t>NRRD (.nrrd)</w:t>
            </w:r>
          </w:p>
        </w:tc>
        <w:tc>
          <w:tcPr>
            <w:tcW w:type="dxa" w:w="2928"/>
            <w:shd w:val="clear" w:color="auto" w:fill="EBF3FB"/>
          </w:tcPr>
          <w:p>
            <w:r>
              <w:rPr>
                <w:sz w:val="19"/>
              </w:rPr>
              <w:t>Full 3D CT volume. Any standard CT scanner.</w:t>
            </w:r>
          </w:p>
        </w:tc>
      </w:tr>
      <w:tr>
        <w:tc>
          <w:tcPr>
            <w:tcW w:type="dxa" w:w="2928"/>
          </w:tcPr>
          <w:p>
            <w:r>
              <w:rPr>
                <w:sz w:val="19"/>
              </w:rPr>
              <w:t>Vertebra centroid labels</w:t>
            </w:r>
          </w:p>
        </w:tc>
        <w:tc>
          <w:tcPr>
            <w:tcW w:type="dxa" w:w="2928"/>
          </w:tcPr>
          <w:p>
            <w:r>
              <w:rPr>
                <w:sz w:val="19"/>
              </w:rPr>
              <w:t>3D Slicer markup JSON (.mrk.json)</w:t>
            </w:r>
          </w:p>
        </w:tc>
        <w:tc>
          <w:tcPr>
            <w:tcW w:type="dxa" w:w="2928"/>
          </w:tcPr>
          <w:p>
            <w:r>
              <w:rPr>
                <w:sz w:val="19"/>
              </w:rPr>
              <w:t>3D positions of D12, L1-L5 vertebra centres. Annotated by radiologist/surgeon.</w:t>
            </w:r>
          </w:p>
        </w:tc>
      </w:tr>
      <w:tr>
        <w:tc>
          <w:tcPr>
            <w:tcW w:type="dxa" w:w="2928"/>
            <w:shd w:val="clear" w:color="auto" w:fill="EBF3FB"/>
          </w:tcPr>
          <w:p>
            <w:r>
              <w:rPr>
                <w:sz w:val="19"/>
              </w:rPr>
              <w:t>C-arm DICOM frames</w:t>
            </w:r>
          </w:p>
        </w:tc>
        <w:tc>
          <w:tcPr>
            <w:tcW w:type="dxa" w:w="2928"/>
            <w:shd w:val="clear" w:color="auto" w:fill="EBF3FB"/>
          </w:tcPr>
          <w:p>
            <w:r>
              <w:rPr>
                <w:sz w:val="19"/>
              </w:rPr>
              <w:t>Raw DICOM (Ziehm: no file extension)</w:t>
            </w:r>
          </w:p>
        </w:tc>
        <w:tc>
          <w:tcPr>
            <w:tcW w:type="dxa" w:w="2928"/>
            <w:shd w:val="clear" w:color="auto" w:fill="EBF3FB"/>
          </w:tcPr>
          <w:p>
            <w:r>
              <w:rPr>
                <w:sz w:val="19"/>
              </w:rPr>
              <w:t>100+ intraoperative C-arm frames from surgical session.</w:t>
            </w:r>
          </w:p>
        </w:tc>
      </w:tr>
      <w:tr>
        <w:tc>
          <w:tcPr>
            <w:tcW w:type="dxa" w:w="2928"/>
          </w:tcPr>
          <w:p>
            <w:r>
              <w:rPr>
                <w:sz w:val="19"/>
              </w:rPr>
              <w:t>AP labeled set</w:t>
            </w:r>
          </w:p>
        </w:tc>
        <w:tc>
          <w:tcPr>
            <w:tcW w:type="dxa" w:w="2928"/>
          </w:tcPr>
          <w:p>
            <w:r>
              <w:rPr>
                <w:sz w:val="19"/>
              </w:rPr>
              <w:t>3D Slicer markup JSON (.mrk.json)</w:t>
            </w:r>
          </w:p>
        </w:tc>
        <w:tc>
          <w:tcPr>
            <w:tcW w:type="dxa" w:w="2928"/>
          </w:tcPr>
          <w:p>
            <w:r>
              <w:rPr>
                <w:sz w:val="19"/>
              </w:rPr>
              <w:t>2D pixel positions of L3, L4, L5 in an AP X-ray frame. For calibration.</w:t>
            </w:r>
          </w:p>
        </w:tc>
      </w:tr>
      <w:tr>
        <w:tc>
          <w:tcPr>
            <w:tcW w:type="dxa" w:w="2928"/>
            <w:shd w:val="clear" w:color="auto" w:fill="EBF3FB"/>
          </w:tcPr>
          <w:p>
            <w:r>
              <w:rPr>
                <w:sz w:val="19"/>
              </w:rPr>
              <w:t>LAT labeled set</w:t>
            </w:r>
          </w:p>
        </w:tc>
        <w:tc>
          <w:tcPr>
            <w:tcW w:type="dxa" w:w="2928"/>
            <w:shd w:val="clear" w:color="auto" w:fill="EBF3FB"/>
          </w:tcPr>
          <w:p>
            <w:r>
              <w:rPr>
                <w:sz w:val="19"/>
              </w:rPr>
              <w:t>3D Slicer markup JSON (.mrk.json)</w:t>
            </w:r>
          </w:p>
        </w:tc>
        <w:tc>
          <w:tcPr>
            <w:tcW w:type="dxa" w:w="2928"/>
            <w:shd w:val="clear" w:color="auto" w:fill="EBF3FB"/>
          </w:tcPr>
          <w:p>
            <w:r>
              <w:rPr>
                <w:sz w:val="19"/>
              </w:rPr>
              <w:t>2D pixel positions of L2, L3, L4, L5 in a LAT X-ray frame. For calibration.</w:t>
            </w:r>
          </w:p>
        </w:tc>
      </w:tr>
    </w:tbl>
    <w:p/>
    <w:p>
      <w:pPr>
        <w:pStyle w:val="Heading2"/>
      </w:pPr>
      <w:r>
        <w:rPr>
          <w:color w:val="2E74B5"/>
          <w:sz w:val="24"/>
        </w:rPr>
        <w:t>4.2  Directory structure</w:t>
      </w:r>
    </w:p>
    <w:p>
      <w:pPr>
        <w:spacing w:after="120"/>
        <w:ind w:left="576"/>
      </w:pPr>
      <w:r>
        <w:rPr>
          <w:rFonts w:ascii="Courier New" w:hAnsi="Courier New"/>
          <w:sz w:val="18"/>
        </w:rPr>
        <w:t>data/</w:t>
        <w:br/>
        <w:t>└── nims/</w:t>
        <w:br/>
        <w:t xml:space="preserve">    ├── patient_ct.nrrd</w:t>
        <w:br/>
        <w:t xml:space="preserve">    ├── CT_label/</w:t>
        <w:br/>
        <w:t xml:space="preserve">    │   └── CENTROID.mrk.json</w:t>
        <w:br/>
        <w:t xml:space="preserve">    ├── carm_frames/</w:t>
        <w:br/>
        <w:t xml:space="preserve">    │   ├── 1</w:t>
        <w:br/>
        <w:t xml:space="preserve">    │   ├── 2</w:t>
        <w:br/>
        <w:t xml:space="preserve">    │   └── ...</w:t>
        <w:br/>
        <w:t xml:space="preserve">    └── XRAY_Label/</w:t>
        <w:br/>
        <w:t xml:space="preserve">        ├── XRAY-AP/</w:t>
        <w:br/>
        <w:t xml:space="preserve">        │   └── AP-SET-1/</w:t>
        <w:br/>
        <w:t xml:space="preserve">            │       └── CENTROID.mrk.json</w:t>
        <w:br/>
        <w:t xml:space="preserve">        └── XRAY-LAT/</w:t>
        <w:br/>
        <w:t xml:space="preserve">            └── LAT-SET-1/</w:t>
        <w:br/>
        <w:t xml:space="preserve">                └── CENTROID.mrk.json</w:t>
      </w:r>
    </w:p>
    <w:p>
      <w:pPr>
        <w:pStyle w:val="Heading2"/>
      </w:pPr>
      <w:r>
        <w:rPr>
          <w:color w:val="2E74B5"/>
          <w:sz w:val="24"/>
        </w:rPr>
        <w:t>4.3  Label format  (3D Slicer markup JSON)</w:t>
      </w:r>
    </w:p>
    <w:p>
      <w:pPr>
        <w:spacing w:after="80"/>
      </w:pPr>
      <w:r>
        <w:rPr>
          <w:b w:val="0"/>
          <w:i w:val="0"/>
          <w:sz w:val="21"/>
        </w:rPr>
        <w:t>For CT labels (3D positions in mm, LPS coordinate system):</w:t>
      </w:r>
    </w:p>
    <w:p>
      <w:pPr>
        <w:spacing w:after="120"/>
        <w:ind w:left="576"/>
      </w:pPr>
      <w:r>
        <w:rPr>
          <w:rFonts w:ascii="Courier New" w:hAnsi="Courier New"/>
          <w:sz w:val="18"/>
        </w:rPr>
        <w:t>{</w:t>
        <w:br/>
        <w:t xml:space="preserve">  "markups": [{</w:t>
        <w:br/>
        <w:t xml:space="preserve">    "controlPoints": [</w:t>
        <w:br/>
        <w:t xml:space="preserve">      {"label": "L3", "position": [x_mm, y_mm, z_mm]},</w:t>
        <w:br/>
        <w:t xml:space="preserve">      {"label": "L4", "position": [x_mm, y_mm, z_mm]},</w:t>
        <w:br/>
        <w:t xml:space="preserve">      {"label": "L5", "position": [x_mm, y_mm, z_mm]}</w:t>
        <w:br/>
        <w:t xml:space="preserve">    ]</w:t>
        <w:br/>
        <w:t xml:space="preserve">  }]</w:t>
        <w:br/>
        <w:t>}</w:t>
      </w:r>
    </w:p>
    <w:p>
      <w:pPr>
        <w:spacing w:after="80"/>
      </w:pPr>
      <w:r>
        <w:rPr>
          <w:b w:val="0"/>
          <w:i w:val="0"/>
          <w:sz w:val="21"/>
        </w:rPr>
        <w:t>For X-ray labels (2D pixel positions, origin at top-left):</w:t>
      </w:r>
    </w:p>
    <w:p>
      <w:pPr>
        <w:spacing w:after="120"/>
        <w:ind w:left="576"/>
      </w:pPr>
      <w:r>
        <w:rPr>
          <w:rFonts w:ascii="Courier New" w:hAnsi="Courier New"/>
          <w:sz w:val="18"/>
        </w:rPr>
        <w:t>{</w:t>
        <w:br/>
        <w:t xml:space="preserve">  "markups": [{</w:t>
        <w:br/>
        <w:t xml:space="preserve">    "controlPoints": [</w:t>
        <w:br/>
        <w:t xml:space="preserve">      {"label": "L3", "position": [u_px, v_px, 0.0]},</w:t>
        <w:br/>
        <w:t xml:space="preserve">      {"label": "L4", "position": [u_px, v_px, 0.0]},</w:t>
        <w:br/>
        <w:t xml:space="preserve">      {"label": "L5", "position": [u_px, v_px, 0.0]}</w:t>
        <w:br/>
        <w:t xml:space="preserve">    ]</w:t>
        <w:br/>
        <w:t xml:space="preserve">  }]</w:t>
        <w:br/>
        <w:t>}</w:t>
      </w:r>
    </w:p>
    <w:p>
      <w:pPr>
        <w:pStyle w:val="Heading2"/>
      </w:pPr>
      <w:r>
        <w:rPr>
          <w:color w:val="2E74B5"/>
          <w:sz w:val="24"/>
        </w:rPr>
        <w:t>4.4  C-arm configuration</w:t>
      </w:r>
    </w:p>
    <w:p>
      <w:pPr>
        <w:spacing w:after="80"/>
      </w:pPr>
      <w:r>
        <w:rPr>
          <w:b w:val="0"/>
          <w:i/>
          <w:color w:val="C06000"/>
          <w:sz w:val="21"/>
        </w:rPr>
        <w:t>The pipeline uses configs/cameras/ziehm_vision_fd.json by default (SID=1050mm, pixel_spacing=0.288mm). If your C-arm is a different model, update the config file or pass a different config path. Always verify SID and pixel spacing from the actual DICOM tags before running.</w:t>
      </w:r>
    </w:p>
    <w:p>
      <w:pPr>
        <w:pStyle w:val="Heading2"/>
      </w:pPr>
      <w:r>
        <w:rPr>
          <w:color w:val="2E74B5"/>
          <w:sz w:val="24"/>
        </w:rPr>
        <w:t>4.5  Run the test</w:t>
      </w:r>
    </w:p>
    <w:p>
      <w:pPr>
        <w:spacing w:after="120"/>
        <w:ind w:left="576"/>
      </w:pPr>
      <w:r>
        <w:rPr>
          <w:rFonts w:ascii="Courier New" w:hAnsi="Courier New"/>
          <w:sz w:val="18"/>
        </w:rPr>
        <w:t># Edit the USER CONFIGURATION section in the script first</w:t>
        <w:br/>
        <w:t>cd pipeline</w:t>
        <w:br/>
        <w:t>python run_nims_multiview_test.py</w:t>
        <w:br/>
        <w:t># or for auto-pedicle extraction:</w:t>
        <w:br/>
        <w:t>python run_nims_auto_pedicle_test.py</w:t>
      </w:r>
    </w:p>
    <w:p>
      <w:pPr>
        <w:pBdr>
          <w:bottom w:val="single" w:sz="6" w:space="1" w:color="1F3864"/>
        </w:pBdr>
      </w:pPr>
    </w:p>
    <w:p>
      <w:pPr>
        <w:pStyle w:val="Heading1"/>
      </w:pPr>
      <w:r>
        <w:rPr>
          <w:color w:val="1F3864"/>
          <w:sz w:val="28"/>
        </w:rPr>
        <w:t>5.  Training Data  —  Required for CNN Retraining</w:t>
      </w:r>
    </w:p>
    <w:p>
      <w:pPr>
        <w:spacing w:after="80"/>
      </w:pPr>
      <w:r>
        <w:rPr>
          <w:b w:val="0"/>
          <w:i w:val="0"/>
          <w:sz w:val="21"/>
        </w:rPr>
        <w:t>To retrain the landmark detector CNN (train_landmark_detector.py), you need the following data manifest files in data/:</w:t>
      </w:r>
    </w:p>
    <w:p>
      <w:pPr>
        <w:pStyle w:val="ListBullet"/>
        <w:spacing w:after="60"/>
      </w:pPr>
      <w:r>
        <w:rPr>
          <w:sz w:val="21"/>
        </w:rPr>
        <w:t>data/landmark_manifest_real.csv — CSV of real X-ray images with 2D labels. Format: patient, set_name, view, img_path, labels, coords_px.</w:t>
      </w:r>
    </w:p>
    <w:p>
      <w:pPr>
        <w:pStyle w:val="ListBullet"/>
        <w:spacing w:after="60"/>
      </w:pPr>
      <w:r>
        <w:rPr>
          <w:sz w:val="21"/>
        </w:rPr>
        <w:t>data/synthetic_drr_manifest_ap.csv — CSV of synthetic AP DRR images generated by generate_synthetic_drrs.py.</w:t>
      </w:r>
    </w:p>
    <w:p>
      <w:pPr>
        <w:pStyle w:val="ListBullet"/>
        <w:spacing w:after="60"/>
      </w:pPr>
      <w:r>
        <w:rPr>
          <w:sz w:val="21"/>
        </w:rPr>
        <w:t>data/synthetic_drr_manifest_lat.csv — CSV of synthetic LAT DRR images.</w:t>
      </w:r>
    </w:p>
    <w:p>
      <w:pPr>
        <w:pStyle w:val="ListBullet"/>
        <w:spacing w:after="60"/>
      </w:pPr>
      <w:r>
        <w:rPr>
          <w:sz w:val="21"/>
        </w:rPr>
        <w:t>data/converted_xray_manifest_ap.csv — CSV of CycleGAN-converted X-rays (generated by convert_xrays_to_drr.py). Optional but recommended.</w:t>
      </w:r>
    </w:p>
    <w:p>
      <w:pPr>
        <w:spacing w:after="80"/>
      </w:pPr>
      <w:r>
        <w:rPr>
          <w:b w:val="0"/>
          <w:i/>
          <w:sz w:val="21"/>
        </w:rPr>
        <w:t>These manifest files are generated automatically by the data preparation scripts. See README.md and scripts/ for instructions on building them from raw data.</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